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鄂尔多斯美术馆屋顶维修项目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鄂尔多斯市政府投资项目代建中心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ESZC-C-G-250007</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鄂尔多斯市政府采购中心</w:t>
      </w:r>
      <w:r>
        <w:rPr>
          <w:rFonts w:ascii="仿宋_GB2312" w:hAnsi="仿宋_GB2312" w:cs="仿宋_GB2312" w:eastAsia="仿宋_GB2312"/>
        </w:rPr>
        <w:t xml:space="preserve"> 受 </w:t>
      </w:r>
      <w:r>
        <w:rPr>
          <w:rFonts w:ascii="仿宋_GB2312" w:hAnsi="仿宋_GB2312" w:cs="仿宋_GB2312" w:eastAsia="仿宋_GB2312"/>
        </w:rPr>
        <w:t>鄂尔多斯市政府投资项目代建中心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鄂尔多斯美术馆屋顶维修项目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鄂尔多斯美术馆屋顶维修项目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ESZC-C-G-250007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427[2025]01720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6,123,388.17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鄂尔多斯美术馆屋顶维修项目施工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6,123,388.17</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1、供应商资格条件： 供应商须具备建设行政主管部门核发的【建筑工程施工总承包】叁级（含）以上资质，如供应商已申办 2020年11月30日建市〔2020〕94号《住房和城乡建设部关于印发建设工程企业资质管理制度改革方案的通知》中住建部要求的最新资质，供应商须具备建设行政主管部门颁发的【施工综合资质】或【建筑工程施工总承包】乙级（含）以上资质，且具备有效的安全生产许可证（响应文件须附资质证书原件扫描件）（注：以联合体投标的，联合体各方均应满足）。</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内蒙古自治区鄂尔多斯市康巴什区湖滨路(鄂尔多斯市公共资源交易大厦)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13888888777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鄂尔多斯市政府投资项目代建中心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康巴什区伊克昭街北乐康街西交汇处</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刘元</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04778583191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无</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鄂尔多斯市政府投资项目代建中心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该项目位于鄂尔多斯市成吉思汗旅游区，主要维修内容为对鄂尔多斯美术馆屋顶，外立面玻璃、石材、 钢材，室内钢结构、墙面及室外散水等进行全面维修，具体内容详见采购文件附件《施工图纸》及《采购工程量清单》，标的提供的时2025年6月2</w:t>
      </w:r>
      <w:r>
        <w:rPr>
          <w:rFonts w:ascii="仿宋_GB2312" w:hAnsi="仿宋_GB2312" w:cs="仿宋_GB2312" w:eastAsia="仿宋_GB2312"/>
          <w:color w:val="000000"/>
        </w:rPr>
        <w:t>0</w:t>
      </w:r>
      <w:r>
        <w:rPr>
          <w:rFonts w:ascii="仿宋_GB2312" w:hAnsi="仿宋_GB2312" w:cs="仿宋_GB2312" w:eastAsia="仿宋_GB2312"/>
          <w:color w:val="000000"/>
          <w:shd w:fill="FFFFFF" w:val="clear"/>
        </w:rPr>
        <w:t>日</w:t>
      </w:r>
      <w:r>
        <w:rPr>
          <w:rFonts w:ascii="仿宋_GB2312" w:hAnsi="仿宋_GB2312" w:cs="仿宋_GB2312" w:eastAsia="仿宋_GB2312"/>
          <w:color w:val="000000"/>
          <w:shd w:fill="FFFFFF" w:val="clear"/>
        </w:rPr>
        <w:t>前完工并通过验收</w:t>
      </w: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2025年6月20日前完工并通过验收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鄂尔多斯市伊金霍洛旗成吉思汗旅游区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1、（1）预付款约定：预付款支付比例为合同总价的20 % ，合同签订后支付，预付款扣留方式为从每次中间结算工程价款中按材料及构件比重抵扣工程预付款，至竣工之前全部扣清，预付款起扣点=（合同总价-预付款金额/主要材料及设备占比），达到付款条件起10日，支付合同总金额的20.00%</w:t>
            </w:r>
          </w:p>
          <w:p>
            <w:pPr>
              <w:pStyle w:val="null5"/>
              <w:jc w:val="left"/>
            </w:pPr>
            <w:r>
              <w:rPr>
                <w:rFonts w:ascii="仿宋_GB2312" w:hAnsi="仿宋_GB2312" w:cs="仿宋_GB2312" w:eastAsia="仿宋_GB2312"/>
              </w:rPr>
              <w:t>2、进度款的约定:进度款按每月完成审定产值的80%并扣除采购人当月应扣款项后支付;所有工程竣工验收合格并完成资料归档后付至合同价款的90%:经造价咨询单位审定后，供应商提供相关承诺及《质量保证金保函》后付至审定价款的 100%，达到付款条件起10日，支付合同总金额的80.00%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 履约保证金缴纳比例：中标金额的5%； 履约保证金缴纳形式：支票、汇票、本票或者金融机构、担保机构出具的保函等非现金形式； 履约保证金提供时间：中标供应商须在中标成交项目合同签订后10个工作日内向采购人提供履约保证金； 履约保证金的退还时间：合同履行完毕并验收合格后退还履约保证金。如中标供应商不如期提交履约保证金，视为项目废标处理。如履约中因中标供应商造成损失采购人将扣除相应金额的履约保证金； 履约保证金减免情形:如供应商近三年内信用情况良好，无不良记录且近三年履约情况良好，供应商在缴纳履约保证金前向采购人递交诚信承诺书(格式自拟，须明确近三年信用及履约情兄)，采购人接收确认后，履约保证金可减免至中标金额的 3%。</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标的名称：鄂尔多斯美术馆屋顶维修项目施工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项目负责人要求：项目负责人须具备[建筑工程专业二级]（含）以上建造师，须在投标单位注册，同时具备有效的B类安全生产考核合格证书（以建造师执业资格证、注册证、B类安全生产考核合格证为准，响应文件中须附其原件扫描件），且未担任其他在建工程的项目负责人（提供承诺书并加盖公章，格式自拟）， 如供应商拟派项目负责人为一级建造师，应按照《住房和城乡建设部办公厅关于全面实行一级建造师电子注册证书的通知》【建办市〔2021〕40 号】文件要求，须提供一级建造师电子注册证书（一级建造师打印电子注册证书后，应在个人签名处手写本人签名，未手写签名或手写签名与签名图像笔迹不一致的，该电子证书无效，超出使用时限的电子证书无效）。如投标单位拟派项目负责人为二级建造师，应依据《内蒙古自治区住房和城乡建设厅关于开展二级建造师延续注册和规范电子证书使用有关工作的通知》【内建函〔2022〕508号】文件要求提供二级建造师电子注册证书（二级建造师打印电子注册证书后，应在个人签名处手写本人签名，未手写签名或手写签名与签名图像笔迹不一致的，该电子证书无效，超出使用时限的电子证书无效）；内蒙古自治区以外的二级建造师不作该要求（响应文件中须附其相应证书原件扫描件）。</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1"/>
                <w:color w:val="000000"/>
              </w:rPr>
              <w:t>项目负责人业绩要求：供应商针对本项目配备的项目负责人须至少具备一项建筑工程项目的项目负责人业绩。</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rPr>
              <w:t>项目人员配备要求：供应商针对本项目配备施工员、安全员、质检员/质量员、资料员、材料员、预 算员/造价员/造价工程师、劳务员，如配备施工员、质检员/质量员、安全员的不得同时在2个及以上在建项目中任职；上述所配人员中应至少有1名中级（含）及以上工程师职称</w:t>
            </w:r>
            <w:r>
              <w:rPr>
                <w:rFonts w:ascii="仿宋_GB2312" w:hAnsi="仿宋_GB2312" w:cs="仿宋_GB2312" w:eastAsia="仿宋_GB2312"/>
                <w:sz w:val="21"/>
              </w:rPr>
              <w:t>（</w:t>
            </w:r>
            <w:r>
              <w:rPr>
                <w:rFonts w:ascii="仿宋_GB2312" w:hAnsi="仿宋_GB2312" w:cs="仿宋_GB2312" w:eastAsia="仿宋_GB2312"/>
                <w:sz w:val="21"/>
              </w:rPr>
              <w:t>响应文件中须附其相应证书原件扫描件）</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项目所配人员社保要求：上述所配项目人员须在投标单位工作，年龄不得超过65周岁，须提供递交投标文件截止之日前一年内任意一个月的以供应商所属社保机构出具（新入职人员要求提供入职时至投标截止日期前）的社保缴费证明（并加盖缴费证明专用章）或其他能够证明参加社保的有效证明材料为准；退休人员无需提供社保缴费证明，须提供有效的与聘用单位签订的聘用劳动合同及退休证明（响应文件须附其相关证明材料原件扫描件）。</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1"/>
                <w:color w:val="000000"/>
              </w:rPr>
              <w:t>该项目采购内容的技术参数及性能指标详见该项目《采购工程量清单》及《施工图纸》。</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供应商提供已标价工程量清单时，项目特征须符合《采购工程量清单》中“项目特征”相关要求。</w:t>
            </w:r>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after="120"/>
              <w:jc w:val="both"/>
            </w:pPr>
            <w:r>
              <w:rPr>
                <w:rFonts w:ascii="仿宋_GB2312" w:hAnsi="仿宋_GB2312" w:cs="仿宋_GB2312" w:eastAsia="仿宋_GB2312"/>
                <w:sz w:val="21"/>
              </w:rPr>
              <w:t>供应商提供已标价工程量清单时，须按照《采购工程量清单》中编制说明要求提供《主要材料品牌推荐表》，此表中供应商的投标品牌必须填写且只能填写一个品牌。</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供应商提供已标价工程量清单时，须按照《采购工程量清单》中编制说明要求提供《主要材料价格公示表》。</w:t>
            </w: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供应商提交最终（二轮）报价时须同时提交（上传）调整后的已标价工程量清单（编制要求详见《采购工程量清单》中编制说明）。</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sz w:val="21"/>
              </w:rPr>
              <w:t>该项目《采购工程量清单》及《施工图纸》详见采购文件附件。</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sz w:val="21"/>
                <w:color w:val="000000"/>
              </w:rPr>
              <w:t>施工组织设计内容完整性和编制水平</w:t>
            </w:r>
            <w:r>
              <w:rPr>
                <w:rFonts w:ascii="仿宋_GB2312" w:hAnsi="仿宋_GB2312" w:cs="仿宋_GB2312" w:eastAsia="仿宋_GB2312"/>
                <w:sz w:val="21"/>
                <w:color w:val="000000"/>
              </w:rPr>
              <w:t>：</w:t>
            </w:r>
            <w:r>
              <w:rPr>
                <w:rFonts w:ascii="仿宋_GB2312" w:hAnsi="仿宋_GB2312" w:cs="仿宋_GB2312" w:eastAsia="仿宋_GB2312"/>
                <w:sz w:val="21"/>
                <w:color w:val="000000"/>
              </w:rPr>
              <w:t>针对该项目屋顶，外立面玻璃、石材、 钢材，室内钢结构、墙面及室外散水等专项技术安全防护、临时设施搭拆、施工人员安置、组织流线、施工专用通道设置等因素制定完整、科学、有效的施工组织设计。</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sz w:val="21"/>
                <w:color w:val="000000"/>
              </w:rPr>
              <w:t>施工方案与技术措施</w:t>
            </w:r>
            <w:r>
              <w:rPr>
                <w:rFonts w:ascii="仿宋_GB2312" w:hAnsi="仿宋_GB2312" w:cs="仿宋_GB2312" w:eastAsia="仿宋_GB2312"/>
                <w:sz w:val="21"/>
                <w:color w:val="000000"/>
              </w:rPr>
              <w:t>：</w:t>
            </w:r>
            <w:r>
              <w:rPr>
                <w:rFonts w:ascii="仿宋_GB2312" w:hAnsi="仿宋_GB2312" w:cs="仿宋_GB2312" w:eastAsia="仿宋_GB2312"/>
                <w:sz w:val="21"/>
                <w:color w:val="000000"/>
              </w:rPr>
              <w:t>针对本项目施工特点、质量要求、工期和施工安全保障等因素制定完整、合理、技术针对性强的方案与措施。</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sz w:val="21"/>
                <w:color w:val="000000"/>
              </w:rPr>
              <w:t>质量管理体系与措施</w:t>
            </w:r>
            <w:r>
              <w:rPr>
                <w:rFonts w:ascii="仿宋_GB2312" w:hAnsi="仿宋_GB2312" w:cs="仿宋_GB2312" w:eastAsia="仿宋_GB2312"/>
                <w:sz w:val="21"/>
                <w:color w:val="000000"/>
              </w:rPr>
              <w:t>：针对本项目特点制定健全的</w:t>
            </w:r>
            <w:r>
              <w:rPr>
                <w:rFonts w:ascii="仿宋_GB2312" w:hAnsi="仿宋_GB2312" w:cs="仿宋_GB2312" w:eastAsia="仿宋_GB2312"/>
                <w:sz w:val="21"/>
                <w:color w:val="000000"/>
              </w:rPr>
              <w:t>质量管理体系，合理</w:t>
            </w:r>
            <w:r>
              <w:rPr>
                <w:rFonts w:ascii="仿宋_GB2312" w:hAnsi="仿宋_GB2312" w:cs="仿宋_GB2312" w:eastAsia="仿宋_GB2312"/>
                <w:sz w:val="21"/>
                <w:color w:val="000000"/>
              </w:rPr>
              <w:t>有效的</w:t>
            </w:r>
            <w:r>
              <w:rPr>
                <w:rFonts w:ascii="仿宋_GB2312" w:hAnsi="仿宋_GB2312" w:cs="仿宋_GB2312" w:eastAsia="仿宋_GB2312"/>
                <w:sz w:val="21"/>
                <w:color w:val="000000"/>
              </w:rPr>
              <w:t>质量保证措施。</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sz w:val="21"/>
              </w:rPr>
              <w:t>安全管理体系与措施：根据项目特点，制定健全的安全管理体系和有针对性的安全防护方措施。</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sz w:val="21"/>
              </w:rPr>
              <w:t>环境保护管理体系与措施：根据项目特点，制定健全的环境保护管理体系及合理的环境保护措施。</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sz w:val="21"/>
              </w:rPr>
              <w:t>工程进度计划与措施：根据项目特点制定合理、有效的施工进度计划与措施。</w:t>
            </w:r>
          </w:p>
        </w:tc>
      </w:tr>
      <w:tr>
        <w:tc>
          <w:tcPr>
            <w:tcW w:type="dxa" w:w="2769"/>
          </w:tcPr>
          <w:p>
            <w:pPr>
              <w:pStyle w:val="null5"/>
              <w:jc w:val="left"/>
            </w:pPr>
            <w:r>
              <w:rPr>
                <w:rFonts w:ascii="仿宋_GB2312" w:hAnsi="仿宋_GB2312" w:cs="仿宋_GB2312" w:eastAsia="仿宋_GB2312"/>
              </w:rPr>
              <w:t>17</w:t>
            </w:r>
          </w:p>
        </w:tc>
        <w:tc>
          <w:tcPr>
            <w:tcW w:type="dxa" w:w="2769"/>
          </w:tcPr>
          <w:p/>
        </w:tc>
        <w:tc>
          <w:tcPr>
            <w:tcW w:type="dxa" w:w="2769"/>
          </w:tcPr>
          <w:p>
            <w:pPr>
              <w:pStyle w:val="null5"/>
              <w:jc w:val="left"/>
            </w:pPr>
            <w:r>
              <w:rPr>
                <w:rFonts w:ascii="仿宋_GB2312" w:hAnsi="仿宋_GB2312" w:cs="仿宋_GB2312" w:eastAsia="仿宋_GB2312"/>
                <w:sz w:val="21"/>
              </w:rPr>
              <w:t>资源配备计划：根据项目特点制定合理可靠的资源配备计划。</w:t>
            </w:r>
          </w:p>
        </w:tc>
      </w:tr>
      <w:tr>
        <w:tc>
          <w:tcPr>
            <w:tcW w:type="dxa" w:w="2769"/>
          </w:tcPr>
          <w:p>
            <w:pPr>
              <w:pStyle w:val="null5"/>
              <w:jc w:val="left"/>
            </w:pPr>
            <w:r>
              <w:rPr>
                <w:rFonts w:ascii="仿宋_GB2312" w:hAnsi="仿宋_GB2312" w:cs="仿宋_GB2312" w:eastAsia="仿宋_GB2312"/>
              </w:rPr>
              <w:t>18</w:t>
            </w:r>
          </w:p>
        </w:tc>
        <w:tc>
          <w:tcPr>
            <w:tcW w:type="dxa" w:w="2769"/>
          </w:tcPr>
          <w:p/>
        </w:tc>
        <w:tc>
          <w:tcPr>
            <w:tcW w:type="dxa" w:w="2769"/>
          </w:tcPr>
          <w:p>
            <w:pPr>
              <w:pStyle w:val="null5"/>
              <w:jc w:val="left"/>
            </w:pPr>
            <w:r>
              <w:rPr>
                <w:rFonts w:ascii="仿宋_GB2312" w:hAnsi="仿宋_GB2312" w:cs="仿宋_GB2312" w:eastAsia="仿宋_GB2312"/>
                <w:sz w:val="21"/>
              </w:rPr>
              <w:t>成品（原有建筑）保护方案：针对本项目制定合理有效、符合实际的成品（原有建筑）保护方案。</w:t>
            </w:r>
          </w:p>
        </w:tc>
      </w:tr>
      <w:tr>
        <w:tc>
          <w:tcPr>
            <w:tcW w:type="dxa" w:w="2769"/>
          </w:tcPr>
          <w:p>
            <w:pPr>
              <w:pStyle w:val="null5"/>
              <w:jc w:val="left"/>
            </w:pPr>
            <w:r>
              <w:rPr>
                <w:rFonts w:ascii="仿宋_GB2312" w:hAnsi="仿宋_GB2312" w:cs="仿宋_GB2312" w:eastAsia="仿宋_GB2312"/>
              </w:rPr>
              <w:t>19</w:t>
            </w:r>
          </w:p>
        </w:tc>
        <w:tc>
          <w:tcPr>
            <w:tcW w:type="dxa" w:w="2769"/>
          </w:tcPr>
          <w:p/>
        </w:tc>
        <w:tc>
          <w:tcPr>
            <w:tcW w:type="dxa" w:w="2769"/>
          </w:tcPr>
          <w:p>
            <w:pPr>
              <w:pStyle w:val="null5"/>
              <w:jc w:val="left"/>
            </w:pPr>
            <w:r>
              <w:rPr>
                <w:rFonts w:ascii="仿宋_GB2312" w:hAnsi="仿宋_GB2312" w:cs="仿宋_GB2312" w:eastAsia="仿宋_GB2312"/>
                <w:sz w:val="21"/>
              </w:rPr>
              <w:t>报价要求：为防范恶意低价谋取成交影响项目实施，磋商(谈判)小组在认为供应商最终报价明显低于其他实质响应供应商报价、有可能影响施工质量、难以诚信履约时，磋商(谈判)小组可以要求供应商在合理的时间内上传书面说明，说明内容包括但不限于其最后报价与首次报价差额的原因、可诚信履约的具体理由等，如供应商不能说明报价合理性的，磋商(谈判)小组可以将其作为无效响应。</w:t>
            </w:r>
          </w:p>
        </w:tc>
      </w:tr>
      <w:tr>
        <w:tc>
          <w:tcPr>
            <w:tcW w:type="dxa" w:w="2769"/>
          </w:tcPr>
          <w:p>
            <w:pPr>
              <w:pStyle w:val="null5"/>
              <w:jc w:val="left"/>
            </w:pPr>
            <w:r>
              <w:rPr>
                <w:rFonts w:ascii="仿宋_GB2312" w:hAnsi="仿宋_GB2312" w:cs="仿宋_GB2312" w:eastAsia="仿宋_GB2312"/>
              </w:rPr>
              <w:t>20</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rPr>
              <w:t>农民工工资支付承诺：供应商须提供农民工工资支付承诺书，承诺书格式详见采购文件附件《农民工工资支付承诺书》。</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2.提供递交投标文件截止之日前一年内（至少一个月）缴纳社会保险的凭证。（以专用收据或社会保险缴纳清单为准） 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供应商资格条件</w:t>
            </w:r>
          </w:p>
        </w:tc>
        <w:tc>
          <w:tcPr>
            <w:tcW w:type="dxa" w:w="4984"/>
          </w:tcPr>
          <w:p>
            <w:pPr>
              <w:pStyle w:val="null5"/>
              <w:jc w:val="left"/>
            </w:pPr>
            <w:r>
              <w:rPr>
                <w:rFonts w:ascii="仿宋_GB2312" w:hAnsi="仿宋_GB2312" w:cs="仿宋_GB2312" w:eastAsia="仿宋_GB2312"/>
              </w:rPr>
              <w:t xml:space="preserve"> 供应商须具备建设行政主管部门核发的【建筑工程施工总承包】叁级（含）以上资质，如供应商已申办 2020年11月30日建市〔2020〕94号《住房和城乡建设部关于印发建设工程企业资质管理制度改革方案的通知》中住建部要求的最新资质，供应商须具备建设行政主管部门颁发的【施工综合资质】或【建筑工程施工总承包】乙级（含）以上资质，且具备有效的安全生产许可证（响应文件须附资质证书原件扫描件）（注：以联合体投标的，联合体各方均应满足）。</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针对该项目屋顶，外立面玻璃、石材、 钢材，室内钢结构、墙面及室外散水等专项技术安全防护、临时设施搭拆、施工人员安置、组织流线、施工专用通道设置等因素制定完整、科学、有效的施工组织设计。方案内容完整全面、针对性强得6.0分； 方案内容相对完整、部分内容具有针对性得4.0分； 方案内容有缺失，针对性一般得2.0分，未提供不得分。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针对本项目施工特点、质量要求、工期和施工安全保障等因素制定完整、合理、技术针对性强的方案与措施。 施工方案针对上述项目内容制定完整、合理，内容完全响应无缺失；技术措施针对上述项目内容编制无缺失，完全符合项目实际情况的，得10.0分； 施工方案针对上述项目内容制定比较完整、合理，内容无缺失；技术措施针对上述项目内容编制无缺失，比较符合项目实际情况的，得8.0分； 施工方案针对上述项目内容制定基本完整、合理，内容无缺失；技术措施针对上述项目内容编制无缺失，基本符合项目实际情况的，得6.0分； 施工方案针对上述项目内容制定不太完整、合理，内容有缺失；技术措施针对上述项目内容编制有缺失，不太符合项目实际情况的，得4.0分； 施工方案针对上述项目内容制定完整性较差、合理性不强，技术措施未针对上述项目内容实际情况编制的，得2.0分；不提供相关内容不得分。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非常健全，质量保证措施严格按照施工技术规范、标准及项目特点编制且针对性合理的，得8.0分；质量管理体系比较健全，质量保证措施按照施工技术规范、标准及项目特点编制且针对性较为合理的，得6.0分；质量管理体系基本健全，质量保证措施基本按照施工技术规范、标准编制且针对性基本合理的，得4.0分；质量管理体系不健全，质量保证措施没有按照施工技术规范、标准及项目特点编制且针对性不合理的，得2.0分；无相关内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根据安全文明目标资源配备计划满足采购文件要求，安全管理体系健全、安全防护方案针对项目特点编制且符合国家及地方管理规定，防护措施根据项目特点有针对性编制等进行评审。 安全管理体系计划具体、完整、可行，保证措施合理、先进、针对性强的, 得8.0分； 安全管理体系计划较为具体、完整、可行，保证措施较为合理、针对性较为合理的，得6.0分；安全管理体系计划一般，保证措施针对性一般的，得4.0分；安全管理体系计划不合理，保证措施无针对性的得2.0分；无安全管理体系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根据环境保护管理体系的健全性、环境保护措施是否针对施工过程中的扬尘、降噪、垃圾清运、污染物处理及排放等情况制定，综合评定。 环境保护管理体系与措施内容完整、合理、可靠、可行性高、针对性强的，得8.0分； 环境保护管理体系与措施内容较完整、合理、可靠、可行性较高、针对性较强的，得6.0分； 环境保护管理体系与措施内容一般，合理性、可靠性、针对性一般的，得4.0分； 环境保护管理体系与措施内容有缺失，合理性、可靠性较差，无针对性的，得2.0分；不提供不得分。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工程进度计划严格按采购要求安排，施工工序搭配逻辑关系和关键线路清晰、合理，施工管控措施针对性强，工期保障措施切实可行，并能指导施工且针对性强的，得8.0分； 工程进度计划按采购要求安排，施工工序搭配逻辑关系和关键线路较清晰、合理，施工管控措施针对性较强，工期保障措施比较切实可行，并能指导施工且针对性较强的，得6.0分； 工程进度计划按采购要求安排，施工工序搭配逻辑关系和关键线路基本清晰、合理，施工管控措施针对性基本合理，工期保障措施基本可行，基本能指导施工的，得4.0分；工程进度计划未按采购要求安排，施工工序搭配逻辑关系和关键线路不够清晰、不太合理，施工管控措施基本无针对性，工期保障措施不太可行，指导施工有缺陷的，得2.0分；无工程进度计划与措施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的，得8.0分；承诺投入的劳动力与施工设备数量、种类较完整，合理、可靠、可行性较高、针对性较强得6.0分；承诺投入的劳动力与施工设备数量、种类一般、针对性一般得4.0分；承诺投入的劳动力与施工设备数量、种类较差、无针对性得2.0分；无资源配备计划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成品（原有建筑）保护方案</w:t>
            </w:r>
          </w:p>
        </w:tc>
        <w:tc>
          <w:tcPr>
            <w:tcW w:type="dxa" w:w="3115"/>
          </w:tcPr>
          <w:p>
            <w:pPr>
              <w:pStyle w:val="null5"/>
              <w:jc w:val="left"/>
            </w:pPr>
            <w:r>
              <w:rPr>
                <w:rFonts w:ascii="仿宋_GB2312" w:hAnsi="仿宋_GB2312" w:cs="仿宋_GB2312" w:eastAsia="仿宋_GB2312"/>
              </w:rPr>
              <w:t>针对本项目并结合采购项目的实际需求提供的成品（原有主体） 保护方案，包括但不限于保护目标、保护制度、保护措施或方法。 保护方案内容完善、合理、有利于项目实施的，得4..0分； 保护方案内容基本完善、基本合理、大部分有利于项目实施的，得2.0分； 保护方案内容有所阐述但不够完善、少部分合理、少部分有利于项目实施，少部分贴合项目实际情况的，得1.0分；无相关描述不得分。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1.针对本项目配备施工员、安全员、质检员/质量员、资料员、材料员、预 算员/造价员/造价工程师、劳务员齐全的，得2分；只配备施工员、质检员/质量员、安全员的，得1分（施工员、质检员/质量员、安全员不得同时在2个及以上在建项目中任职，须提供承诺书并加盖公章，承诺书格式自拟），否则不得分。本项最高得2分。 2. 上述人员中有1名中级（含）及以上工程师职称的，得1分,最高得2分（安全员须提供有效的安全员安全生产考核合格证，劳务员须提供有效的身份证，其余人员须提供有效的职业资格证书或岗位证书，具备中级及以上工程师职称的须提供职称证书，响应文件中须附上述证书原件扫描件及承诺书）。 3.以联合体投标的，上述人员可以 是联合体任意一方的人员，但须在本单位工作。</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2022年1月1日至今，以合同签订时间为准）供应商每承揽过1项建筑工程施工业绩的，得1.5分，本项最高得3分（响应文件须附合同原件扫描件）。（注：以联合体形式投标的，联合体各方的业绩均可作为该联合体的业绩）</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近年（2022年1月1日至今，以合同签订时间为准）拟派项目负责人每担任过1个建筑工程项目的项目负责人的，得1.5分，本项最高得3.0分（响应文件须附合同原件扫描件）。 注： 1、项目负责人与供应商同一业绩不重复计算得分，当某项业绩同属于项目负责人和供应商时，优先按项目负责人业绩计取。(须提供合同原件扫描件) ； 2、如合同中未体现项目负责人信息，供应商须提供载明合同发包方或建设行政主管部门出具的证明材料原件扫描件，未能提供，视为无效业绩。</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