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E9085D">
      <w:pPr>
        <w:rPr>
          <w:rFonts w:ascii="宋体" w:hAnsi="宋体"/>
          <w:color w:val="auto"/>
          <w:highlight w:val="none"/>
          <w:u w:val="single"/>
        </w:rPr>
      </w:pPr>
    </w:p>
    <w:p w14:paraId="1838673A">
      <w:pPr>
        <w:rPr>
          <w:rFonts w:ascii="宋体" w:hAnsi="宋体"/>
          <w:color w:val="auto"/>
          <w:highlight w:val="none"/>
        </w:rPr>
      </w:pPr>
    </w:p>
    <w:p w14:paraId="5CBF2975">
      <w:pPr>
        <w:ind w:firstLine="354" w:firstLineChars="147"/>
        <w:rPr>
          <w:rFonts w:hint="eastAsia" w:ascii="宋体" w:hAnsi="宋体" w:eastAsia="宋体" w:cs="宋体"/>
          <w:b/>
          <w:color w:val="auto"/>
          <w:sz w:val="24"/>
          <w:highlight w:val="none"/>
          <w:lang w:val="en-US" w:eastAsia="zh-CN"/>
        </w:rPr>
      </w:pPr>
      <w:bookmarkStart w:id="0" w:name="_Toc414558335"/>
      <w:r>
        <w:rPr>
          <w:rFonts w:hint="eastAsia" w:ascii="宋体" w:hAnsi="宋体" w:cs="宋体"/>
          <w:b/>
          <w:color w:val="auto"/>
          <w:sz w:val="24"/>
          <w:highlight w:val="none"/>
        </w:rPr>
        <w:t xml:space="preserve">（GF-2017-0201）                       </w:t>
      </w:r>
      <w:r>
        <w:rPr>
          <w:rFonts w:hint="eastAsia" w:ascii="宋体" w:hAnsi="宋体" w:cs="宋体"/>
          <w:b/>
          <w:color w:val="auto"/>
          <w:sz w:val="24"/>
          <w:highlight w:val="none"/>
          <w:lang w:eastAsia="zh-CN"/>
        </w:rPr>
        <w:t>合同</w:t>
      </w:r>
      <w:r>
        <w:rPr>
          <w:rFonts w:hint="eastAsia" w:ascii="宋体" w:hAnsi="宋体" w:cs="宋体"/>
          <w:b/>
          <w:color w:val="auto"/>
          <w:sz w:val="24"/>
          <w:highlight w:val="none"/>
        </w:rPr>
        <w:t>编号：</w:t>
      </w:r>
      <w:r>
        <w:rPr>
          <w:rFonts w:hint="eastAsia" w:ascii="宋体" w:hAnsi="宋体" w:cs="宋体"/>
          <w:b/>
          <w:color w:val="auto"/>
          <w:sz w:val="24"/>
          <w:highlight w:val="none"/>
          <w:lang w:val="en-US" w:eastAsia="zh-CN"/>
        </w:rPr>
        <w:t xml:space="preserve"> </w:t>
      </w:r>
    </w:p>
    <w:p w14:paraId="13DF6978">
      <w:pPr>
        <w:ind w:firstLine="420" w:firstLineChars="200"/>
        <w:rPr>
          <w:rFonts w:ascii="宋体" w:hAnsi="宋体" w:cs="宋体"/>
          <w:color w:val="auto"/>
          <w:highlight w:val="none"/>
        </w:rPr>
      </w:pPr>
    </w:p>
    <w:p w14:paraId="7712EDAB">
      <w:pPr>
        <w:rPr>
          <w:rFonts w:ascii="宋体" w:hAnsi="宋体" w:cs="宋体"/>
          <w:color w:val="auto"/>
          <w:sz w:val="44"/>
          <w:szCs w:val="44"/>
          <w:highlight w:val="none"/>
        </w:rPr>
      </w:pPr>
    </w:p>
    <w:p w14:paraId="6B6F9066">
      <w:pPr>
        <w:rPr>
          <w:rFonts w:ascii="宋体" w:hAnsi="宋体" w:cs="宋体"/>
          <w:b/>
          <w:color w:val="auto"/>
          <w:sz w:val="44"/>
          <w:szCs w:val="44"/>
          <w:highlight w:val="none"/>
        </w:rPr>
      </w:pPr>
    </w:p>
    <w:p w14:paraId="585D274E">
      <w:pPr>
        <w:keepNext w:val="0"/>
        <w:keepLines w:val="0"/>
        <w:widowControl/>
        <w:suppressLineNumbers w:val="0"/>
        <w:jc w:val="center"/>
        <w:rPr>
          <w:rFonts w:ascii="宋体" w:hAnsi="宋体" w:cs="宋体"/>
          <w:b/>
          <w:color w:val="auto"/>
          <w:sz w:val="44"/>
          <w:szCs w:val="44"/>
          <w:highlight w:val="none"/>
        </w:rPr>
      </w:pPr>
      <w:r>
        <w:rPr>
          <w:rFonts w:hint="eastAsia" w:ascii="宋体" w:hAnsi="宋体"/>
          <w:b/>
          <w:bCs/>
          <w:color w:val="auto"/>
          <w:sz w:val="44"/>
          <w:szCs w:val="44"/>
          <w:highlight w:val="none"/>
          <w:lang w:val="en-US" w:eastAsia="zh-CN"/>
        </w:rPr>
        <w:t>XXXX</w:t>
      </w:r>
      <w:r>
        <w:rPr>
          <w:rFonts w:hint="eastAsia" w:ascii="宋体" w:hAnsi="宋体" w:cs="宋体"/>
          <w:b/>
          <w:color w:val="auto"/>
          <w:sz w:val="44"/>
          <w:szCs w:val="44"/>
          <w:highlight w:val="none"/>
        </w:rPr>
        <w:t>施工</w:t>
      </w:r>
      <w:r>
        <w:rPr>
          <w:rFonts w:hint="eastAsia" w:ascii="宋体" w:hAnsi="宋体" w:cs="宋体"/>
          <w:b/>
          <w:color w:val="auto"/>
          <w:sz w:val="44"/>
          <w:szCs w:val="44"/>
          <w:highlight w:val="none"/>
          <w:lang w:eastAsia="zh-CN"/>
        </w:rPr>
        <w:t>采购</w:t>
      </w:r>
      <w:r>
        <w:rPr>
          <w:rFonts w:hint="eastAsia" w:ascii="宋体" w:hAnsi="宋体" w:cs="宋体"/>
          <w:b/>
          <w:color w:val="auto"/>
          <w:sz w:val="44"/>
          <w:szCs w:val="44"/>
          <w:highlight w:val="none"/>
        </w:rPr>
        <w:t>合同</w:t>
      </w:r>
    </w:p>
    <w:p w14:paraId="535C3A9C">
      <w:pPr>
        <w:ind w:firstLine="880" w:firstLineChars="200"/>
        <w:rPr>
          <w:rFonts w:ascii="宋体" w:hAnsi="宋体" w:cs="宋体"/>
          <w:color w:val="auto"/>
          <w:sz w:val="44"/>
          <w:szCs w:val="44"/>
          <w:highlight w:val="none"/>
        </w:rPr>
      </w:pPr>
    </w:p>
    <w:p w14:paraId="559EAFFC">
      <w:pPr>
        <w:ind w:firstLine="880" w:firstLineChars="200"/>
        <w:rPr>
          <w:rFonts w:ascii="宋体" w:hAnsi="宋体" w:cs="宋体"/>
          <w:color w:val="auto"/>
          <w:sz w:val="44"/>
          <w:szCs w:val="44"/>
          <w:highlight w:val="none"/>
        </w:rPr>
      </w:pPr>
    </w:p>
    <w:p w14:paraId="6E532859">
      <w:pPr>
        <w:ind w:firstLine="880" w:firstLineChars="200"/>
        <w:rPr>
          <w:rFonts w:ascii="宋体" w:hAnsi="宋体" w:cs="宋体"/>
          <w:color w:val="auto"/>
          <w:sz w:val="44"/>
          <w:szCs w:val="44"/>
          <w:highlight w:val="none"/>
        </w:rPr>
      </w:pPr>
    </w:p>
    <w:p w14:paraId="65D59C1A">
      <w:pPr>
        <w:pStyle w:val="2"/>
        <w:rPr>
          <w:color w:val="auto"/>
        </w:rPr>
      </w:pPr>
    </w:p>
    <w:p w14:paraId="03FBDFE1">
      <w:pPr>
        <w:ind w:firstLine="420" w:firstLineChars="200"/>
        <w:rPr>
          <w:rFonts w:ascii="宋体" w:hAnsi="宋体" w:cs="宋体"/>
          <w:color w:val="auto"/>
          <w:highlight w:val="none"/>
        </w:rPr>
      </w:pPr>
    </w:p>
    <w:p w14:paraId="0718F154">
      <w:pPr>
        <w:spacing w:line="360" w:lineRule="auto"/>
        <w:rPr>
          <w:color w:val="auto"/>
        </w:rPr>
      </w:pPr>
      <w:r>
        <w:rPr>
          <w:rFonts w:hint="eastAsia" w:ascii="宋体" w:hAnsi="宋体" w:cs="宋体"/>
          <w:b/>
          <w:color w:val="auto"/>
          <w:sz w:val="32"/>
          <w:szCs w:val="32"/>
          <w:highlight w:val="none"/>
        </w:rPr>
        <w:t>发包人（</w:t>
      </w:r>
      <w:r>
        <w:rPr>
          <w:rFonts w:hint="eastAsia" w:ascii="宋体" w:hAnsi="宋体" w:cs="宋体"/>
          <w:b/>
          <w:color w:val="auto"/>
          <w:sz w:val="32"/>
          <w:szCs w:val="32"/>
          <w:highlight w:val="none"/>
          <w:lang w:eastAsia="zh-CN"/>
        </w:rPr>
        <w:t>甲方</w:t>
      </w:r>
      <w:r>
        <w:rPr>
          <w:rFonts w:hint="eastAsia" w:ascii="宋体" w:hAnsi="宋体" w:cs="宋体"/>
          <w:b/>
          <w:color w:val="auto"/>
          <w:sz w:val="32"/>
          <w:szCs w:val="32"/>
          <w:highlight w:val="none"/>
        </w:rPr>
        <w:t>）：鄂尔多斯市政府投资项目代建中心</w:t>
      </w:r>
    </w:p>
    <w:p w14:paraId="4AC057BD">
      <w:pPr>
        <w:spacing w:line="360" w:lineRule="auto"/>
        <w:rPr>
          <w:rFonts w:hint="default" w:ascii="宋体" w:hAnsi="宋体" w:cs="宋体"/>
          <w:color w:val="auto"/>
          <w:sz w:val="32"/>
          <w:szCs w:val="32"/>
          <w:highlight w:val="none"/>
          <w:u w:val="single"/>
          <w:lang w:val="en-US"/>
        </w:rPr>
      </w:pPr>
      <w:r>
        <w:rPr>
          <w:rFonts w:hint="eastAsia" w:ascii="宋体" w:hAnsi="宋体" w:cs="宋体"/>
          <w:b/>
          <w:color w:val="auto"/>
          <w:sz w:val="32"/>
          <w:szCs w:val="32"/>
          <w:highlight w:val="none"/>
        </w:rPr>
        <w:t>承包人（</w:t>
      </w:r>
      <w:r>
        <w:rPr>
          <w:rFonts w:hint="eastAsia" w:ascii="宋体" w:hAnsi="宋体" w:cs="宋体"/>
          <w:b/>
          <w:color w:val="auto"/>
          <w:sz w:val="32"/>
          <w:szCs w:val="32"/>
          <w:highlight w:val="none"/>
          <w:lang w:eastAsia="zh-CN"/>
        </w:rPr>
        <w:t>乙方</w:t>
      </w:r>
      <w:r>
        <w:rPr>
          <w:rFonts w:hint="eastAsia" w:ascii="宋体" w:hAnsi="宋体" w:cs="宋体"/>
          <w:b/>
          <w:color w:val="auto"/>
          <w:sz w:val="32"/>
          <w:szCs w:val="32"/>
          <w:highlight w:val="none"/>
        </w:rPr>
        <w:t>）：</w:t>
      </w:r>
      <w:r>
        <w:rPr>
          <w:rFonts w:hint="eastAsia" w:ascii="宋体" w:hAnsi="宋体" w:cs="宋体"/>
          <w:b/>
          <w:color w:val="auto"/>
          <w:sz w:val="32"/>
          <w:szCs w:val="32"/>
          <w:highlight w:val="none"/>
          <w:lang w:val="en-US" w:eastAsia="zh-CN"/>
        </w:rPr>
        <w:t>XXXXXX</w:t>
      </w:r>
    </w:p>
    <w:p w14:paraId="56542551">
      <w:pPr>
        <w:spacing w:line="520" w:lineRule="exact"/>
        <w:jc w:val="center"/>
        <w:rPr>
          <w:rFonts w:ascii="宋体" w:hAnsi="宋体" w:cs="宋体"/>
          <w:b/>
          <w:color w:val="auto"/>
          <w:spacing w:val="42"/>
          <w:sz w:val="32"/>
          <w:szCs w:val="32"/>
          <w:highlight w:val="none"/>
        </w:rPr>
      </w:pPr>
    </w:p>
    <w:p w14:paraId="71BD088C">
      <w:pPr>
        <w:pStyle w:val="2"/>
        <w:rPr>
          <w:color w:val="auto"/>
        </w:rPr>
      </w:pPr>
    </w:p>
    <w:p w14:paraId="7CBA1167">
      <w:pPr>
        <w:pageBreakBefore w:val="0"/>
        <w:kinsoku/>
        <w:wordWrap/>
        <w:overflowPunct/>
        <w:topLinePunct w:val="0"/>
        <w:autoSpaceDE/>
        <w:autoSpaceDN/>
        <w:bidi w:val="0"/>
        <w:adjustRightInd/>
        <w:snapToGrid/>
        <w:spacing w:line="560" w:lineRule="exact"/>
        <w:jc w:val="center"/>
        <w:textAlignment w:val="auto"/>
        <w:rPr>
          <w:rFonts w:hint="eastAsia" w:ascii="宋体" w:hAnsi="宋体" w:cs="宋体"/>
          <w:b/>
          <w:color w:val="auto"/>
          <w:spacing w:val="42"/>
          <w:sz w:val="32"/>
          <w:szCs w:val="32"/>
          <w:highlight w:val="none"/>
        </w:rPr>
      </w:pPr>
      <w:r>
        <w:rPr>
          <w:rFonts w:hint="eastAsia" w:ascii="宋体" w:hAnsi="宋体" w:cs="宋体"/>
          <w:b/>
          <w:color w:val="auto"/>
          <w:spacing w:val="42"/>
          <w:sz w:val="32"/>
          <w:szCs w:val="32"/>
          <w:highlight w:val="none"/>
        </w:rPr>
        <w:t>住房和城乡建设部</w:t>
      </w:r>
    </w:p>
    <w:p w14:paraId="15F030FB">
      <w:pPr>
        <w:pageBreakBefore w:val="0"/>
        <w:kinsoku/>
        <w:wordWrap/>
        <w:overflowPunct/>
        <w:topLinePunct w:val="0"/>
        <w:autoSpaceDE/>
        <w:autoSpaceDN/>
        <w:bidi w:val="0"/>
        <w:adjustRightInd/>
        <w:snapToGrid/>
        <w:spacing w:line="560" w:lineRule="exact"/>
        <w:jc w:val="center"/>
        <w:textAlignment w:val="auto"/>
        <w:rPr>
          <w:rFonts w:ascii="宋体" w:hAnsi="宋体" w:cs="宋体"/>
          <w:b/>
          <w:color w:val="auto"/>
          <w:spacing w:val="42"/>
          <w:sz w:val="32"/>
          <w:szCs w:val="32"/>
          <w:highlight w:val="none"/>
        </w:rPr>
      </w:pPr>
      <w:r>
        <w:rPr>
          <w:rFonts w:hint="eastAsia" w:ascii="宋体" w:hAnsi="宋体" w:cs="宋体"/>
          <w:b/>
          <w:color w:val="auto"/>
          <w:spacing w:val="42"/>
          <w:sz w:val="32"/>
          <w:szCs w:val="32"/>
          <w:highlight w:val="none"/>
        </w:rPr>
        <w:t>国家工商行政管理局制定</w:t>
      </w:r>
    </w:p>
    <w:p w14:paraId="51D847D5">
      <w:pPr>
        <w:keepNext/>
        <w:keepLines/>
        <w:pageBreakBefore w:val="0"/>
        <w:kinsoku/>
        <w:wordWrap/>
        <w:overflowPunct/>
        <w:topLinePunct w:val="0"/>
        <w:autoSpaceDE/>
        <w:autoSpaceDN/>
        <w:bidi w:val="0"/>
        <w:adjustRightInd/>
        <w:snapToGrid/>
        <w:spacing w:before="260" w:after="260" w:line="560" w:lineRule="exact"/>
        <w:jc w:val="center"/>
        <w:textAlignment w:val="auto"/>
        <w:outlineLvl w:val="1"/>
        <w:rPr>
          <w:rFonts w:ascii="宋体" w:hAnsi="宋体" w:cs="宋体"/>
          <w:b/>
          <w:bCs/>
          <w:color w:val="auto"/>
          <w:kern w:val="0"/>
          <w:sz w:val="24"/>
          <w:szCs w:val="24"/>
          <w:highlight w:val="none"/>
        </w:rPr>
        <w:sectPr>
          <w:footerReference r:id="rId3" w:type="first"/>
          <w:pgSz w:w="11906" w:h="16838"/>
          <w:pgMar w:top="1417" w:right="1555" w:bottom="1417" w:left="1531" w:header="851" w:footer="992" w:gutter="0"/>
          <w:pgNumType w:fmt="decimal" w:start="1"/>
          <w:cols w:space="720" w:num="1"/>
          <w:rtlGutter w:val="0"/>
          <w:docGrid w:type="lines" w:linePitch="312" w:charSpace="0"/>
        </w:sectPr>
      </w:pPr>
      <w:bookmarkStart w:id="1" w:name="_Toc51266243"/>
    </w:p>
    <w:bookmarkEnd w:id="0"/>
    <w:bookmarkEnd w:id="1"/>
    <w:p w14:paraId="7827DFD6">
      <w:pPr>
        <w:numPr>
          <w:ilvl w:val="0"/>
          <w:numId w:val="0"/>
        </w:numPr>
        <w:ind w:firstLine="2891" w:firstLineChars="900"/>
        <w:rPr>
          <w:rFonts w:hint="eastAsia"/>
          <w:color w:val="auto"/>
          <w:lang w:eastAsia="zh-CN"/>
        </w:rPr>
      </w:pPr>
      <w:r>
        <w:rPr>
          <w:rFonts w:hint="eastAsia" w:ascii="宋体" w:hAnsi="宋体" w:cs="宋体"/>
          <w:b/>
          <w:bCs/>
          <w:color w:val="auto"/>
          <w:kern w:val="0"/>
          <w:sz w:val="32"/>
          <w:szCs w:val="32"/>
          <w:highlight w:val="none"/>
          <w:lang w:val="en-US" w:eastAsia="zh-CN"/>
        </w:rPr>
        <w:t xml:space="preserve">第一部分 </w:t>
      </w:r>
      <w:r>
        <w:rPr>
          <w:rFonts w:hint="eastAsia" w:ascii="宋体" w:hAnsi="宋体" w:cs="宋体"/>
          <w:b/>
          <w:bCs/>
          <w:color w:val="auto"/>
          <w:kern w:val="0"/>
          <w:sz w:val="32"/>
          <w:szCs w:val="32"/>
          <w:highlight w:val="none"/>
          <w:lang w:eastAsia="zh-CN"/>
        </w:rPr>
        <w:t>合同协议书</w:t>
      </w:r>
    </w:p>
    <w:p w14:paraId="07DBCEB3">
      <w:pPr>
        <w:spacing w:line="360" w:lineRule="auto"/>
        <w:rPr>
          <w:rFonts w:hint="eastAsia" w:ascii="宋体" w:hAnsi="宋体" w:cs="宋体"/>
          <w:b/>
          <w:color w:val="auto"/>
          <w:sz w:val="24"/>
          <w:szCs w:val="24"/>
          <w:highlight w:val="none"/>
        </w:rPr>
      </w:pPr>
    </w:p>
    <w:p w14:paraId="29E4733C">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发包人</w:t>
      </w:r>
      <w:r>
        <w:rPr>
          <w:rFonts w:hint="eastAsia" w:ascii="宋体" w:hAnsi="宋体" w:cs="宋体"/>
          <w:b/>
          <w:color w:val="auto"/>
          <w:sz w:val="24"/>
          <w:szCs w:val="24"/>
          <w:highlight w:val="none"/>
          <w:lang w:eastAsia="zh-CN"/>
        </w:rPr>
        <w:t>（甲方）</w:t>
      </w:r>
      <w:r>
        <w:rPr>
          <w:rFonts w:hint="eastAsia" w:ascii="宋体" w:hAnsi="宋体" w:cs="宋体"/>
          <w:b/>
          <w:color w:val="auto"/>
          <w:sz w:val="24"/>
          <w:szCs w:val="24"/>
          <w:highlight w:val="none"/>
        </w:rPr>
        <w:t>：鄂尔多斯市政府投资项目代建中心</w:t>
      </w:r>
    </w:p>
    <w:p w14:paraId="41DC4AB7">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地址（详细地址）：鄂尔多斯市康巴什区</w:t>
      </w:r>
    </w:p>
    <w:p w14:paraId="22A2C285">
      <w:pPr>
        <w:widowControl/>
        <w:spacing w:line="360" w:lineRule="auto"/>
        <w:jc w:val="left"/>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rPr>
        <w:t>承包人</w:t>
      </w:r>
      <w:r>
        <w:rPr>
          <w:rFonts w:hint="eastAsia" w:ascii="宋体" w:hAnsi="宋体" w:cs="宋体"/>
          <w:b/>
          <w:color w:val="auto"/>
          <w:sz w:val="24"/>
          <w:szCs w:val="24"/>
          <w:highlight w:val="none"/>
          <w:lang w:eastAsia="zh-CN"/>
        </w:rPr>
        <w:t>（乙方）</w:t>
      </w:r>
      <w:r>
        <w:rPr>
          <w:rFonts w:hint="eastAsia" w:ascii="宋体" w:hAnsi="宋体" w:cs="宋体"/>
          <w:b/>
          <w:color w:val="auto"/>
          <w:sz w:val="24"/>
          <w:szCs w:val="24"/>
          <w:highlight w:val="none"/>
        </w:rPr>
        <w:t>：</w:t>
      </w:r>
      <w:r>
        <w:rPr>
          <w:rFonts w:hint="eastAsia" w:ascii="宋体" w:hAnsi="宋体" w:cs="宋体"/>
          <w:b/>
          <w:color w:val="auto"/>
          <w:sz w:val="24"/>
          <w:szCs w:val="24"/>
          <w:highlight w:val="none"/>
          <w:lang w:val="en-US" w:eastAsia="zh-CN"/>
        </w:rPr>
        <w:t>XXXXXX</w:t>
      </w:r>
    </w:p>
    <w:p w14:paraId="2B07DEC6">
      <w:pPr>
        <w:widowControl/>
        <w:spacing w:line="360" w:lineRule="auto"/>
        <w:jc w:val="left"/>
        <w:rPr>
          <w:rFonts w:hint="default" w:ascii="宋体" w:hAnsi="宋体" w:eastAsia="宋体" w:cs="宋体"/>
          <w:b/>
          <w:color w:val="auto"/>
          <w:sz w:val="24"/>
          <w:szCs w:val="24"/>
          <w:highlight w:val="none"/>
          <w:lang w:val="en-US" w:eastAsia="zh-CN"/>
        </w:rPr>
      </w:pPr>
      <w:r>
        <w:rPr>
          <w:rFonts w:hint="eastAsia" w:ascii="宋体" w:hAnsi="宋体" w:cs="宋体"/>
          <w:b/>
          <w:color w:val="auto"/>
          <w:sz w:val="24"/>
          <w:szCs w:val="24"/>
          <w:highlight w:val="none"/>
        </w:rPr>
        <w:t>地址（详细地址）：</w:t>
      </w:r>
      <w:r>
        <w:rPr>
          <w:rFonts w:hint="eastAsia" w:ascii="宋体" w:hAnsi="宋体" w:cs="宋体"/>
          <w:b/>
          <w:color w:val="auto"/>
          <w:sz w:val="24"/>
          <w:szCs w:val="24"/>
          <w:highlight w:val="none"/>
          <w:lang w:val="en-US" w:eastAsia="zh-CN"/>
        </w:rPr>
        <w:t>XXXXXX</w:t>
      </w:r>
    </w:p>
    <w:p w14:paraId="321A5422">
      <w:pPr>
        <w:spacing w:line="360" w:lineRule="auto"/>
        <w:ind w:firstLine="480" w:firstLineChars="200"/>
        <w:rPr>
          <w:rFonts w:ascii="宋体" w:hAnsi="宋体" w:cs="宋体"/>
          <w:color w:val="auto"/>
          <w:sz w:val="24"/>
          <w:szCs w:val="24"/>
          <w:highlight w:val="none"/>
        </w:rPr>
      </w:pPr>
      <w:r>
        <w:rPr>
          <w:rFonts w:hint="eastAsia" w:ascii="宋体" w:hAnsi="宋体" w:eastAsia="宋体" w:cs="宋体"/>
          <w:color w:val="auto"/>
          <w:kern w:val="0"/>
          <w:sz w:val="24"/>
          <w:szCs w:val="24"/>
          <w:highlight w:val="none"/>
          <w:lang w:val="en-US" w:eastAsia="zh-CN"/>
        </w:rPr>
        <w:t>根据《中华人民共和国政府采购法》《中华人民共和国政府采购法实施条例》《中华人民共和国民法典》等相关法律法 规、规范性文件以及</w:t>
      </w:r>
      <w:r>
        <w:rPr>
          <w:rFonts w:hint="eastAsia" w:ascii="宋体" w:hAnsi="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none"/>
          <w:lang w:val="en-US" w:eastAsia="zh-CN"/>
        </w:rPr>
        <w:t>项目</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b/>
          <w:bCs/>
          <w:color w:val="auto"/>
          <w:kern w:val="0"/>
          <w:sz w:val="24"/>
          <w:szCs w:val="24"/>
          <w:highlight w:val="none"/>
          <w:lang w:val="en-US" w:eastAsia="zh-CN"/>
        </w:rPr>
        <w:t>填写项目计划备案编号</w:t>
      </w:r>
      <w:r>
        <w:rPr>
          <w:rFonts w:hint="eastAsia" w:ascii="宋体" w:hAnsi="宋体" w:eastAsia="宋体" w:cs="宋体"/>
          <w:color w:val="auto"/>
          <w:kern w:val="0"/>
          <w:sz w:val="24"/>
          <w:szCs w:val="24"/>
          <w:highlight w:val="none"/>
          <w:lang w:val="en-US" w:eastAsia="zh-CN"/>
        </w:rPr>
        <w:t>)</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w:t>
      </w:r>
      <w:r>
        <w:rPr>
          <w:rFonts w:hint="eastAsia" w:ascii="宋体" w:hAnsi="宋体" w:eastAsia="宋体" w:cs="宋体"/>
          <w:b/>
          <w:bCs/>
          <w:color w:val="auto"/>
          <w:kern w:val="0"/>
          <w:sz w:val="24"/>
          <w:szCs w:val="24"/>
          <w:highlight w:val="none"/>
          <w:lang w:val="en-US" w:eastAsia="zh-CN"/>
        </w:rPr>
        <w:t xml:space="preserve">填写政府采购项目编号) </w:t>
      </w:r>
      <w:r>
        <w:rPr>
          <w:rFonts w:hint="eastAsia" w:ascii="宋体" w:hAnsi="宋体" w:eastAsia="宋体" w:cs="宋体"/>
          <w:color w:val="auto"/>
          <w:kern w:val="0"/>
          <w:sz w:val="24"/>
          <w:szCs w:val="24"/>
          <w:highlight w:val="none"/>
          <w:lang w:val="en-US" w:eastAsia="zh-CN"/>
        </w:rPr>
        <w:t>的成交结果、磋商 (谈判) 文件、响应文件等文件的相关内容，双方经平等协商，就如下合同条款达成一致意见。</w:t>
      </w:r>
    </w:p>
    <w:p w14:paraId="438504D8">
      <w:pPr>
        <w:spacing w:line="360" w:lineRule="auto"/>
        <w:ind w:left="0" w:leftChars="-202" w:hanging="424" w:hangingChars="177"/>
        <w:rPr>
          <w:rFonts w:ascii="宋体" w:hAnsi="宋体" w:cs="宋体"/>
          <w:color w:val="auto"/>
          <w:sz w:val="24"/>
          <w:szCs w:val="24"/>
          <w:highlight w:val="none"/>
        </w:rPr>
      </w:pPr>
      <w:r>
        <w:rPr>
          <w:rFonts w:hint="eastAsia" w:ascii="宋体" w:hAnsi="宋体" w:cs="宋体"/>
          <w:color w:val="auto"/>
          <w:sz w:val="24"/>
          <w:szCs w:val="24"/>
          <w:highlight w:val="none"/>
        </w:rPr>
        <w:t>一、工程概况</w:t>
      </w:r>
    </w:p>
    <w:p w14:paraId="09DB791B">
      <w:pPr>
        <w:spacing w:line="360" w:lineRule="auto"/>
        <w:ind w:firstLine="470" w:firstLineChars="196"/>
        <w:rPr>
          <w:rFonts w:hint="default" w:ascii="宋体" w:hAnsi="宋体" w:cs="宋体"/>
          <w:color w:val="auto"/>
          <w:sz w:val="24"/>
          <w:szCs w:val="24"/>
          <w:highlight w:val="none"/>
          <w:u w:val="single"/>
          <w:lang w:val="en-US"/>
        </w:rPr>
      </w:pPr>
      <w:r>
        <w:rPr>
          <w:rFonts w:hint="eastAsia" w:ascii="宋体" w:hAnsi="宋体" w:cs="宋体"/>
          <w:color w:val="auto"/>
          <w:sz w:val="24"/>
          <w:szCs w:val="24"/>
          <w:highlight w:val="none"/>
        </w:rPr>
        <w:t>1.工程名称：</w:t>
      </w:r>
      <w:r>
        <w:rPr>
          <w:rFonts w:hint="eastAsia" w:ascii="宋体" w:hAnsi="宋体" w:cs="宋体"/>
          <w:color w:val="auto"/>
          <w:kern w:val="0"/>
          <w:sz w:val="24"/>
          <w:szCs w:val="24"/>
          <w:highlight w:val="none"/>
          <w:u w:val="single"/>
          <w:lang w:val="en-US" w:eastAsia="zh-CN"/>
        </w:rPr>
        <w:t xml:space="preserve">                     </w:t>
      </w:r>
    </w:p>
    <w:p w14:paraId="7F2CE144">
      <w:pPr>
        <w:spacing w:line="360" w:lineRule="auto"/>
        <w:ind w:firstLine="470" w:firstLineChars="196"/>
        <w:rPr>
          <w:rFonts w:ascii="宋体" w:hAnsi="宋体" w:cs="宋体"/>
          <w:color w:val="auto"/>
          <w:sz w:val="24"/>
          <w:szCs w:val="24"/>
          <w:highlight w:val="none"/>
        </w:rPr>
      </w:pPr>
      <w:r>
        <w:rPr>
          <w:rFonts w:hint="eastAsia" w:ascii="宋体" w:hAnsi="宋体" w:cs="宋体"/>
          <w:color w:val="auto"/>
          <w:sz w:val="24"/>
          <w:szCs w:val="24"/>
          <w:highlight w:val="none"/>
        </w:rPr>
        <w:t>2.工程地点：</w:t>
      </w:r>
      <w:r>
        <w:rPr>
          <w:rFonts w:hint="eastAsia" w:ascii="宋体" w:hAnsi="宋体" w:cs="宋体"/>
          <w:color w:val="auto"/>
          <w:sz w:val="24"/>
          <w:szCs w:val="24"/>
          <w:highlight w:val="none"/>
          <w:u w:val="single"/>
          <w:lang w:val="en-US" w:eastAsia="zh-CN"/>
        </w:rPr>
        <w:t xml:space="preserve">                  。</w:t>
      </w:r>
    </w:p>
    <w:p w14:paraId="75046E45">
      <w:pPr>
        <w:spacing w:line="360" w:lineRule="auto"/>
        <w:ind w:firstLine="470" w:firstLineChars="196"/>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.资金来源：</w:t>
      </w:r>
      <w:r>
        <w:rPr>
          <w:rFonts w:hint="eastAsia" w:ascii="宋体" w:hAnsi="宋体" w:cs="宋体"/>
          <w:color w:val="auto"/>
          <w:sz w:val="24"/>
          <w:szCs w:val="24"/>
          <w:highlight w:val="none"/>
          <w:u w:val="single"/>
        </w:rPr>
        <w:t>政府投资</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w:t>
      </w:r>
    </w:p>
    <w:p w14:paraId="3A460864">
      <w:pPr>
        <w:spacing w:line="360" w:lineRule="auto"/>
        <w:ind w:firstLine="480" w:firstLineChars="200"/>
        <w:rPr>
          <w:rFonts w:hint="default" w:ascii="宋体" w:hAnsi="宋体" w:cs="宋体"/>
          <w:color w:val="auto"/>
          <w:spacing w:val="-2"/>
          <w:sz w:val="24"/>
          <w:szCs w:val="24"/>
          <w:highlight w:val="none"/>
          <w:u w:val="single"/>
          <w:lang w:val="en-US" w:eastAsia="zh-CN"/>
        </w:rPr>
      </w:pP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.工程内容：</w:t>
      </w:r>
      <w:r>
        <w:rPr>
          <w:rFonts w:hint="eastAsia" w:ascii="宋体" w:hAnsi="宋体" w:cs="宋体"/>
          <w:color w:val="auto"/>
          <w:spacing w:val="-2"/>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w:t>
      </w:r>
    </w:p>
    <w:p w14:paraId="58574FDA">
      <w:pPr>
        <w:spacing w:line="360" w:lineRule="auto"/>
        <w:ind w:firstLine="480" w:firstLineChars="200"/>
        <w:rPr>
          <w:rFonts w:ascii="宋体" w:hAnsi="宋体" w:cs="宋体"/>
          <w:color w:val="auto"/>
          <w:spacing w:val="-2"/>
          <w:sz w:val="24"/>
          <w:szCs w:val="24"/>
          <w:highlight w:val="none"/>
          <w:u w:val="single"/>
        </w:rPr>
      </w:pP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.工程承包范围：</w:t>
      </w:r>
      <w:r>
        <w:rPr>
          <w:rFonts w:hint="eastAsia" w:ascii="宋体" w:hAnsi="宋体" w:eastAsia="宋体" w:cs="宋体"/>
          <w:color w:val="auto"/>
          <w:sz w:val="24"/>
          <w:szCs w:val="24"/>
          <w:highlight w:val="none"/>
          <w:u w:val="single"/>
          <w:lang w:val="en-US" w:eastAsia="zh-CN"/>
        </w:rPr>
        <w:t>《工程量清单》《施工图纸》及说明包括的全部施工内容</w:t>
      </w:r>
    </w:p>
    <w:p w14:paraId="28EF87C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二、合同工期</w:t>
      </w:r>
    </w:p>
    <w:p w14:paraId="2690727C">
      <w:pPr>
        <w:spacing w:line="360" w:lineRule="auto"/>
        <w:ind w:firstLine="459"/>
        <w:rPr>
          <w:rFonts w:ascii="宋体" w:hAnsi="宋体" w:cs="宋体"/>
          <w:color w:val="auto"/>
          <w:sz w:val="24"/>
          <w:szCs w:val="24"/>
          <w:highlight w:val="none"/>
        </w:rPr>
      </w:pPr>
      <w:r>
        <w:rPr>
          <w:rFonts w:hint="eastAsia" w:ascii="宋体" w:hAnsi="宋体" w:cs="宋体"/>
          <w:color w:val="auto"/>
          <w:sz w:val="24"/>
          <w:szCs w:val="24"/>
          <w:highlight w:val="none"/>
        </w:rPr>
        <w:t>1.工期：</w:t>
      </w:r>
      <w:r>
        <w:rPr>
          <w:rFonts w:hint="eastAsia" w:ascii="宋体" w:hAnsi="宋体" w:cs="宋体"/>
          <w:color w:val="auto"/>
          <w:spacing w:val="-2"/>
          <w:sz w:val="24"/>
          <w:szCs w:val="24"/>
          <w:highlight w:val="none"/>
          <w:u w:val="single"/>
          <w:lang w:val="en-US" w:eastAsia="zh-CN"/>
        </w:rPr>
        <w:t xml:space="preserve">                   </w:t>
      </w:r>
      <w:r>
        <w:rPr>
          <w:rFonts w:hint="eastAsia" w:ascii="宋体" w:hAnsi="宋体" w:cs="宋体"/>
          <w:color w:val="auto"/>
          <w:sz w:val="24"/>
          <w:szCs w:val="24"/>
          <w:highlight w:val="none"/>
        </w:rPr>
        <w:t>。</w:t>
      </w:r>
    </w:p>
    <w:p w14:paraId="2EAF6DDC">
      <w:pPr>
        <w:spacing w:line="360" w:lineRule="auto"/>
        <w:ind w:firstLine="459"/>
        <w:rPr>
          <w:rFonts w:ascii="宋体" w:hAnsi="宋体" w:cs="宋体"/>
          <w:color w:val="auto"/>
          <w:sz w:val="24"/>
          <w:szCs w:val="24"/>
          <w:highlight w:val="none"/>
        </w:rPr>
      </w:pPr>
      <w:r>
        <w:rPr>
          <w:rFonts w:hint="eastAsia" w:ascii="宋体" w:hAnsi="宋体" w:cs="宋体"/>
          <w:color w:val="auto"/>
          <w:sz w:val="24"/>
          <w:szCs w:val="24"/>
          <w:highlight w:val="none"/>
        </w:rPr>
        <w:t>2.双方在确定工期时，已充分考虑了停水、停电、节假日、高低温天气等各种因素，除出现由以下原因造成工期的延误且经发包人书面同意的，否则</w:t>
      </w:r>
      <w:r>
        <w:rPr>
          <w:rFonts w:hint="eastAsia" w:ascii="宋体" w:hAnsi="宋体" w:cs="宋体"/>
          <w:color w:val="auto"/>
          <w:sz w:val="24"/>
          <w:szCs w:val="24"/>
          <w:highlight w:val="none"/>
          <w:lang w:eastAsia="zh-CN"/>
        </w:rPr>
        <w:t>工期</w:t>
      </w:r>
      <w:r>
        <w:rPr>
          <w:rFonts w:hint="eastAsia" w:ascii="宋体" w:hAnsi="宋体" w:cs="宋体"/>
          <w:color w:val="auto"/>
          <w:sz w:val="24"/>
          <w:szCs w:val="24"/>
          <w:highlight w:val="none"/>
        </w:rPr>
        <w:t>不予调整：（1）重大设计变更或变更施工图而不能继续施工且经发包人同意的；（2）不可抗力因素；（3）发包人同意工期相应顺延的其它情况。</w:t>
      </w:r>
    </w:p>
    <w:p w14:paraId="28AC365D">
      <w:pPr>
        <w:spacing w:line="360" w:lineRule="auto"/>
        <w:ind w:firstLine="459"/>
        <w:rPr>
          <w:rFonts w:ascii="宋体" w:hAnsi="宋体" w:cs="宋体"/>
          <w:color w:val="auto"/>
          <w:sz w:val="24"/>
          <w:szCs w:val="24"/>
          <w:highlight w:val="none"/>
        </w:rPr>
      </w:pPr>
      <w:r>
        <w:rPr>
          <w:rFonts w:hint="eastAsia" w:ascii="宋体" w:hAnsi="宋体" w:cs="宋体"/>
          <w:color w:val="auto"/>
          <w:sz w:val="24"/>
          <w:szCs w:val="24"/>
          <w:highlight w:val="none"/>
        </w:rPr>
        <w:t>3.由于承包人原因造成的工期延期，承包人应提前以书面形式告知发包人，向发包人说明延误原因，经协商发包人书面认可，可顺延工期。因发包人原因承包人不能按约定时间开工，发包人通知承包人后，工期顺延。且承包人放弃据此向发包人主张停工、窝工等任何损失的权利。</w:t>
      </w:r>
    </w:p>
    <w:p w14:paraId="5FC1E1A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三、质量及安全标准</w:t>
      </w:r>
    </w:p>
    <w:p w14:paraId="6BC659DD">
      <w:pPr>
        <w:spacing w:line="360" w:lineRule="auto"/>
        <w:ind w:firstLine="459"/>
        <w:rPr>
          <w:rFonts w:ascii="宋体" w:hAnsi="宋体" w:cs="宋体"/>
          <w:color w:val="auto"/>
          <w:sz w:val="24"/>
          <w:szCs w:val="24"/>
          <w:highlight w:val="none"/>
        </w:rPr>
      </w:pPr>
      <w:r>
        <w:rPr>
          <w:rFonts w:hint="eastAsia" w:ascii="宋体" w:hAnsi="宋体" w:cs="宋体"/>
          <w:color w:val="auto"/>
          <w:sz w:val="24"/>
          <w:szCs w:val="24"/>
          <w:highlight w:val="none"/>
        </w:rPr>
        <w:t>质量符合国家及行业质量验收标准的合格工程</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达到招标文件要求及投标承诺的质量目标。</w:t>
      </w:r>
    </w:p>
    <w:p w14:paraId="4CAF469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四、签约合同价与合同价格形式</w:t>
      </w:r>
      <w:r>
        <w:rPr>
          <w:rFonts w:hint="eastAsia" w:ascii="宋体" w:hAnsi="宋体" w:cs="宋体"/>
          <w:color w:val="auto"/>
          <w:sz w:val="24"/>
          <w:szCs w:val="24"/>
          <w:highlight w:val="none"/>
        </w:rPr>
        <w:tab/>
      </w:r>
    </w:p>
    <w:p w14:paraId="6510B18E">
      <w:pPr>
        <w:spacing w:line="360" w:lineRule="auto"/>
        <w:ind w:firstLine="482" w:firstLineChars="200"/>
        <w:rPr>
          <w:rFonts w:ascii="宋体" w:hAnsi="宋体" w:cs="宋体"/>
          <w:color w:val="auto"/>
          <w:sz w:val="24"/>
          <w:szCs w:val="24"/>
          <w:highlight w:val="none"/>
        </w:rPr>
      </w:pPr>
      <w:r>
        <w:rPr>
          <w:rFonts w:hint="eastAsia" w:ascii="宋体" w:hAnsi="宋体" w:cs="宋体"/>
          <w:b/>
          <w:bCs/>
          <w:color w:val="auto"/>
          <w:sz w:val="24"/>
          <w:szCs w:val="24"/>
          <w:highlight w:val="none"/>
        </w:rPr>
        <w:t>1.签约合同价为：</w:t>
      </w:r>
      <w:r>
        <w:rPr>
          <w:rFonts w:hint="eastAsia" w:ascii="宋体" w:hAnsi="宋体" w:cs="宋体"/>
          <w:b/>
          <w:color w:val="auto"/>
          <w:sz w:val="24"/>
          <w:szCs w:val="24"/>
          <w:highlight w:val="none"/>
        </w:rPr>
        <w:t>人民币（大写）</w:t>
      </w:r>
      <w:r>
        <w:rPr>
          <w:rFonts w:hint="eastAsia" w:ascii="宋体" w:hAnsi="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lang w:val="en-US" w:eastAsia="zh-CN"/>
        </w:rPr>
        <w:t>(</w:t>
      </w:r>
      <w:r>
        <w:rPr>
          <w:rFonts w:hint="eastAsia" w:ascii="宋体" w:hAnsi="宋体" w:cs="宋体"/>
          <w:b/>
          <w:color w:val="auto"/>
          <w:sz w:val="24"/>
          <w:szCs w:val="24"/>
          <w:highlight w:val="none"/>
        </w:rPr>
        <w:t>¥</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rPr>
        <w:t>元)；</w:t>
      </w:r>
    </w:p>
    <w:p w14:paraId="4B75AD67">
      <w:pPr>
        <w:spacing w:line="360" w:lineRule="auto"/>
        <w:ind w:firstLine="480" w:firstLineChars="200"/>
        <w:rPr>
          <w:rFonts w:ascii="宋体" w:hAnsi="宋体" w:cs="宋体"/>
          <w:b/>
          <w:bCs/>
          <w:color w:val="auto"/>
          <w:sz w:val="24"/>
          <w:szCs w:val="24"/>
          <w:highlight w:val="none"/>
        </w:rPr>
      </w:pPr>
      <w:r>
        <w:rPr>
          <w:rFonts w:hint="eastAsia" w:ascii="宋体" w:hAnsi="宋体" w:cs="宋体"/>
          <w:color w:val="auto"/>
          <w:sz w:val="24"/>
          <w:szCs w:val="24"/>
          <w:highlight w:val="none"/>
        </w:rPr>
        <w:t>（</w:t>
      </w:r>
      <w:r>
        <w:rPr>
          <w:rFonts w:hint="eastAsia" w:ascii="宋体" w:hAnsi="宋体" w:cs="宋体"/>
          <w:b/>
          <w:bCs/>
          <w:color w:val="auto"/>
          <w:sz w:val="24"/>
          <w:szCs w:val="24"/>
          <w:highlight w:val="none"/>
        </w:rPr>
        <w:t>1）安全文明施工费：</w:t>
      </w:r>
    </w:p>
    <w:p w14:paraId="28A6BA88">
      <w:pPr>
        <w:spacing w:line="360" w:lineRule="auto"/>
        <w:ind w:firstLine="1084" w:firstLineChars="450"/>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rPr>
        <w:t>人民币（大写）</w:t>
      </w:r>
      <w:r>
        <w:rPr>
          <w:rFonts w:hint="eastAsia" w:ascii="宋体" w:hAnsi="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rPr>
        <w:t xml:space="preserve"> </w:t>
      </w:r>
      <w:r>
        <w:rPr>
          <w:rFonts w:hint="eastAsia" w:ascii="宋体" w:hAnsi="宋体" w:cs="宋体"/>
          <w:b/>
          <w:bCs/>
          <w:color w:val="auto"/>
          <w:sz w:val="24"/>
          <w:szCs w:val="24"/>
          <w:highlight w:val="none"/>
        </w:rPr>
        <w:t>元)；</w:t>
      </w:r>
    </w:p>
    <w:p w14:paraId="28C4A1AF">
      <w:pPr>
        <w:pStyle w:val="3"/>
        <w:numPr>
          <w:ilvl w:val="0"/>
          <w:numId w:val="1"/>
        </w:numPr>
        <w:ind w:left="0" w:leftChars="0" w:firstLine="472" w:firstLineChars="200"/>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t>暂列金：</w:t>
      </w:r>
    </w:p>
    <w:p w14:paraId="3B5E0485">
      <w:pPr>
        <w:spacing w:line="360" w:lineRule="auto"/>
        <w:ind w:firstLine="1084" w:firstLineChars="45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人民币（大写）</w:t>
      </w:r>
      <w:r>
        <w:rPr>
          <w:rFonts w:hint="eastAsia" w:ascii="宋体" w:hAnsi="宋体" w:cs="宋体"/>
          <w:b/>
          <w:bCs/>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rPr>
        <w:t xml:space="preserve"> </w:t>
      </w:r>
      <w:r>
        <w:rPr>
          <w:rFonts w:hint="eastAsia" w:ascii="宋体" w:hAnsi="宋体" w:cs="宋体"/>
          <w:b/>
          <w:bCs/>
          <w:color w:val="auto"/>
          <w:sz w:val="24"/>
          <w:szCs w:val="24"/>
          <w:highlight w:val="none"/>
        </w:rPr>
        <w:t>(¥</w:t>
      </w:r>
      <w:r>
        <w:rPr>
          <w:rFonts w:hint="eastAsia" w:ascii="宋体" w:hAnsi="宋体" w:cs="宋体"/>
          <w:b/>
          <w:bCs/>
          <w:color w:val="auto"/>
          <w:sz w:val="24"/>
          <w:szCs w:val="24"/>
          <w:highlight w:val="none"/>
          <w:u w:val="single"/>
        </w:rPr>
        <w:t xml:space="preserve"> </w:t>
      </w:r>
      <w:r>
        <w:rPr>
          <w:rFonts w:hint="eastAsia" w:ascii="宋体" w:hAnsi="宋体" w:cs="宋体"/>
          <w:b/>
          <w:bCs/>
          <w:color w:val="auto"/>
          <w:sz w:val="24"/>
          <w:szCs w:val="24"/>
          <w:highlight w:val="none"/>
          <w:u w:val="single"/>
          <w:lang w:val="en-US" w:eastAsia="zh-CN"/>
        </w:rPr>
        <w:t xml:space="preserve">     </w:t>
      </w:r>
      <w:r>
        <w:rPr>
          <w:rFonts w:hint="eastAsia" w:ascii="宋体" w:hAnsi="宋体" w:cs="宋体"/>
          <w:b/>
          <w:bCs/>
          <w:color w:val="auto"/>
          <w:sz w:val="24"/>
          <w:szCs w:val="24"/>
          <w:highlight w:val="none"/>
        </w:rPr>
        <w:t>元)；</w:t>
      </w:r>
    </w:p>
    <w:p w14:paraId="3BE50345">
      <w:pPr>
        <w:pStyle w:val="3"/>
        <w:numPr>
          <w:ilvl w:val="0"/>
          <w:numId w:val="1"/>
        </w:numPr>
        <w:spacing w:line="360" w:lineRule="auto"/>
        <w:ind w:left="0" w:leftChars="0" w:firstLine="472" w:firstLineChars="200"/>
        <w:rPr>
          <w:rFonts w:hint="eastAsia" w:ascii="宋体" w:hAnsi="宋体" w:eastAsia="Times New Roman" w:cs="宋体"/>
          <w:b/>
          <w:bCs/>
          <w:color w:val="auto"/>
          <w:sz w:val="24"/>
          <w:szCs w:val="24"/>
          <w:highlight w:val="none"/>
          <w:lang w:val="en-US" w:eastAsia="zh-CN"/>
        </w:rPr>
      </w:pPr>
      <w:r>
        <w:rPr>
          <w:rFonts w:hint="eastAsia" w:ascii="宋体" w:hAnsi="宋体" w:eastAsia="Times New Roman" w:cs="宋体"/>
          <w:b/>
          <w:bCs/>
          <w:color w:val="auto"/>
          <w:sz w:val="24"/>
          <w:szCs w:val="24"/>
          <w:highlight w:val="none"/>
          <w:lang w:val="en-US" w:eastAsia="zh-CN"/>
        </w:rPr>
        <w:t>专业工程暂估费 ：</w:t>
      </w:r>
    </w:p>
    <w:p w14:paraId="0F8FA05D">
      <w:pPr>
        <w:pStyle w:val="3"/>
        <w:ind w:left="0" w:leftChars="0" w:firstLine="944" w:firstLineChars="400"/>
        <w:rPr>
          <w:rFonts w:hint="eastAsia"/>
          <w:b/>
          <w:bCs/>
          <w:color w:val="auto"/>
          <w:highlight w:val="none"/>
          <w:lang w:eastAsia="zh-CN"/>
        </w:rPr>
      </w:pPr>
      <w:r>
        <w:rPr>
          <w:rFonts w:hint="eastAsia" w:ascii="宋体" w:hAnsi="宋体" w:eastAsia="Times New Roman" w:cs="宋体"/>
          <w:b/>
          <w:bCs/>
          <w:color w:val="auto"/>
          <w:sz w:val="24"/>
          <w:szCs w:val="24"/>
          <w:highlight w:val="none"/>
          <w:lang w:eastAsia="zh-CN"/>
        </w:rPr>
        <w:t xml:space="preserve">人民币（大写） </w:t>
      </w:r>
      <w:r>
        <w:rPr>
          <w:rFonts w:hint="eastAsia" w:ascii="宋体" w:hAnsi="宋体" w:eastAsia="Times New Roman" w:cs="宋体"/>
          <w:b/>
          <w:bCs/>
          <w:color w:val="auto"/>
          <w:sz w:val="24"/>
          <w:szCs w:val="24"/>
          <w:highlight w:val="none"/>
          <w:u w:val="single"/>
          <w:lang w:eastAsia="zh-CN"/>
        </w:rPr>
        <w:t xml:space="preserve"> </w:t>
      </w:r>
      <w:r>
        <w:rPr>
          <w:rFonts w:hint="eastAsia" w:ascii="宋体" w:hAnsi="宋体" w:cs="宋体"/>
          <w:b/>
          <w:bCs/>
          <w:color w:val="auto"/>
          <w:sz w:val="24"/>
          <w:szCs w:val="24"/>
          <w:highlight w:val="none"/>
          <w:u w:val="single"/>
          <w:lang w:val="en-US" w:eastAsia="zh-CN"/>
        </w:rPr>
        <w:t>//</w:t>
      </w:r>
      <w:r>
        <w:rPr>
          <w:rFonts w:hint="eastAsia" w:ascii="宋体" w:hAnsi="宋体" w:eastAsia="Times New Roman" w:cs="宋体"/>
          <w:b/>
          <w:bCs/>
          <w:color w:val="auto"/>
          <w:sz w:val="24"/>
          <w:szCs w:val="24"/>
          <w:highlight w:val="none"/>
          <w:u w:val="single"/>
          <w:lang w:eastAsia="zh-CN"/>
        </w:rPr>
        <w:t xml:space="preserve">  </w:t>
      </w:r>
      <w:r>
        <w:rPr>
          <w:rFonts w:hint="eastAsia" w:ascii="宋体" w:hAnsi="宋体" w:eastAsia="Times New Roman" w:cs="宋体"/>
          <w:b/>
          <w:bCs/>
          <w:color w:val="auto"/>
          <w:sz w:val="24"/>
          <w:szCs w:val="24"/>
          <w:highlight w:val="none"/>
          <w:lang w:eastAsia="zh-CN"/>
        </w:rPr>
        <w:t xml:space="preserve">  (¥</w:t>
      </w:r>
      <w:r>
        <w:rPr>
          <w:rFonts w:hint="eastAsia" w:ascii="宋体" w:hAnsi="宋体" w:eastAsia="Times New Roman" w:cs="宋体"/>
          <w:b/>
          <w:bCs/>
          <w:color w:val="auto"/>
          <w:sz w:val="24"/>
          <w:szCs w:val="24"/>
          <w:highlight w:val="none"/>
          <w:u w:val="single"/>
          <w:lang w:eastAsia="zh-CN"/>
        </w:rPr>
        <w:t xml:space="preserve">  </w:t>
      </w:r>
      <w:r>
        <w:rPr>
          <w:rFonts w:hint="eastAsia" w:ascii="宋体" w:hAnsi="宋体" w:cs="宋体"/>
          <w:b/>
          <w:bCs/>
          <w:color w:val="auto"/>
          <w:sz w:val="24"/>
          <w:szCs w:val="24"/>
          <w:highlight w:val="none"/>
          <w:u w:val="single"/>
          <w:lang w:val="en-US" w:eastAsia="zh-CN"/>
        </w:rPr>
        <w:t>//</w:t>
      </w:r>
      <w:r>
        <w:rPr>
          <w:rFonts w:hint="eastAsia" w:ascii="宋体" w:hAnsi="宋体" w:eastAsia="Times New Roman" w:cs="宋体"/>
          <w:b/>
          <w:bCs/>
          <w:color w:val="auto"/>
          <w:sz w:val="24"/>
          <w:szCs w:val="24"/>
          <w:highlight w:val="none"/>
          <w:u w:val="single"/>
          <w:lang w:eastAsia="zh-CN"/>
        </w:rPr>
        <w:t xml:space="preserve"> </w:t>
      </w:r>
      <w:r>
        <w:rPr>
          <w:rFonts w:hint="eastAsia" w:ascii="宋体" w:hAnsi="宋体" w:eastAsia="Times New Roman" w:cs="宋体"/>
          <w:b/>
          <w:bCs/>
          <w:color w:val="auto"/>
          <w:sz w:val="24"/>
          <w:szCs w:val="24"/>
          <w:highlight w:val="none"/>
          <w:lang w:eastAsia="zh-CN"/>
        </w:rPr>
        <w:t>元)；</w:t>
      </w:r>
    </w:p>
    <w:p w14:paraId="44FFEFCB">
      <w:pPr>
        <w:numPr>
          <w:ilvl w:val="0"/>
          <w:numId w:val="2"/>
        </w:numPr>
        <w:spacing w:line="360" w:lineRule="auto"/>
        <w:ind w:firstLine="480" w:firstLineChars="200"/>
        <w:rPr>
          <w:rFonts w:ascii="宋体" w:hAnsi="宋体"/>
          <w:b/>
          <w:bCs/>
          <w:color w:val="auto"/>
          <w:sz w:val="24"/>
          <w:szCs w:val="24"/>
          <w:highlight w:val="none"/>
          <w:u w:val="single"/>
        </w:rPr>
      </w:pPr>
      <w:r>
        <w:rPr>
          <w:rFonts w:hint="eastAsia" w:ascii="宋体" w:hAnsi="宋体" w:cs="宋体"/>
          <w:color w:val="auto"/>
          <w:sz w:val="24"/>
          <w:szCs w:val="24"/>
          <w:highlight w:val="none"/>
        </w:rPr>
        <w:t>合同价格形式：</w:t>
      </w:r>
      <w:r>
        <w:rPr>
          <w:rFonts w:hint="eastAsia" w:ascii="宋体" w:hAnsi="宋体" w:cs="宋体"/>
          <w:color w:val="auto"/>
          <w:sz w:val="24"/>
          <w:szCs w:val="24"/>
          <w:highlight w:val="none"/>
          <w:u w:val="single"/>
        </w:rPr>
        <w:t xml:space="preserve"> </w:t>
      </w:r>
      <w:r>
        <w:rPr>
          <w:rFonts w:hint="eastAsia" w:ascii="宋体" w:hAnsi="宋体"/>
          <w:b/>
          <w:bCs/>
          <w:color w:val="auto"/>
          <w:sz w:val="24"/>
          <w:szCs w:val="24"/>
          <w:highlight w:val="none"/>
          <w:u w:val="single"/>
        </w:rPr>
        <w:t>固定总价</w:t>
      </w:r>
      <w:r>
        <w:rPr>
          <w:rFonts w:hint="eastAsia" w:ascii="宋体" w:hAnsi="宋体"/>
          <w:b/>
          <w:bCs/>
          <w:color w:val="auto"/>
          <w:sz w:val="24"/>
          <w:szCs w:val="24"/>
          <w:highlight w:val="none"/>
          <w:u w:val="single"/>
          <w:lang w:eastAsia="zh-CN"/>
        </w:rPr>
        <w:t>（以施工图纸为准的固定总价）</w:t>
      </w:r>
      <w:r>
        <w:rPr>
          <w:rFonts w:hint="eastAsia" w:ascii="宋体" w:hAnsi="宋体"/>
          <w:b/>
          <w:bCs/>
          <w:color w:val="auto"/>
          <w:sz w:val="24"/>
          <w:szCs w:val="24"/>
          <w:highlight w:val="none"/>
          <w:u w:val="single"/>
        </w:rPr>
        <w:t>，合同价中包括由于场地的限制所产生的材料设备的二次倒运、垂直运输、材料堆放、夜间施工、雨季施工、粉尘噪音防护、垃圾清运、污水排放、向使用单位提供各专业设备、系统上岗培训、系统调试、按照建设行政主管部门要求采用</w:t>
      </w:r>
      <w:r>
        <w:rPr>
          <w:rFonts w:hint="eastAsia" w:ascii="宋体" w:hAnsi="宋体"/>
          <w:b/>
          <w:bCs/>
          <w:color w:val="auto"/>
          <w:sz w:val="24"/>
          <w:szCs w:val="24"/>
          <w:highlight w:val="none"/>
          <w:u w:val="single"/>
          <w:lang w:val="en-US" w:eastAsia="zh-CN"/>
        </w:rPr>
        <w:t>的</w:t>
      </w:r>
      <w:r>
        <w:rPr>
          <w:rFonts w:hint="eastAsia" w:ascii="宋体" w:hAnsi="宋体"/>
          <w:b/>
          <w:bCs/>
          <w:color w:val="auto"/>
          <w:sz w:val="24"/>
          <w:szCs w:val="24"/>
          <w:highlight w:val="none"/>
          <w:u w:val="single"/>
        </w:rPr>
        <w:t>技术和措施</w:t>
      </w:r>
      <w:r>
        <w:rPr>
          <w:rFonts w:hint="eastAsia" w:ascii="宋体" w:hAnsi="宋体"/>
          <w:b/>
          <w:bCs/>
          <w:color w:val="auto"/>
          <w:sz w:val="24"/>
          <w:szCs w:val="24"/>
          <w:highlight w:val="none"/>
          <w:u w:val="single"/>
          <w:lang w:eastAsia="zh-CN"/>
        </w:rPr>
        <w:t>，</w:t>
      </w:r>
      <w:r>
        <w:rPr>
          <w:rFonts w:hint="eastAsia" w:ascii="宋体" w:hAnsi="宋体"/>
          <w:b/>
          <w:bCs/>
          <w:color w:val="auto"/>
          <w:sz w:val="24"/>
          <w:szCs w:val="24"/>
          <w:highlight w:val="none"/>
          <w:u w:val="single"/>
          <w:lang w:val="en-US" w:eastAsia="zh-CN"/>
        </w:rPr>
        <w:t>以及根据发包人要求完成信息化管理</w:t>
      </w:r>
      <w:r>
        <w:rPr>
          <w:rFonts w:hint="eastAsia" w:ascii="宋体" w:hAnsi="宋体"/>
          <w:b/>
          <w:bCs/>
          <w:color w:val="auto"/>
          <w:sz w:val="24"/>
          <w:szCs w:val="24"/>
          <w:highlight w:val="none"/>
          <w:u w:val="single"/>
        </w:rPr>
        <w:t>等所有费用。</w:t>
      </w:r>
      <w:r>
        <w:rPr>
          <w:rFonts w:hint="eastAsia" w:ascii="宋体" w:hAnsi="宋体" w:eastAsia="宋体"/>
          <w:b/>
          <w:bCs/>
          <w:color w:val="auto"/>
          <w:sz w:val="24"/>
          <w:szCs w:val="24"/>
          <w:highlight w:val="none"/>
          <w:u w:val="single"/>
          <w:lang w:eastAsia="zh-CN"/>
        </w:rPr>
        <w:t>对于</w:t>
      </w:r>
      <w:r>
        <w:rPr>
          <w:rFonts w:hint="eastAsia" w:ascii="宋体" w:hAnsi="宋体" w:eastAsia="宋体"/>
          <w:b/>
          <w:bCs/>
          <w:color w:val="auto"/>
          <w:sz w:val="24"/>
          <w:szCs w:val="24"/>
          <w:highlight w:val="none"/>
          <w:u w:val="single"/>
        </w:rPr>
        <w:t>未按施工图纸及工程量清单</w:t>
      </w:r>
      <w:r>
        <w:rPr>
          <w:rFonts w:hint="eastAsia" w:ascii="宋体" w:hAnsi="宋体"/>
          <w:b/>
          <w:bCs/>
          <w:color w:val="auto"/>
          <w:sz w:val="24"/>
          <w:szCs w:val="24"/>
          <w:highlight w:val="none"/>
          <w:u w:val="single"/>
          <w:lang w:eastAsia="zh-CN"/>
        </w:rPr>
        <w:t>内容或数量</w:t>
      </w:r>
      <w:r>
        <w:rPr>
          <w:rFonts w:hint="eastAsia" w:ascii="宋体" w:hAnsi="宋体" w:eastAsia="宋体"/>
          <w:b/>
          <w:bCs/>
          <w:color w:val="auto"/>
          <w:sz w:val="24"/>
          <w:szCs w:val="24"/>
          <w:highlight w:val="none"/>
          <w:u w:val="single"/>
        </w:rPr>
        <w:t>完成</w:t>
      </w:r>
      <w:r>
        <w:rPr>
          <w:rFonts w:hint="eastAsia" w:ascii="宋体" w:hAnsi="宋体" w:eastAsia="宋体"/>
          <w:b/>
          <w:bCs/>
          <w:color w:val="auto"/>
          <w:sz w:val="24"/>
          <w:szCs w:val="24"/>
          <w:highlight w:val="none"/>
          <w:u w:val="single"/>
          <w:lang w:eastAsia="zh-CN"/>
        </w:rPr>
        <w:t>的</w:t>
      </w:r>
      <w:r>
        <w:rPr>
          <w:rFonts w:hint="eastAsia" w:ascii="宋体" w:hAnsi="宋体" w:eastAsia="宋体"/>
          <w:b/>
          <w:bCs/>
          <w:color w:val="auto"/>
          <w:sz w:val="24"/>
          <w:szCs w:val="24"/>
          <w:highlight w:val="none"/>
          <w:u w:val="single"/>
        </w:rPr>
        <w:t>施工内容</w:t>
      </w:r>
      <w:r>
        <w:rPr>
          <w:rFonts w:hint="eastAsia" w:ascii="宋体" w:hAnsi="宋体" w:eastAsia="宋体"/>
          <w:b/>
          <w:bCs/>
          <w:color w:val="auto"/>
          <w:sz w:val="24"/>
          <w:szCs w:val="24"/>
          <w:highlight w:val="none"/>
          <w:u w:val="single"/>
          <w:lang w:eastAsia="zh-CN"/>
        </w:rPr>
        <w:t>，</w:t>
      </w:r>
      <w:r>
        <w:rPr>
          <w:rFonts w:hint="eastAsia" w:ascii="宋体" w:hAnsi="宋体" w:eastAsia="宋体"/>
          <w:b/>
          <w:bCs/>
          <w:color w:val="auto"/>
          <w:sz w:val="24"/>
          <w:szCs w:val="24"/>
          <w:highlight w:val="none"/>
          <w:u w:val="single"/>
        </w:rPr>
        <w:t>经发包人审核</w:t>
      </w:r>
      <w:r>
        <w:rPr>
          <w:rFonts w:hint="eastAsia" w:ascii="宋体" w:hAnsi="宋体" w:eastAsia="宋体"/>
          <w:b/>
          <w:bCs/>
          <w:color w:val="auto"/>
          <w:sz w:val="24"/>
          <w:szCs w:val="24"/>
          <w:highlight w:val="none"/>
          <w:u w:val="single"/>
          <w:lang w:eastAsia="zh-CN"/>
        </w:rPr>
        <w:t>后，需</w:t>
      </w:r>
      <w:r>
        <w:rPr>
          <w:rFonts w:hint="eastAsia" w:ascii="宋体" w:hAnsi="宋体" w:eastAsia="宋体"/>
          <w:b/>
          <w:bCs/>
          <w:color w:val="auto"/>
          <w:sz w:val="24"/>
          <w:szCs w:val="24"/>
          <w:highlight w:val="none"/>
          <w:u w:val="single"/>
        </w:rPr>
        <w:t>相应扣减</w:t>
      </w:r>
      <w:r>
        <w:rPr>
          <w:rFonts w:hint="eastAsia" w:ascii="宋体" w:hAnsi="宋体" w:eastAsia="宋体"/>
          <w:b/>
          <w:bCs/>
          <w:color w:val="auto"/>
          <w:sz w:val="24"/>
          <w:szCs w:val="24"/>
          <w:highlight w:val="none"/>
          <w:u w:val="single"/>
          <w:lang w:eastAsia="zh-CN"/>
        </w:rPr>
        <w:t>。</w:t>
      </w:r>
      <w:r>
        <w:rPr>
          <w:rFonts w:hint="eastAsia" w:ascii="宋体" w:hAnsi="宋体" w:eastAsia="宋体"/>
          <w:b/>
          <w:bCs/>
          <w:color w:val="auto"/>
          <w:sz w:val="24"/>
          <w:szCs w:val="24"/>
          <w:highlight w:val="none"/>
          <w:u w:val="single"/>
        </w:rPr>
        <w:t>本</w:t>
      </w:r>
      <w:r>
        <w:rPr>
          <w:rFonts w:hint="eastAsia" w:ascii="宋体" w:hAnsi="宋体"/>
          <w:b/>
          <w:bCs/>
          <w:color w:val="auto"/>
          <w:sz w:val="24"/>
          <w:szCs w:val="24"/>
          <w:highlight w:val="none"/>
          <w:u w:val="single"/>
        </w:rPr>
        <w:t>工程必须以审计单位审计结果作为最终结算的依据。</w:t>
      </w:r>
    </w:p>
    <w:p w14:paraId="6D059E3A">
      <w:pPr>
        <w:pStyle w:val="6"/>
        <w:spacing w:line="360" w:lineRule="auto"/>
        <w:ind w:firstLine="482" w:firstLineChars="200"/>
        <w:rPr>
          <w:rFonts w:hint="eastAsia" w:ascii="宋体" w:hAnsi="宋体" w:eastAsia="宋体" w:cs="Times New Roman"/>
          <w:b/>
          <w:bCs/>
          <w:caps w:val="0"/>
          <w:color w:val="auto"/>
          <w:kern w:val="2"/>
          <w:sz w:val="24"/>
          <w:szCs w:val="24"/>
          <w:highlight w:val="none"/>
          <w:u w:val="single"/>
          <w:lang w:val="en-US" w:eastAsia="zh-CN" w:bidi="ar-SA"/>
        </w:rPr>
      </w:pPr>
      <w:r>
        <w:rPr>
          <w:rFonts w:hint="eastAsia" w:ascii="宋体" w:hAnsi="宋体" w:eastAsia="宋体" w:cs="Times New Roman"/>
          <w:b/>
          <w:bCs/>
          <w:caps w:val="0"/>
          <w:color w:val="auto"/>
          <w:kern w:val="2"/>
          <w:sz w:val="24"/>
          <w:szCs w:val="24"/>
          <w:highlight w:val="none"/>
          <w:u w:val="single"/>
          <w:lang w:val="en-US" w:eastAsia="zh-CN" w:bidi="ar-SA"/>
        </w:rPr>
        <w:t>3.乙方最迟应于工程竣工或撤场/解除（以先到为准）之日起7日内向甲方交付甲方应付金额的发票，否则每逾期一日，乙方应按工程总造价的万分之五向甲方支付逾期交付发票违约金。</w:t>
      </w:r>
    </w:p>
    <w:p w14:paraId="4405E430">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五、项目经理</w:t>
      </w:r>
    </w:p>
    <w:p w14:paraId="316F34D4">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承包人项目经理：</w:t>
      </w:r>
      <w:r>
        <w:rPr>
          <w:rFonts w:hint="eastAsia" w:ascii="宋体" w:hAnsi="宋体" w:cs="宋体"/>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rPr>
        <w:t xml:space="preserve"> </w:t>
      </w:r>
      <w:r>
        <w:rPr>
          <w:rFonts w:hint="eastAsia" w:ascii="宋体" w:hAnsi="宋体" w:cs="宋体"/>
          <w:b/>
          <w:bCs/>
          <w:color w:val="auto"/>
          <w:sz w:val="24"/>
          <w:szCs w:val="24"/>
          <w:highlight w:val="none"/>
        </w:rPr>
        <w:t>。</w:t>
      </w:r>
    </w:p>
    <w:p w14:paraId="10ECDC0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六、合同文件构成</w:t>
      </w:r>
    </w:p>
    <w:p w14:paraId="135E966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本协议书与下列文件一起构成合同文件：</w:t>
      </w:r>
    </w:p>
    <w:p w14:paraId="602761B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（1）中标通知书；</w:t>
      </w:r>
    </w:p>
    <w:p w14:paraId="5597EFE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（3）投标函及其附录；</w:t>
      </w:r>
    </w:p>
    <w:p w14:paraId="15EB8FF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（3）专用合同条款及其附件；</w:t>
      </w:r>
    </w:p>
    <w:p w14:paraId="313E6AA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（4）通用合同条款；</w:t>
      </w:r>
    </w:p>
    <w:p w14:paraId="3B8019B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（5）标准规范及有关技术文件；</w:t>
      </w:r>
    </w:p>
    <w:p w14:paraId="5CA80B7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（6）图纸(包括招标阶段设计院关于图纸问题的回复和变更)；</w:t>
      </w:r>
    </w:p>
    <w:p w14:paraId="47228A5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（7）招标文件（包括补充和答疑文件）；</w:t>
      </w:r>
    </w:p>
    <w:p w14:paraId="709410C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（8）已标价工程量清单或预算书（包括澄清文件或承诺函件）；</w:t>
      </w:r>
    </w:p>
    <w:p w14:paraId="3E356BA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（9）其他合同文件。</w:t>
      </w:r>
    </w:p>
    <w:p w14:paraId="2B499950">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在合同订立及履行过程中形成的与合同有关的文件（如双方有关工程的洽商、变更等书面协议）均构成合同文件组成部分。</w:t>
      </w:r>
    </w:p>
    <w:p w14:paraId="351863B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上述各项合同文件包括合同当事人就该项合同文件所做出的补充和修改，属于同一类内容的文件，应以最新签署的为准。专用合同条款及其附件须经合同当事人签字或盖章。</w:t>
      </w:r>
    </w:p>
    <w:p w14:paraId="6FE571A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七、承诺</w:t>
      </w:r>
    </w:p>
    <w:p w14:paraId="5BB2FCA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1.承包人承诺按照法律规定及合同约定组织完成工程施工，确保工程质量和安全，不进行转包及违法分包，并在缺陷责任期及保修期内承担相应的工程维修责任。</w:t>
      </w:r>
    </w:p>
    <w:p w14:paraId="489D830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2.发包人和承包人通过招投标形式签订合同的，双方理解并承诺不再就同一工程另行签订与合同实质性内容相背离的协议。</w:t>
      </w:r>
    </w:p>
    <w:p w14:paraId="71ABFD03">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3.如因政策调整或其他原因，该项目停止实施或取消，则本次采购招标结果作废，相应项目合同自动终止，采购人不承担任何责任，投标供应商及中标供应商应放弃因此而向采购人提出任何主张的权利。</w:t>
      </w:r>
    </w:p>
    <w:p w14:paraId="28A3E79E">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八、词语含义</w:t>
      </w:r>
    </w:p>
    <w:p w14:paraId="684D534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本协议书中词语含义与第二部分通用合同条款中赋予的含义相同。</w:t>
      </w:r>
    </w:p>
    <w:p w14:paraId="07C7D5D4">
      <w:pPr>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九、</w:t>
      </w:r>
      <w:r>
        <w:rPr>
          <w:rFonts w:hint="eastAsia" w:ascii="宋体" w:hAnsi="宋体" w:cs="宋体"/>
          <w:color w:val="auto"/>
          <w:sz w:val="24"/>
          <w:szCs w:val="24"/>
          <w:highlight w:val="none"/>
          <w:lang w:eastAsia="zh-CN"/>
        </w:rPr>
        <w:t>合同订立</w:t>
      </w:r>
    </w:p>
    <w:p w14:paraId="4483AAED">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lang w:val="en-US" w:eastAsia="zh-CN"/>
        </w:rPr>
        <w:t xml:space="preserve">本合同一式7份，其中甲方 </w:t>
      </w:r>
      <w:r>
        <w:rPr>
          <w:rFonts w:hint="eastAsia" w:ascii="宋体" w:hAnsi="宋体" w:cs="宋体"/>
          <w:color w:val="auto"/>
          <w:sz w:val="24"/>
          <w:szCs w:val="24"/>
          <w:u w:val="single"/>
          <w:lang w:val="en-US" w:eastAsia="zh-CN"/>
        </w:rPr>
        <w:t xml:space="preserve"> 4 </w:t>
      </w:r>
      <w:r>
        <w:rPr>
          <w:rFonts w:hint="eastAsia" w:ascii="宋体" w:hAnsi="宋体" w:cs="宋体"/>
          <w:color w:val="auto"/>
          <w:sz w:val="24"/>
          <w:szCs w:val="24"/>
          <w:lang w:val="en-US" w:eastAsia="zh-CN"/>
        </w:rPr>
        <w:t xml:space="preserve"> 份，乙方</w:t>
      </w:r>
      <w:r>
        <w:rPr>
          <w:rFonts w:hint="eastAsia" w:ascii="宋体" w:hAnsi="宋体" w:cs="宋体"/>
          <w:color w:val="auto"/>
          <w:sz w:val="24"/>
          <w:szCs w:val="24"/>
          <w:u w:val="single"/>
          <w:lang w:val="en-US" w:eastAsia="zh-CN"/>
        </w:rPr>
        <w:t xml:space="preserve"> 3 </w:t>
      </w:r>
      <w:r>
        <w:rPr>
          <w:rFonts w:hint="eastAsia" w:ascii="宋体" w:hAnsi="宋体" w:cs="宋体"/>
          <w:color w:val="auto"/>
          <w:sz w:val="24"/>
          <w:szCs w:val="24"/>
          <w:lang w:val="en-US" w:eastAsia="zh-CN"/>
        </w:rPr>
        <w:t>份,于</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rPr>
        <w:t>年</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rPr>
        <w:t>月</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rPr>
        <w:t>日签订</w:t>
      </w:r>
      <w:r>
        <w:rPr>
          <w:rFonts w:hint="eastAsia" w:ascii="宋体" w:hAnsi="宋体" w:cs="宋体"/>
          <w:color w:val="auto"/>
          <w:sz w:val="24"/>
          <w:szCs w:val="24"/>
          <w:highlight w:val="none"/>
        </w:rPr>
        <w:t>。</w:t>
      </w:r>
    </w:p>
    <w:p w14:paraId="4568E6CC">
      <w:pPr>
        <w:pStyle w:val="2"/>
        <w:rPr>
          <w:rFonts w:hint="eastAsia" w:ascii="宋体" w:hAnsi="宋体" w:cs="宋体"/>
          <w:color w:val="auto"/>
          <w:sz w:val="24"/>
          <w:szCs w:val="24"/>
          <w:highlight w:val="none"/>
        </w:rPr>
      </w:pPr>
    </w:p>
    <w:p w14:paraId="4B9208D6">
      <w:pPr>
        <w:rPr>
          <w:rFonts w:hint="eastAsia" w:ascii="宋体" w:hAnsi="宋体" w:cs="宋体"/>
          <w:color w:val="auto"/>
          <w:sz w:val="24"/>
          <w:szCs w:val="24"/>
          <w:highlight w:val="none"/>
        </w:rPr>
      </w:pPr>
    </w:p>
    <w:p w14:paraId="5AE4A83D">
      <w:pPr>
        <w:pStyle w:val="2"/>
        <w:rPr>
          <w:rFonts w:hint="eastAsia" w:ascii="宋体" w:hAnsi="宋体" w:cs="宋体"/>
          <w:color w:val="auto"/>
          <w:sz w:val="24"/>
          <w:szCs w:val="24"/>
          <w:highlight w:val="none"/>
        </w:rPr>
      </w:pPr>
    </w:p>
    <w:p w14:paraId="6163DACD">
      <w:pPr>
        <w:rPr>
          <w:rFonts w:hint="eastAsia" w:ascii="宋体" w:hAnsi="宋体" w:cs="宋体"/>
          <w:color w:val="auto"/>
          <w:sz w:val="24"/>
          <w:szCs w:val="24"/>
          <w:highlight w:val="none"/>
        </w:rPr>
      </w:pPr>
    </w:p>
    <w:p w14:paraId="47C48BE2">
      <w:pPr>
        <w:pStyle w:val="2"/>
        <w:rPr>
          <w:rFonts w:hint="eastAsia" w:ascii="宋体" w:hAnsi="宋体" w:cs="宋体"/>
          <w:color w:val="auto"/>
          <w:sz w:val="24"/>
          <w:szCs w:val="24"/>
          <w:highlight w:val="none"/>
        </w:rPr>
      </w:pPr>
    </w:p>
    <w:p w14:paraId="7A7BB6DF">
      <w:pPr>
        <w:rPr>
          <w:rFonts w:hint="eastAsia" w:ascii="宋体" w:hAnsi="宋体" w:cs="宋体"/>
          <w:color w:val="auto"/>
          <w:sz w:val="24"/>
          <w:szCs w:val="24"/>
          <w:highlight w:val="none"/>
        </w:rPr>
      </w:pPr>
    </w:p>
    <w:p w14:paraId="41DD4C13">
      <w:pPr>
        <w:pStyle w:val="2"/>
        <w:rPr>
          <w:rFonts w:hint="eastAsia" w:ascii="宋体" w:hAnsi="宋体" w:cs="宋体"/>
          <w:color w:val="auto"/>
          <w:sz w:val="24"/>
          <w:szCs w:val="24"/>
          <w:highlight w:val="none"/>
        </w:rPr>
      </w:pPr>
    </w:p>
    <w:p w14:paraId="39483FEF">
      <w:pPr>
        <w:pStyle w:val="2"/>
        <w:rPr>
          <w:rFonts w:hint="eastAsia" w:ascii="宋体" w:hAnsi="宋体" w:cs="宋体"/>
          <w:color w:val="auto"/>
          <w:sz w:val="24"/>
          <w:szCs w:val="24"/>
          <w:highlight w:val="none"/>
        </w:rPr>
      </w:pPr>
    </w:p>
    <w:p w14:paraId="195AE23C">
      <w:pPr>
        <w:rPr>
          <w:rFonts w:hint="eastAsia"/>
          <w:color w:val="auto"/>
          <w:lang w:eastAsia="zh-CN"/>
        </w:rPr>
      </w:pPr>
    </w:p>
    <w:p w14:paraId="412C493E">
      <w:pPr>
        <w:pStyle w:val="3"/>
        <w:ind w:left="0" w:leftChars="0" w:firstLine="2832"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【本页为签署页，无正文】</w:t>
      </w:r>
    </w:p>
    <w:p w14:paraId="5468F668">
      <w:pPr>
        <w:pStyle w:val="3"/>
        <w:ind w:firstLine="1180" w:firstLineChars="500"/>
        <w:rPr>
          <w:rFonts w:hint="eastAsia" w:ascii="宋体" w:hAnsi="宋体" w:eastAsia="宋体" w:cs="宋体"/>
          <w:color w:val="auto"/>
          <w:sz w:val="24"/>
          <w:szCs w:val="24"/>
          <w:highlight w:val="none"/>
          <w:lang w:eastAsia="zh-CN"/>
        </w:rPr>
      </w:pPr>
    </w:p>
    <w:p w14:paraId="33A2B852">
      <w:pPr>
        <w:spacing w:line="360" w:lineRule="auto"/>
        <w:rPr>
          <w:rFonts w:hint="default" w:ascii="宋体" w:hAnsi="宋体" w:eastAsia="宋体" w:cs="宋体"/>
          <w:b/>
          <w:color w:val="auto"/>
          <w:sz w:val="24"/>
          <w:szCs w:val="24"/>
          <w:highlight w:val="none"/>
          <w:lang w:val="en-US" w:eastAsia="zh-CN"/>
        </w:rPr>
      </w:pPr>
      <w:r>
        <w:rPr>
          <w:rFonts w:hint="eastAsia" w:ascii="宋体" w:hAnsi="宋体" w:cs="宋体"/>
          <w:b/>
          <w:color w:val="auto"/>
          <w:sz w:val="24"/>
          <w:szCs w:val="24"/>
          <w:highlight w:val="none"/>
          <w:lang w:eastAsia="zh-CN"/>
        </w:rPr>
        <w:t>甲方</w:t>
      </w:r>
      <w:r>
        <w:rPr>
          <w:rFonts w:hint="eastAsia" w:ascii="宋体" w:hAnsi="宋体" w:cs="宋体"/>
          <w:b/>
          <w:color w:val="auto"/>
          <w:sz w:val="24"/>
          <w:szCs w:val="24"/>
          <w:highlight w:val="none"/>
        </w:rPr>
        <w:t xml:space="preserve">：(章) 鄂尔多斯市政府投资         </w:t>
      </w:r>
      <w:r>
        <w:rPr>
          <w:rFonts w:hint="eastAsia" w:ascii="宋体" w:hAnsi="宋体" w:cs="宋体"/>
          <w:b/>
          <w:color w:val="auto"/>
          <w:sz w:val="24"/>
          <w:szCs w:val="24"/>
          <w:highlight w:val="none"/>
          <w:lang w:val="en-US" w:eastAsia="zh-CN"/>
        </w:rPr>
        <w:t xml:space="preserve">      </w:t>
      </w:r>
      <w:r>
        <w:rPr>
          <w:rFonts w:hint="eastAsia" w:ascii="宋体" w:hAnsi="宋体" w:cs="宋体"/>
          <w:b/>
          <w:color w:val="auto"/>
          <w:sz w:val="24"/>
          <w:szCs w:val="24"/>
          <w:highlight w:val="none"/>
          <w:lang w:eastAsia="zh-CN"/>
        </w:rPr>
        <w:t>乙方</w:t>
      </w:r>
      <w:r>
        <w:rPr>
          <w:rFonts w:hint="eastAsia" w:ascii="宋体" w:hAnsi="宋体" w:cs="宋体"/>
          <w:b/>
          <w:color w:val="auto"/>
          <w:sz w:val="24"/>
          <w:szCs w:val="24"/>
          <w:highlight w:val="none"/>
        </w:rPr>
        <w:t xml:space="preserve">：(章) </w:t>
      </w:r>
      <w:r>
        <w:rPr>
          <w:rFonts w:hint="eastAsia" w:ascii="宋体" w:hAnsi="宋体" w:cs="宋体"/>
          <w:b/>
          <w:color w:val="auto"/>
          <w:sz w:val="24"/>
          <w:szCs w:val="24"/>
          <w:highlight w:val="none"/>
          <w:lang w:val="en-US" w:eastAsia="zh-CN"/>
        </w:rPr>
        <w:t xml:space="preserve"> </w:t>
      </w:r>
    </w:p>
    <w:p w14:paraId="1E1E1DD6">
      <w:pPr>
        <w:widowControl/>
        <w:spacing w:line="360" w:lineRule="auto"/>
        <w:ind w:firstLine="1446" w:firstLineChars="600"/>
        <w:jc w:val="left"/>
        <w:rPr>
          <w:rFonts w:hint="default" w:ascii="宋体" w:hAnsi="宋体" w:cs="宋体"/>
          <w:b/>
          <w:color w:val="auto"/>
          <w:sz w:val="24"/>
          <w:szCs w:val="24"/>
          <w:highlight w:val="none"/>
          <w:lang w:val="en-US"/>
        </w:rPr>
      </w:pPr>
      <w:r>
        <w:rPr>
          <w:rFonts w:hint="eastAsia" w:ascii="宋体" w:hAnsi="宋体" w:cs="宋体"/>
          <w:b/>
          <w:color w:val="auto"/>
          <w:sz w:val="24"/>
          <w:szCs w:val="24"/>
          <w:highlight w:val="none"/>
        </w:rPr>
        <w:t xml:space="preserve">项目代建中心       </w:t>
      </w:r>
      <w:r>
        <w:rPr>
          <w:rFonts w:hint="eastAsia" w:ascii="宋体" w:hAnsi="宋体" w:cs="宋体"/>
          <w:b/>
          <w:color w:val="auto"/>
          <w:sz w:val="24"/>
          <w:szCs w:val="24"/>
          <w:highlight w:val="none"/>
          <w:lang w:val="en-US" w:eastAsia="zh-CN"/>
        </w:rPr>
        <w:t xml:space="preserve">                        </w:t>
      </w:r>
    </w:p>
    <w:p w14:paraId="6EACF200">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法定代表人或其授权委托人：                  法定代表人或其授权委托人：</w:t>
      </w:r>
    </w:p>
    <w:p w14:paraId="626DDEBC">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（签字）                                   （签字）</w:t>
      </w:r>
    </w:p>
    <w:p w14:paraId="42C142E2">
      <w:pPr>
        <w:spacing w:line="360" w:lineRule="auto"/>
        <w:ind w:left="5520" w:hanging="5520" w:hangingChars="2300"/>
        <w:rPr>
          <w:rFonts w:hint="default" w:ascii="宋体" w:hAnsi="宋体" w:eastAsia="宋体" w:cs="宋体"/>
          <w:color w:val="auto"/>
          <w:sz w:val="24"/>
          <w:szCs w:val="24"/>
          <w:highlight w:val="none"/>
          <w:u w:val="single"/>
          <w:lang w:val="en-US" w:eastAsia="zh-CN"/>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鄂尔多斯市康巴什区</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u w:val="none"/>
        </w:rPr>
        <w:t>地址：</w:t>
      </w:r>
      <w:r>
        <w:rPr>
          <w:rFonts w:hint="eastAsia" w:ascii="宋体" w:hAnsi="宋体" w:cs="宋体"/>
          <w:color w:val="auto"/>
          <w:sz w:val="24"/>
          <w:szCs w:val="24"/>
          <w:highlight w:val="none"/>
          <w:u w:val="single"/>
          <w:lang w:val="en-US" w:eastAsia="zh-CN"/>
        </w:rPr>
        <w:t xml:space="preserve">         </w:t>
      </w:r>
    </w:p>
    <w:p w14:paraId="329BD385">
      <w:pPr>
        <w:spacing w:line="360" w:lineRule="auto"/>
        <w:rPr>
          <w:rFonts w:hint="eastAsia" w:ascii="宋体" w:hAnsi="宋体" w:cs="宋体"/>
          <w:color w:val="auto"/>
          <w:sz w:val="24"/>
          <w:szCs w:val="24"/>
          <w:highlight w:val="none"/>
          <w:u w:val="single"/>
          <w:lang w:val="en-US" w:eastAsia="zh-CN"/>
        </w:rPr>
      </w:pPr>
      <w:r>
        <w:rPr>
          <w:rFonts w:hint="eastAsia" w:ascii="宋体" w:hAnsi="宋体" w:cs="宋体"/>
          <w:color w:val="auto"/>
          <w:sz w:val="24"/>
          <w:szCs w:val="24"/>
          <w:highlight w:val="none"/>
        </w:rPr>
        <w:t>邮政编码：</w:t>
      </w:r>
      <w:r>
        <w:rPr>
          <w:rFonts w:hint="eastAsia" w:ascii="宋体" w:hAnsi="宋体" w:cs="宋体"/>
          <w:color w:val="auto"/>
          <w:sz w:val="24"/>
          <w:szCs w:val="24"/>
          <w:highlight w:val="none"/>
          <w:u w:val="single"/>
        </w:rPr>
        <w:t>017000</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none"/>
        </w:rPr>
        <w:t>邮政编码：</w:t>
      </w:r>
      <w:r>
        <w:rPr>
          <w:rFonts w:hint="eastAsia" w:ascii="宋体" w:hAnsi="宋体" w:cs="宋体"/>
          <w:color w:val="auto"/>
          <w:sz w:val="24"/>
          <w:szCs w:val="24"/>
          <w:highlight w:val="none"/>
          <w:u w:val="single"/>
          <w:lang w:val="en-US" w:eastAsia="zh-CN"/>
        </w:rPr>
        <w:t xml:space="preserve">    </w:t>
      </w:r>
    </w:p>
    <w:p w14:paraId="542A98D2">
      <w:pPr>
        <w:spacing w:line="360" w:lineRule="auto"/>
        <w:rPr>
          <w:rFonts w:hint="eastAsia" w:ascii="宋体" w:hAnsi="宋体" w:cs="宋体"/>
          <w:color w:val="auto"/>
          <w:sz w:val="24"/>
          <w:szCs w:val="24"/>
          <w:highlight w:val="none"/>
          <w:u w:val="single"/>
          <w:lang w:val="en-US" w:eastAsia="zh-CN"/>
        </w:rPr>
      </w:pPr>
      <w:r>
        <w:rPr>
          <w:rFonts w:hint="eastAsia" w:ascii="宋体" w:hAnsi="宋体" w:cs="宋体"/>
          <w:color w:val="auto"/>
          <w:sz w:val="24"/>
          <w:szCs w:val="24"/>
          <w:highlight w:val="none"/>
        </w:rPr>
        <w:t>法定代表人：</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none"/>
        </w:rPr>
        <w:t>法定代表人：</w:t>
      </w:r>
      <w:r>
        <w:rPr>
          <w:rFonts w:hint="eastAsia" w:ascii="宋体" w:hAnsi="宋体" w:cs="宋体"/>
          <w:color w:val="auto"/>
          <w:sz w:val="24"/>
          <w:szCs w:val="24"/>
          <w:highlight w:val="none"/>
          <w:u w:val="single"/>
          <w:lang w:val="en-US" w:eastAsia="zh-CN"/>
        </w:rPr>
        <w:t xml:space="preserve"> </w:t>
      </w:r>
    </w:p>
    <w:p w14:paraId="54EC5599">
      <w:pPr>
        <w:spacing w:line="360" w:lineRule="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rPr>
        <w:t>授权委托人：</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授权委托人：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 xml:space="preserve"> </w:t>
      </w:r>
    </w:p>
    <w:p w14:paraId="38EE4B21">
      <w:pPr>
        <w:spacing w:line="360" w:lineRule="auto"/>
        <w:rPr>
          <w:rFonts w:hint="default" w:ascii="宋体" w:hAnsi="宋体" w:eastAsia="宋体" w:cs="宋体"/>
          <w:color w:val="auto"/>
          <w:sz w:val="24"/>
          <w:szCs w:val="24"/>
          <w:highlight w:val="none"/>
          <w:u w:val="single"/>
          <w:lang w:val="en-US" w:eastAsia="zh-CN"/>
        </w:rPr>
      </w:pP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0477-8583191</w:t>
      </w:r>
      <w:r>
        <w:rPr>
          <w:rFonts w:hint="eastAsia" w:ascii="宋体" w:hAnsi="宋体" w:cs="宋体"/>
          <w:color w:val="auto"/>
          <w:sz w:val="24"/>
          <w:szCs w:val="24"/>
          <w:highlight w:val="none"/>
        </w:rPr>
        <w:t xml:space="preserve">                          电话：</w:t>
      </w:r>
      <w:r>
        <w:rPr>
          <w:rFonts w:hint="eastAsia" w:ascii="宋体" w:hAnsi="宋体" w:cs="宋体"/>
          <w:color w:val="auto"/>
          <w:sz w:val="24"/>
          <w:szCs w:val="24"/>
          <w:highlight w:val="none"/>
          <w:u w:val="single"/>
          <w:lang w:val="en-US" w:eastAsia="zh-CN"/>
        </w:rPr>
        <w:t xml:space="preserve">      </w:t>
      </w:r>
    </w:p>
    <w:p w14:paraId="2E4A7699">
      <w:pPr>
        <w:spacing w:line="360" w:lineRule="auto"/>
        <w:ind w:left="6480" w:hanging="6480" w:hangingChars="2700"/>
        <w:rPr>
          <w:rFonts w:hint="default" w:ascii="宋体" w:hAnsi="宋体" w:cs="宋体"/>
          <w:color w:val="auto"/>
          <w:sz w:val="24"/>
          <w:szCs w:val="24"/>
          <w:highlight w:val="none"/>
          <w:u w:val="single"/>
          <w:lang w:val="en-US" w:eastAsia="zh-CN"/>
        </w:rPr>
      </w:pPr>
      <w:r>
        <w:rPr>
          <w:rFonts w:hint="eastAsia" w:ascii="宋体" w:hAnsi="宋体" w:cs="宋体"/>
          <w:color w:val="auto"/>
          <w:sz w:val="24"/>
          <w:szCs w:val="24"/>
          <w:highlight w:val="none"/>
        </w:rPr>
        <w:t>开户银行：</w:t>
      </w:r>
      <w:r>
        <w:rPr>
          <w:rFonts w:hint="eastAsia" w:ascii="宋体" w:hAnsi="宋体" w:cs="宋体"/>
          <w:color w:val="auto"/>
          <w:sz w:val="24"/>
          <w:szCs w:val="24"/>
          <w:highlight w:val="none"/>
          <w:u w:val="single"/>
        </w:rPr>
        <w:t>鄂尔多斯银行东胜支行</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开户银行：</w:t>
      </w:r>
      <w:r>
        <w:rPr>
          <w:rFonts w:hint="eastAsia" w:ascii="宋体" w:hAnsi="宋体" w:cs="宋体"/>
          <w:color w:val="auto"/>
          <w:sz w:val="24"/>
          <w:szCs w:val="24"/>
          <w:highlight w:val="none"/>
          <w:u w:val="single"/>
          <w:lang w:val="en-US" w:eastAsia="zh-CN"/>
        </w:rPr>
        <w:t xml:space="preserve">     </w:t>
      </w:r>
    </w:p>
    <w:p w14:paraId="321E5541">
      <w:pPr>
        <w:keepNext w:val="0"/>
        <w:keepLines w:val="0"/>
        <w:widowControl/>
        <w:suppressLineNumbers w:val="0"/>
        <w:jc w:val="left"/>
        <w:rPr>
          <w:rFonts w:hint="default" w:ascii="宋体" w:hAnsi="宋体" w:eastAsia="宋体" w:cs="宋体"/>
          <w:color w:val="auto"/>
          <w:kern w:val="0"/>
          <w:sz w:val="24"/>
          <w:szCs w:val="24"/>
          <w:u w:val="single"/>
          <w:lang w:val="en-US" w:eastAsia="zh-CN" w:bidi="ar"/>
        </w:rPr>
      </w:pPr>
      <w:r>
        <w:rPr>
          <w:rFonts w:hint="eastAsia" w:ascii="宋体" w:hAnsi="宋体" w:cs="宋体"/>
          <w:color w:val="auto"/>
          <w:sz w:val="24"/>
          <w:szCs w:val="24"/>
          <w:highlight w:val="none"/>
        </w:rPr>
        <w:t>账号：</w:t>
      </w:r>
      <w:r>
        <w:rPr>
          <w:rFonts w:hint="eastAsia" w:ascii="宋体" w:hAnsi="宋体" w:cs="宋体"/>
          <w:color w:val="auto"/>
          <w:sz w:val="24"/>
          <w:szCs w:val="24"/>
          <w:highlight w:val="none"/>
          <w:u w:val="single"/>
        </w:rPr>
        <w:t xml:space="preserve">047701012000050359  </w:t>
      </w:r>
      <w:r>
        <w:rPr>
          <w:rFonts w:hint="eastAsia" w:ascii="宋体" w:hAnsi="宋体" w:cs="宋体"/>
          <w:color w:val="auto"/>
          <w:sz w:val="24"/>
          <w:szCs w:val="24"/>
          <w:highlight w:val="none"/>
        </w:rPr>
        <w:t xml:space="preserve">                  账号：</w:t>
      </w:r>
      <w:r>
        <w:rPr>
          <w:rFonts w:hint="eastAsia" w:ascii="宋体" w:hAnsi="宋体" w:cs="宋体"/>
          <w:color w:val="auto"/>
          <w:kern w:val="0"/>
          <w:sz w:val="24"/>
          <w:szCs w:val="24"/>
          <w:u w:val="single"/>
          <w:lang w:val="en-US" w:eastAsia="zh-CN" w:bidi="ar"/>
        </w:rPr>
        <w:t xml:space="preserve">       </w:t>
      </w:r>
    </w:p>
    <w:p w14:paraId="635C4DEA">
      <w:pPr>
        <w:pStyle w:val="2"/>
        <w:rPr>
          <w:rFonts w:hint="eastAsia"/>
          <w:color w:val="auto"/>
          <w:lang w:val="en-US" w:eastAsia="zh-CN"/>
        </w:rPr>
      </w:pPr>
    </w:p>
    <w:p w14:paraId="75B6F1D2">
      <w:pPr>
        <w:rPr>
          <w:rFonts w:hint="eastAsia"/>
          <w:color w:val="auto"/>
          <w:lang w:val="en-US" w:eastAsia="zh-CN"/>
        </w:rPr>
        <w:sectPr>
          <w:footerReference r:id="rId4" w:type="default"/>
          <w:pgSz w:w="11900" w:h="16840"/>
          <w:pgMar w:top="1417" w:right="1531" w:bottom="1417" w:left="1531" w:header="0" w:footer="0" w:gutter="0"/>
          <w:pgNumType w:fmt="decimal" w:start="1"/>
          <w:cols w:space="720" w:num="1"/>
          <w:rtlGutter w:val="0"/>
        </w:sectPr>
      </w:pPr>
    </w:p>
    <w:p w14:paraId="4FC0CB94">
      <w:pPr>
        <w:ind w:firstLine="2570" w:firstLineChars="800"/>
        <w:rPr>
          <w:rFonts w:ascii="宋体" w:hAnsi="宋体" w:cs="宋体"/>
          <w:b/>
          <w:bCs/>
          <w:color w:val="auto"/>
          <w:kern w:val="0"/>
          <w:sz w:val="32"/>
          <w:szCs w:val="32"/>
          <w:highlight w:val="none"/>
        </w:rPr>
      </w:pPr>
      <w:bookmarkStart w:id="2" w:name="_Toc414558336"/>
      <w:bookmarkStart w:id="3" w:name="_Toc51266244"/>
      <w:r>
        <w:rPr>
          <w:rFonts w:hint="eastAsia" w:ascii="宋体" w:hAnsi="宋体" w:cs="宋体"/>
          <w:b/>
          <w:bCs/>
          <w:color w:val="auto"/>
          <w:kern w:val="0"/>
          <w:sz w:val="32"/>
          <w:szCs w:val="32"/>
          <w:highlight w:val="none"/>
        </w:rPr>
        <w:t>第二部分 通用合同条款</w:t>
      </w:r>
      <w:bookmarkEnd w:id="2"/>
      <w:bookmarkEnd w:id="3"/>
    </w:p>
    <w:p w14:paraId="6752530B">
      <w:pPr>
        <w:spacing w:line="360" w:lineRule="auto"/>
        <w:rPr>
          <w:rFonts w:ascii="宋体" w:hAnsi="宋体" w:cs="宋体"/>
          <w:color w:val="auto"/>
          <w:sz w:val="24"/>
          <w:szCs w:val="24"/>
          <w:highlight w:val="none"/>
        </w:rPr>
      </w:pPr>
    </w:p>
    <w:p w14:paraId="4988B9C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1.一般约定</w:t>
      </w:r>
    </w:p>
    <w:p w14:paraId="3673D5D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  词语定义与解释</w:t>
      </w:r>
    </w:p>
    <w:p w14:paraId="260F6AAC">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合同协议书、通用合同条款、专用合同条款中的下列词语具有本款所赋予的含义：</w:t>
      </w:r>
    </w:p>
    <w:p w14:paraId="3D489DDB">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1.1.1  合同</w:t>
      </w:r>
    </w:p>
    <w:p w14:paraId="7381A5F7">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4CA6E2A0">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1.1.1.2  合同协议书：是指构成合同的由发包人和承包人共同签署的称为“合同协议书”的书面文件。</w:t>
      </w:r>
    </w:p>
    <w:p w14:paraId="3E1F78A1">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1.1.1.3  中标通知书：是指构成合同的由发包人通知承包人中标的书面文件。</w:t>
      </w:r>
    </w:p>
    <w:p w14:paraId="7F5F00C1">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1.1.1.4  投标函：是指构成合同的由承包人填写并签署的用于投标的称为“投标函”的文件。</w:t>
      </w:r>
    </w:p>
    <w:p w14:paraId="59A61743">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1.1.1.5  投标函附录：是指构成合同的附在投标函后的称为“投标函附录”的文件。</w:t>
      </w:r>
    </w:p>
    <w:p w14:paraId="076C0299">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1.1.1.6  技术标准和要求：是指构成合同的施工应当遵守的或指导施工的国家、行业或地方的技术标准和要求，以及合同约定的技术标准和要求。</w:t>
      </w:r>
    </w:p>
    <w:p w14:paraId="170D2D2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1.1.1.7  图纸：是指构成合同的图纸，包括由发包人按照合同约定提供或经发包人批准的设计文件、施工图、鸟瞰图及模型等，以及在合同履行过程中形成的图纸文件。图纸应当按照法律规定审查合格。</w:t>
      </w:r>
    </w:p>
    <w:p w14:paraId="61FEF3D2">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1.1.1.8  已标价工程量清单：是指构成合同的由承包人按照规定的格式和要求填写并标明价格的工程量清单，包括说明和表格。</w:t>
      </w:r>
    </w:p>
    <w:p w14:paraId="1EF90B3C">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1.1.1.9  预算书：是指构成合同的由承包人按照发包人规定的格式和要求编制的工程预算文件。</w:t>
      </w:r>
    </w:p>
    <w:p w14:paraId="3A4EC28A">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1.1.1.10  其他合同文件：是指经合同当事人约定的与工程施工有关的具有合同约束力的文件或书面协议。合同当事人可以在专用合同条款中进行约定。</w:t>
      </w:r>
    </w:p>
    <w:p w14:paraId="2774ACAE">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1.1.2  合同当事人及其他相关方</w:t>
      </w:r>
    </w:p>
    <w:p w14:paraId="16E0C86C">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1.1.2.1  合同当事人：是指发包人和（或）承包人。</w:t>
      </w:r>
    </w:p>
    <w:p w14:paraId="12A06FF7">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1.1.2.2  发包人：是指与承包人签订合同协议书的当事人及取得该当事人资格的合法继承人。</w:t>
      </w:r>
    </w:p>
    <w:p w14:paraId="4FAF5DA9">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1.1.2.3  承包人：是指与发包人签订合同协议书的，具有相应工程施工承包资质的当事人及取得该当事人资格的合法继承人。</w:t>
      </w:r>
    </w:p>
    <w:p w14:paraId="383F0845">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1.1.2.4  监理人：是指在专用合同条款中指明的，受发包人委托按照法律规定进行工程监督管理的法人或其他组织。</w:t>
      </w:r>
    </w:p>
    <w:p w14:paraId="03A87FD2">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1.1.2.5  设计人：是指在专用合同条款中指明的，受发包人委托负责工程设计并具备相应工程设计资质的法人或其他组织。</w:t>
      </w:r>
    </w:p>
    <w:p w14:paraId="54253319">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1.1.2.6  分包人：是指按照法律规定和合同约定，分包部分工程或工作，并与承包人签订分包合同的具有相应资质的法人。</w:t>
      </w:r>
    </w:p>
    <w:p w14:paraId="726B13D7">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1.1.2.7  发包人代表：是指由发包人任命并派驻施工现场在发包人授权范围内行使发包人权利的人。</w:t>
      </w:r>
    </w:p>
    <w:p w14:paraId="1CEF704F">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1.1.2.8  项目经理：是指由承包人任命并派驻施工现场，在承包人授权范围内负责合同履行，且按照法律规定具有相应资格的项目负责人。</w:t>
      </w:r>
    </w:p>
    <w:p w14:paraId="638DDB8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1.1.2.9  总监理工程师：是指由监理人任命并派驻施工现场进行工程监理的总负责人。</w:t>
      </w:r>
    </w:p>
    <w:p w14:paraId="220921A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1.1.3  工程和设备</w:t>
      </w:r>
    </w:p>
    <w:p w14:paraId="7FC27790">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1.1.3.1  工程：是指与合同协议书中工程承包范围对应的永久工程和（或）临时工程。</w:t>
      </w:r>
    </w:p>
    <w:p w14:paraId="0FB11B4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1.1.3.2  永久工程：是指按合同约定建造并移交给发包人的工程，包括工程设备。</w:t>
      </w:r>
    </w:p>
    <w:p w14:paraId="13180FD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1.1.3.3  临时工程：是指为完成合同约定的永久工程所修建的各类临时性工程，不包括施工设备。</w:t>
      </w:r>
    </w:p>
    <w:p w14:paraId="43608E9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1.1.3.4  单位工程：是指在合同协议书中指明的，具备独立施工条件并能形成独立使用功能的永久工程。</w:t>
      </w:r>
    </w:p>
    <w:p w14:paraId="69D4C7F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1.1.3.5  工程设备：是指构成永久工程的机电设备、金属结构设备、仪器及其他类似的设备和装置。</w:t>
      </w:r>
    </w:p>
    <w:p w14:paraId="5E529E7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1.1.1.3.6  施工设备：是指为完成合同约定的各项工作所需的设备、器具和其他物品，但不包括工程设备、临时工程和材料。</w:t>
      </w:r>
    </w:p>
    <w:p w14:paraId="3499785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1.1.3.7  施工现场：是指用于工程施工的场所，以及在专用合同条款中指明作为施工场所组成部分的其他场所，包括永久占地和临时占地。</w:t>
      </w:r>
    </w:p>
    <w:p w14:paraId="1B7635C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1.1.3.8  临时设施：是指为完成合同约定的各项工作所服务的临时性生产和生活设施。</w:t>
      </w:r>
    </w:p>
    <w:p w14:paraId="24AB41C0">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1.1.3.9  永久占地：是指专用合同条款中指明为实施工程需永久占用的土地。</w:t>
      </w:r>
    </w:p>
    <w:p w14:paraId="25435FB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1.1.3.10  临时占地：是指专用合同条款中指明为实施工程需要临时占用的土地。</w:t>
      </w:r>
    </w:p>
    <w:p w14:paraId="0C830BB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1.1.4  日期和期限</w:t>
      </w:r>
    </w:p>
    <w:p w14:paraId="30781B85">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1.1.4.1  开工日期：包括计划开工日期和实际开工日期。计划开工日期是指合同协议书约定的开工日期；实际开工日期是指监理人按照第7.3.2项〔开工通知〕约定发出的符合法律规定的开工通知中载明的开工日期。</w:t>
      </w:r>
    </w:p>
    <w:p w14:paraId="6F9E3FC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1.1.4.2  竣工日期：包括计划竣工日期和实际竣工日期。计划竣工日期是指合同协议书约定的竣工日期；实际竣工日期按照第13.2.3项〔竣工日期〕的约定确定。</w:t>
      </w:r>
    </w:p>
    <w:p w14:paraId="0F18786E">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1.1.4.3  工期：是指在合同协议书约定的承包人完成工程所需的期限，包括按照合同约定所作的期限变更。</w:t>
      </w:r>
    </w:p>
    <w:p w14:paraId="589022A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1.1.4.4  缺陷责任期：是指承包人按照合同约定承担缺陷修复义务，且发包人预留质量保证金（已缴纳履约保证金的除外）的期限，自工程实际竣工日期起计算。</w:t>
      </w:r>
    </w:p>
    <w:p w14:paraId="0503EDF0">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1.1.4.5  保修期：是指承包人按照合同约定对工程承担保修责任的期限，从工程竣工验收合格之日起计算。</w:t>
      </w:r>
    </w:p>
    <w:p w14:paraId="77D84F6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1.1.4.6  基准日期：招标发包的工程以投标截止日前28天的日期为基准日期，直接发包的工程以合同签订日前28天的日期为基准日期。</w:t>
      </w:r>
    </w:p>
    <w:p w14:paraId="34B51FE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1.1.4.7  天：除特别指明外，均指日历天。合同中按天计算时间的，开始当天不计入，从次日开始计算，期限最后一天的截止时间为当天24：00时。</w:t>
      </w:r>
    </w:p>
    <w:p w14:paraId="7C1D6A5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1.1.5  合同价格和费用</w:t>
      </w:r>
    </w:p>
    <w:p w14:paraId="13CD37C4">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1.1.5.1  签约合同价：是指发包人和承包人在合同协议书中确定的总金额，包括安全文明施工费、暂估价及暂列金额等。</w:t>
      </w:r>
    </w:p>
    <w:p w14:paraId="155F6E8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1.1.5.2  合同价格：是指发包人用于支付承包人按照合同约定完成承包范围内全部工作的金额，包括合同履行过程中按合同约定发生的价格变化。</w:t>
      </w:r>
    </w:p>
    <w:p w14:paraId="0A2F1E7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1.1.5.3  费用：是指为履行合同所发生的或将要发生的所有必需的开支，包括管理费和应分摊的其他费用，但不包括利润。</w:t>
      </w:r>
    </w:p>
    <w:p w14:paraId="47586C7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1.1.5.4  暂估价：是指发包人在工程量清单或预算书中提供的用于支付必然发生但暂时不能确定价格的材料、工程设备的单价、专业工程以及服务工作的金额。</w:t>
      </w:r>
    </w:p>
    <w:p w14:paraId="795E6B7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0E5AE306">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1.1.5.6  计日工：是指合同履行过程中，承包人完成发包人提出的零星工作或需要采用计日工计价的变更工作时，按合同中约定的单价计价的一种方式。</w:t>
      </w:r>
    </w:p>
    <w:p w14:paraId="04F7A67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1.1.5.7  质量保证金：是指按照第15.3款〔质量保证金〕约定承包人用于保证其在缺陷责任期内履行缺陷修补义务的担保。</w:t>
      </w:r>
    </w:p>
    <w:p w14:paraId="74C2EBC4">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1.1.5.8  总价项目：是指在现行国家、行业以及地方的计量规则中无工程量计算规则，在已标价工程量清单或预算书中以总价或以费率形式计算的项目。</w:t>
      </w:r>
    </w:p>
    <w:p w14:paraId="314CBDE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1.1.6  其他</w:t>
      </w:r>
    </w:p>
    <w:p w14:paraId="280EB6C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1.1.6.1  书面形式：是指合同文件、信函、电报、传真等可以有形地表现所载内容的形式。</w:t>
      </w:r>
    </w:p>
    <w:p w14:paraId="3AB3F53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  语言文字</w:t>
      </w:r>
    </w:p>
    <w:p w14:paraId="213094A6">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合同以中国的汉语简体文字编写、解释和说明。合同当事人在专用合同条款中约定使用两种以上语言时，汉语为优先解释和说明合同的语言。</w:t>
      </w:r>
    </w:p>
    <w:p w14:paraId="695B109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  法律</w:t>
      </w:r>
    </w:p>
    <w:p w14:paraId="4CA61EBB">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合同所称法律是指中华人民共和国法律、行政法规、部门规章，以及工程所在地的地方性法规、自治条例、单行条例和地方政府规章等。</w:t>
      </w:r>
    </w:p>
    <w:p w14:paraId="3CC7786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合同当事人可以在专用合同条款中约定合同适用的其他规范性文件。</w:t>
      </w:r>
    </w:p>
    <w:p w14:paraId="1951890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1.4  标准和规范</w:t>
      </w:r>
    </w:p>
    <w:p w14:paraId="16B60108">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1.4.1  适用于工程的国家标准、行业标准、工程所在地的地方性标准，以及相应的规范、规程等，合同当事人有特别要求的，应在专用合同条款中约定。</w:t>
      </w:r>
    </w:p>
    <w:p w14:paraId="2F6D7B85">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1.4.2  发包人要求使用国外标准、规范的，发包人负责提供原文版本和中文译本，并在专用合同条款中约定提供标准规范的名称、份数和时间。</w:t>
      </w:r>
    </w:p>
    <w:p w14:paraId="14AC224F">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1.4.3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513F933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  合同文件的优先顺序</w:t>
      </w:r>
    </w:p>
    <w:p w14:paraId="3785A797">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组成合同的各项文件应互相解释，互为说明。除专用合同条款另有约定外，解释合同文件的优先顺序如下：</w:t>
      </w:r>
    </w:p>
    <w:p w14:paraId="40CAD496">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（1）合同协议书；</w:t>
      </w:r>
    </w:p>
    <w:p w14:paraId="63814D9E">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（2）中标通知书（如果有）；</w:t>
      </w:r>
    </w:p>
    <w:p w14:paraId="3F8DE878">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（3）投标函及其附录（如果有）；</w:t>
      </w:r>
    </w:p>
    <w:p w14:paraId="74629815">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（4）专用合同条款及其附件；</w:t>
      </w:r>
    </w:p>
    <w:p w14:paraId="2DE57A1F">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（5）通用合同条款；</w:t>
      </w:r>
    </w:p>
    <w:p w14:paraId="05FC3767">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（6）技术标准和要求；</w:t>
      </w:r>
    </w:p>
    <w:p w14:paraId="315EB133">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（7）图纸；</w:t>
      </w:r>
    </w:p>
    <w:p w14:paraId="19B275D3">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（8）已标价工程量清单或预算书；</w:t>
      </w:r>
    </w:p>
    <w:p w14:paraId="1365A8FB">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（9）其他合同文件。</w:t>
      </w:r>
    </w:p>
    <w:p w14:paraId="56CECD55">
      <w:pPr>
        <w:spacing w:line="360" w:lineRule="auto"/>
        <w:ind w:firstLine="511" w:firstLineChars="213"/>
        <w:rPr>
          <w:rFonts w:ascii="宋体" w:hAnsi="宋体" w:cs="宋体"/>
          <w:color w:val="auto"/>
          <w:sz w:val="24"/>
          <w:szCs w:val="24"/>
          <w:highlight w:val="none"/>
        </w:rPr>
      </w:pPr>
      <w:r>
        <w:rPr>
          <w:rFonts w:hint="eastAsia" w:ascii="宋体" w:hAnsi="宋体" w:cs="宋体"/>
          <w:color w:val="auto"/>
          <w:sz w:val="24"/>
          <w:szCs w:val="24"/>
          <w:highlight w:val="none"/>
        </w:rPr>
        <w:t>上述各项合同文件包括合同当事人就该项合同文件所作出的补充和修改，属于同一类内容的文件，应以最新签署的为准。</w:t>
      </w:r>
    </w:p>
    <w:p w14:paraId="0B8C069C">
      <w:pPr>
        <w:spacing w:line="360" w:lineRule="auto"/>
        <w:ind w:firstLine="511" w:firstLineChars="213"/>
        <w:rPr>
          <w:rFonts w:ascii="宋体" w:hAnsi="宋体" w:cs="宋体"/>
          <w:color w:val="auto"/>
          <w:sz w:val="24"/>
          <w:szCs w:val="24"/>
          <w:highlight w:val="none"/>
        </w:rPr>
      </w:pPr>
      <w:r>
        <w:rPr>
          <w:rFonts w:hint="eastAsia" w:ascii="宋体" w:hAnsi="宋体" w:cs="宋体"/>
          <w:color w:val="auto"/>
          <w:sz w:val="24"/>
          <w:szCs w:val="24"/>
          <w:highlight w:val="none"/>
        </w:rPr>
        <w:t>在合同订立及履行过程中形成的与合同有关的文件均构成合同文件组成部分，并根据其性质确定优先解释顺序。</w:t>
      </w:r>
    </w:p>
    <w:p w14:paraId="5B73FD2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  图纸和承包人文件</w:t>
      </w:r>
    </w:p>
    <w:p w14:paraId="0D32F70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1.6.1  图纸的提供和交底</w:t>
      </w:r>
    </w:p>
    <w:p w14:paraId="1862F8A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5C885A7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因发包人未按合同约定提供图纸导致承包人费用增加和（或）工期延误的，按照第7.5.1项〔因发包人原因导致工期延误〕约定办理。</w:t>
      </w:r>
    </w:p>
    <w:p w14:paraId="6D2BC37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1.6.2  图纸的错误</w:t>
      </w:r>
    </w:p>
    <w:p w14:paraId="30CBF2C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060B574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1.6.3  图纸的修改和补充</w:t>
      </w:r>
    </w:p>
    <w:p w14:paraId="0758DDD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7D89054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1.6.4  承包人文件</w:t>
      </w:r>
    </w:p>
    <w:p w14:paraId="3A067F4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承包人应按照专用合同条款的约定提供应当由其编制的与工程施工有关的文件，并按照专用合同条款约定的期限、数量和形式提交监理人，并由监理人报送发包人。</w:t>
      </w:r>
    </w:p>
    <w:p w14:paraId="2A9464C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1853AD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1.6.5  图纸和承包人文件的保管</w:t>
      </w:r>
    </w:p>
    <w:p w14:paraId="5E71233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除专用合同条款另有约定外，承包人应在施工现场另外保存一套完整的图纸和承包人文件，供发包人、监理人及有关人员进行工程检查时使用。</w:t>
      </w:r>
    </w:p>
    <w:p w14:paraId="29670BE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  联络</w:t>
      </w:r>
    </w:p>
    <w:p w14:paraId="70C8FF00">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1.7.1  与合同有关的通知、批准、证明、证书、指示、指令、要求、请求、同意、意见、确定和决定等，均应采用书面形式，并应在合同约定的期限内送达接收人和送达地点。</w:t>
      </w:r>
    </w:p>
    <w:p w14:paraId="3705AC20">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1.7.2  发包人和承包人应在专用合同条款中约定各自的送达接收人和送达地点。任何一方合同当事人指定的接收人或送达地点发生变动的，应提前3天以书面形式通知对方。</w:t>
      </w:r>
    </w:p>
    <w:p w14:paraId="76DF6966">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1.7.3  发包人和承包人应当及时签收另一方送达至送达地点和指定接收人的来往信函。拒不签收的，由此增加的费用和（或）延误的工期由拒绝接收一方承担。</w:t>
      </w:r>
    </w:p>
    <w:p w14:paraId="6F2D010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1.8  严禁贿赂</w:t>
      </w:r>
    </w:p>
    <w:p w14:paraId="7EEA43E0">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合同当事人不得以贿赂或变相贿赂的方式，谋取非法利益或损害对方权益。因一方合同当事人的贿赂造成对方损失的，应赔偿损失，并承担相应的法律责任。</w:t>
      </w:r>
    </w:p>
    <w:p w14:paraId="68969030">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172712C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1.9  化石、文物</w:t>
      </w:r>
    </w:p>
    <w:p w14:paraId="2B0B2E4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64759E82">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发包人、监理人和承包人应按有关政府行政管理部门要求采取妥善的保护措施，由此增加的费用和（或）延误的工期由发包人承担。</w:t>
      </w:r>
    </w:p>
    <w:p w14:paraId="3D456A9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承包人发现文物后不及时报告或隐瞒不报，致使文物丢失或损坏的，应赔偿损失，并承担相应的法律责任。</w:t>
      </w:r>
    </w:p>
    <w:p w14:paraId="5EF3176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1.10  交通运输</w:t>
      </w:r>
    </w:p>
    <w:p w14:paraId="0DAE181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1.10.1  出入现场的权利</w:t>
      </w:r>
    </w:p>
    <w:p w14:paraId="27EE7EA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0A81F67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2D9E0F0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1.10.2  场外交通</w:t>
      </w:r>
    </w:p>
    <w:p w14:paraId="2940C92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应提供场外交通设施的技术参数和具体条件，承包人应遵守有关交通法规，严格按照道路和桥梁的限制荷载行驶，执行有关道路限速、限行、禁止超载的规定，并配合交通管理部门的监督和检查。承包人车辆外出行驶所需的场外公共道路的通行费、养路费和税款等由承包人承担。</w:t>
      </w:r>
    </w:p>
    <w:p w14:paraId="33CA590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1.10.3  场内交通</w:t>
      </w:r>
    </w:p>
    <w:p w14:paraId="066F2B0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承包人应负责修建、维修、养护和管理施工所需的场内临时道路和交通设施，包括维修、养护和管理发包人提供的道路和交通设施，并承担相应费用。发包人和监理人可以为实现合同目的免费使用承包人修建的场内临时道路和交通设施。</w:t>
      </w:r>
    </w:p>
    <w:p w14:paraId="69EBA0F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场外交通和场内交通的边界由合同当事人在专用合同条款中约定。</w:t>
      </w:r>
    </w:p>
    <w:p w14:paraId="7A9F213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1.10.4  超大件和超重件的运输</w:t>
      </w:r>
    </w:p>
    <w:p w14:paraId="5BF1C78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1258F06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1.10.5  道路和桥梁的损坏责任</w:t>
      </w:r>
    </w:p>
    <w:p w14:paraId="0D9D8DD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因承包人运输造成施工场地内外公共道路和桥梁损坏的，由承包人承担修复损坏的全部费用和可能引起的赔偿。</w:t>
      </w:r>
    </w:p>
    <w:p w14:paraId="366FBA2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1.10.6  水路和航空运输</w:t>
      </w:r>
    </w:p>
    <w:p w14:paraId="7693A1E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本款前述各项的内容适用于水路运输和航空运输，其中“道路”一词的涵义包括河道、航线、船闸、机场、码头、堤防以及水路或航空运输中其他相似结构物；“车辆”一词的涵义包括船舶和飞机等。</w:t>
      </w:r>
    </w:p>
    <w:p w14:paraId="4CA9FCA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1.11  知识产权</w:t>
      </w:r>
    </w:p>
    <w:p w14:paraId="2C1C6789">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1B279D0F">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3E253DB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674137E6">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1.11.4  除专用合同条款另有约定外，承包人在合同签订前和签订时已确定采用的专利、专有技术、技术秘密的使用费已包含在签约合同价中。</w:t>
      </w:r>
    </w:p>
    <w:p w14:paraId="29C24AB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1.12  保密</w:t>
      </w:r>
    </w:p>
    <w:p w14:paraId="14389155">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除法律规定或合同另有约定外，未经发包人同意，承包人不得将发包人提供的图纸、文件以及声明需要保密的资料信息等商业秘密泄露给第三方。</w:t>
      </w:r>
    </w:p>
    <w:p w14:paraId="34AED23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除法律规定或合同另有约定外，未经承包人同意，发包人不得将承包人提供的技术秘密及声明需要保密的资料信息等商业秘密泄露给第三方。</w:t>
      </w:r>
    </w:p>
    <w:p w14:paraId="638482D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1.13  工程量清单错误的修正</w:t>
      </w:r>
    </w:p>
    <w:p w14:paraId="2A66CF33">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除专用合同条款另有约定外，发包人提供的工程量清单，应被认为是准确的和完整的。出现下列情形之一时，发包人应予以修正，并相应调整合同价格：</w:t>
      </w:r>
    </w:p>
    <w:p w14:paraId="4A869407">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（1）工程量清单存在缺项、漏项的；</w:t>
      </w:r>
    </w:p>
    <w:p w14:paraId="3F509C68">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（2）工程量清单偏差超出专用合同条款约定的工程量偏差范围的；</w:t>
      </w:r>
    </w:p>
    <w:p w14:paraId="49D11992">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（3）未按照国家现行计量规范强制性规定计量的。</w:t>
      </w:r>
    </w:p>
    <w:p w14:paraId="14F93E5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  发包人</w:t>
      </w:r>
    </w:p>
    <w:p w14:paraId="177EFCF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2.1许可或批准</w:t>
      </w:r>
    </w:p>
    <w:p w14:paraId="23FE9555">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3484B88">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因发包人原因未能及时办理完毕前述许可、批准或备案，由发包人承担由此增加的费用和（或）延误的工期。</w:t>
      </w:r>
    </w:p>
    <w:p w14:paraId="24C1715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2.2  发包人代表</w:t>
      </w:r>
    </w:p>
    <w:p w14:paraId="3227B27F">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118B5AB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发包人代表不能按照合同约定履行其职责及义务，并导致合同无法继续正常履行的，承包人可以要求发包人撤换发包人代表。</w:t>
      </w:r>
    </w:p>
    <w:p w14:paraId="40AF116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不属于法定必须监理的工程，监理人的职权可以由发包人代表或发包人指定的其他人员行使。</w:t>
      </w:r>
    </w:p>
    <w:p w14:paraId="367BFD2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2.3  发包人人员</w:t>
      </w:r>
    </w:p>
    <w:p w14:paraId="74FAF87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发包人应要求在施工现场的发包人人员遵守法律及有关安全、质量、环境保护、文明施工等规定，并保障承包人免于承受因发包人人员未遵守上述要求给承包人造成的损失和责任。</w:t>
      </w:r>
    </w:p>
    <w:p w14:paraId="13682FF5">
      <w:pPr>
        <w:spacing w:line="360" w:lineRule="auto"/>
        <w:ind w:firstLine="640"/>
        <w:rPr>
          <w:rFonts w:ascii="宋体" w:hAnsi="宋体" w:cs="宋体"/>
          <w:color w:val="auto"/>
          <w:sz w:val="24"/>
          <w:szCs w:val="24"/>
          <w:highlight w:val="none"/>
        </w:rPr>
      </w:pPr>
      <w:r>
        <w:rPr>
          <w:rFonts w:hint="eastAsia" w:ascii="宋体" w:hAnsi="宋体" w:cs="宋体"/>
          <w:color w:val="auto"/>
          <w:sz w:val="24"/>
          <w:szCs w:val="24"/>
          <w:highlight w:val="none"/>
        </w:rPr>
        <w:t>发包人人员包括发包人代表及其他由发包人派驻施工现场的人员。</w:t>
      </w:r>
    </w:p>
    <w:p w14:paraId="15DFD63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2.4  施工现场、施工条件和基础资料的提供</w:t>
      </w:r>
    </w:p>
    <w:p w14:paraId="48694884">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2.4.1 提供施工现场</w:t>
      </w:r>
    </w:p>
    <w:p w14:paraId="7032FC3E">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除专用合同条款另有约定外，发包人应最迟于开工日期7天前向承包人移交施工现场。</w:t>
      </w:r>
    </w:p>
    <w:p w14:paraId="2AD194B3">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2.4.2 提供施工条件</w:t>
      </w:r>
    </w:p>
    <w:p w14:paraId="0C71F532">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除专用合同条款另有约定外，发包人应负责提供施工所需要的条件，包括：</w:t>
      </w:r>
    </w:p>
    <w:p w14:paraId="17922E35">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（1）将施工用水、电力、通讯线路等施工所必需的条件接至施工现场内；</w:t>
      </w:r>
    </w:p>
    <w:p w14:paraId="62B6246D">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（2）保证向承包人提供正常施工所需要的进入施工现场的交通条件；</w:t>
      </w:r>
    </w:p>
    <w:p w14:paraId="1AB0242D">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（3）协调处理施工现场周围地下管线和邻近建筑物、构筑物、古树名木的保护工作，并承担相关费用；</w:t>
      </w:r>
    </w:p>
    <w:p w14:paraId="1931132E">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（4）按照专用合同条款约定应提供的其他设施和条件。</w:t>
      </w:r>
    </w:p>
    <w:p w14:paraId="5C500987">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2.4.3  提供基础资料</w:t>
      </w:r>
    </w:p>
    <w:p w14:paraId="47EFF55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2BCE58A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按照法律规定确需在开工后方能提供的基础资料，发包人应尽其努力及时地在相应工程施工前的合理期限内提供，合理期限应以不影响承包人的正常施工为限。</w:t>
      </w:r>
    </w:p>
    <w:p w14:paraId="053BC74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2.4.4  逾期提供的责任</w:t>
      </w:r>
    </w:p>
    <w:p w14:paraId="3C6AF69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因发包人原因未能按合同约定及时向承包人提供施工现场、施工条件、基础资料的，由发包人承担由此增加的费用和（或）延误的工期。</w:t>
      </w:r>
    </w:p>
    <w:p w14:paraId="7D31114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2.5  资金来源证明及支付担保</w:t>
      </w:r>
    </w:p>
    <w:p w14:paraId="41143F7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除专用合同条款另有约定外，发包人应在收到承包人要求提供资金来源证明的书面通知后28天内，向承包人提供能够按照合同约定支付合同价款的相应资金来源证明。</w:t>
      </w:r>
    </w:p>
    <w:p w14:paraId="5C678F4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51EEE27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2.6  支付合同价款</w:t>
      </w:r>
    </w:p>
    <w:p w14:paraId="2D1C3FC8">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发包人应按合同约定向承包人及时支付合同价款。</w:t>
      </w:r>
    </w:p>
    <w:p w14:paraId="65DDF07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2.7  组织竣工验收</w:t>
      </w:r>
    </w:p>
    <w:p w14:paraId="0EB65664">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发包人应按合同约定及时组织竣工验收。</w:t>
      </w:r>
    </w:p>
    <w:p w14:paraId="3A4DE21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2.8  现场统一管理协议</w:t>
      </w:r>
    </w:p>
    <w:p w14:paraId="1E22C40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发包人应与承包人、由发包人直接发包的专业工程的承包人签订施工现场统一管理协议，明确各方的权利义务。施工现场统一管理协议作为专用合同条款的附件。</w:t>
      </w:r>
    </w:p>
    <w:p w14:paraId="332D71E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  承包人</w:t>
      </w:r>
    </w:p>
    <w:p w14:paraId="6B6EE86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3.1  承包人的一般义务</w:t>
      </w:r>
    </w:p>
    <w:p w14:paraId="722D91B7">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承包人在履行合同过程中应遵守法律和工程建设标准规范，保证发包人免于承担因承包人违反法律而引起的任何责任，并履行以下义务：</w:t>
      </w:r>
    </w:p>
    <w:p w14:paraId="03F81B8B">
      <w:pPr>
        <w:numPr>
          <w:ilvl w:val="0"/>
          <w:numId w:val="3"/>
        </w:num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办理法律规定应由承包人办理的许可和批准，并将办理结果书面报送发包人留存；</w:t>
      </w:r>
    </w:p>
    <w:p w14:paraId="50834EAE">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按法律规定和合同约定完成工程，并在保修期内承担保修义务；除专用合同条款另有约定外，承包人应提供为完成合同工作所需的劳务、材料、施工设备、工程设备和其他物品，并按合同约定负责临时设施的设计、建造、运行、维护、管理和拆除。</w:t>
      </w:r>
    </w:p>
    <w:p w14:paraId="78D80B1C">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（3）按法律规定和合同约定采取施工安全和环境保护措施，办理工伤保险，确保工程及人员、材料、设备和设施的安全；</w:t>
      </w:r>
    </w:p>
    <w:p w14:paraId="58E00B34">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（4）按合同约定的工作内容和施工进度要求，编制施工组织设计和施工措施计划，并对所有施工作业和施工方法的完备性和安全可靠性负责；</w:t>
      </w:r>
    </w:p>
    <w:p w14:paraId="255EB6EE">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0A5A5AB4">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（6）按照第6.3款〔环境保护〕约定负责施工场地及其周边环境与生态的保护工作；</w:t>
      </w:r>
    </w:p>
    <w:p w14:paraId="6B133539">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（7）按第6.1款〔安全文明施工〕约定采取施工安全措施，确保工程及其人员、材料、设备和设施的安全，防止因工程施工造成的人身伤害和财产损失；</w:t>
      </w:r>
    </w:p>
    <w:p w14:paraId="091D458F">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（8）将发包人按合同约定支付的各项价款专用于合同工程，且应及时支付其雇用人员工资，并及时向分包人支付合同价款；</w:t>
      </w:r>
    </w:p>
    <w:p w14:paraId="04D4EA95">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（9）按照法律规定和合同约定编制竣工资料，完成竣工资料立卷及归档，并按专用合同条款约定的竣工资料的套数、内容、时间等要求移交发包人；</w:t>
      </w:r>
    </w:p>
    <w:p w14:paraId="363408BF">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（10）承包人应按监理人的指示为他人在施工场地或附近实施与工程有关的其他各项工作提供可能的条件；</w:t>
      </w:r>
    </w:p>
    <w:p w14:paraId="0E515CE7">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（11）承包人应按有关法律规定纳税，应缴纳的税金包括在合同价格内；</w:t>
      </w:r>
    </w:p>
    <w:p w14:paraId="0B11D8B4">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（12）应履行的其他义务。</w:t>
      </w:r>
    </w:p>
    <w:p w14:paraId="4468FB6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3.2  项目经理</w:t>
      </w:r>
    </w:p>
    <w:p w14:paraId="6E6025B9">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5B6F719E">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6D5CA65B">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承包人违反上述约定的，应按照专用合同条款的约定，承担违约责任。</w:t>
      </w:r>
    </w:p>
    <w:p w14:paraId="2A4438D9">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1C1BD98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50C08696">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54CE2283">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5A7F247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3.3  承包人人员</w:t>
      </w:r>
    </w:p>
    <w:p w14:paraId="179FA834">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4223765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3.3.2 为完成合同约定的各项工作，承包人应向施工场地派遣或雇佣足够数量的下列人员：</w:t>
      </w:r>
    </w:p>
    <w:p w14:paraId="3229204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(1）具有相应资格的专业技工和合格的普工；</w:t>
      </w:r>
    </w:p>
    <w:p w14:paraId="18F873BC">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(2）具有相应施工经验的技术人员；</w:t>
      </w:r>
    </w:p>
    <w:p w14:paraId="4A522067">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(3）具有相应岗位资格的各级管理人员。</w:t>
      </w:r>
    </w:p>
    <w:p w14:paraId="78006A7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3.3.3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3AFDE3FE">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特殊工种作业人员均应持有相应的资格证明，监理人可以随时检查。监理人认为有必要时，可进行现场考核。</w:t>
      </w:r>
    </w:p>
    <w:p w14:paraId="103B565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3.3.4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7EE30F9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3.3.5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24A4847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3.3.6  承包人擅自更换主要施工管理人员，或前述人员未经监理人或发包人同意擅自离开施工现场的，应按照专用合同条款约定承担违约责任。</w:t>
      </w:r>
    </w:p>
    <w:p w14:paraId="462CC79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3.4  承包人现场查勘</w:t>
      </w:r>
    </w:p>
    <w:p w14:paraId="7FB803B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承包人应对基于发包人按照第2.4.3项〔提供基础资料〕提交的基础资料所做出的解释和推断负责，但因基础资料存在错误、遗漏导致承包人解释或推断失实的，由发包人承担责任。</w:t>
      </w:r>
    </w:p>
    <w:p w14:paraId="5F760E40">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对施工现场和施工条件进行查勘，并充分了解工程所在地的气象条件、交通条件、风俗习惯以及其他与完成合同工作有关的其他资料。在全部合同工作中，应视为承包人己充分估计了应承担的责任和风险。因承包人未能充分查勘、了解前述情况或未能充分估计前述情况所可能产生后果的，承包人承担由此增加的费用和（或）延误的工期。</w:t>
      </w:r>
    </w:p>
    <w:p w14:paraId="542C892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3.5  分包</w:t>
      </w:r>
    </w:p>
    <w:p w14:paraId="5472410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3.5.1  分包的一般约定</w:t>
      </w:r>
    </w:p>
    <w:p w14:paraId="049611E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除专用合同条款另有约定外，未经发包人同意，承包人不得将工程的其他部分或工作分包给第三人。</w:t>
      </w:r>
    </w:p>
    <w:p w14:paraId="5F15EAB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承包人不得以劳务分包的名义转包或违法分包工程。</w:t>
      </w:r>
    </w:p>
    <w:p w14:paraId="222B74A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3.5.2  分包的确定</w:t>
      </w:r>
    </w:p>
    <w:p w14:paraId="169022D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4433001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3.5.3  分包管理</w:t>
      </w:r>
    </w:p>
    <w:p w14:paraId="48E6CBF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承包人应向监理人提交分包人的主要施工管理人员表，并对分包人的施工人员进行实名制管理，包括但不限于进出场管理、登记造册以及各种证照的办理。</w:t>
      </w:r>
    </w:p>
    <w:p w14:paraId="2313DFB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3.5.4  分包合同价款</w:t>
      </w:r>
    </w:p>
    <w:p w14:paraId="537777BE">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（1）除本项第（2）目约定的情况或专用合同条款另有约定外，分包合同价款由承包人与分包人结算，未经承包人同意，发包人不得向分包人支付分包工程价款；</w:t>
      </w:r>
    </w:p>
    <w:p w14:paraId="317F4CA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（2）生效法律文书要求发包人向分包人支付分包合同价款的，发包人有权从应付承包人工程款中扣除该部分款项。</w:t>
      </w:r>
    </w:p>
    <w:p w14:paraId="401546B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3.5.5  分包合同权益的转让</w:t>
      </w:r>
    </w:p>
    <w:p w14:paraId="4020AAE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7CC3074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3.6  工程照管与成品、半成品保护</w:t>
      </w:r>
    </w:p>
    <w:p w14:paraId="09484B1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（1）除专用合同条款另有约定外，自发包人向承包人移交施工现场之日起，承包人应负责照管工程及工程相关的材料、工程设备，直到颁发工程接收证书之日止。</w:t>
      </w:r>
    </w:p>
    <w:p w14:paraId="32E073E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（2）在承包人负责照管期间，因承包人原因造成工程、材料、工程设备损坏的，由承包人负责修复或更换，并承担由此增加的费用和（或）延误的工期。</w:t>
      </w:r>
    </w:p>
    <w:p w14:paraId="0A9CA95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17B718F3">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（4）工程接收证书颁发时尚有部分未竣工工程的，承包人还应负责该未竣工工程的照管和维护工作，直至竣工后移交给发包人为止。</w:t>
      </w:r>
    </w:p>
    <w:p w14:paraId="5663EAC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3.7  履约担保</w:t>
      </w:r>
    </w:p>
    <w:p w14:paraId="52C32B28">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需要承包人提供履约担保的，由合同当事人在专用合同条款中约定履约担保的方式、金额及期限等。承包人应保证其履约担保在发包人颁发工程接收证书前一直有效。履约担保可以采用银行保函或担保公司担保等形式，具体由合同当事人在专用合同条款中约定。</w:t>
      </w:r>
    </w:p>
    <w:p w14:paraId="607BA1C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因承包人原因导致工期延长的，继续提供履约担保所增加的费用由承包人承担；非因承包人原因导致工期延长的，继续提供履约担保所增加的费用由发包人承担。</w:t>
      </w:r>
    </w:p>
    <w:p w14:paraId="3640183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3.8  联合体</w:t>
      </w:r>
    </w:p>
    <w:p w14:paraId="1C237B5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3.8.1  联合体各方应共同与发包人签订合同协议书。联合体各方应为履行合同向发包人承担连带责任。</w:t>
      </w:r>
    </w:p>
    <w:p w14:paraId="73113C3E">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3.8.2  联合体协议经发包人确认后作为合同附件。在履行合同过程中，未经发包人同意，不得修改联合体协议。</w:t>
      </w:r>
    </w:p>
    <w:p w14:paraId="74C246BF">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3.8.3  联合体牵头人负责与发包人和监理人联系，并接受指示，负责组织联合体各成员全面履行合同。</w:t>
      </w:r>
    </w:p>
    <w:p w14:paraId="205A1BF9">
      <w:pPr>
        <w:autoSpaceDE w:val="0"/>
        <w:autoSpaceDN w:val="0"/>
        <w:ind w:firstLine="480" w:firstLineChars="200"/>
        <w:rPr>
          <w:rFonts w:ascii="宋体" w:hAnsi="宋体" w:cs="宋体"/>
          <w:b/>
          <w:bCs/>
          <w:color w:val="auto"/>
          <w:sz w:val="24"/>
          <w:szCs w:val="24"/>
          <w:highlight w:val="none"/>
        </w:rPr>
      </w:pPr>
      <w:r>
        <w:rPr>
          <w:rFonts w:hint="eastAsia" w:ascii="宋体" w:hAnsi="宋体" w:cs="宋体"/>
          <w:color w:val="auto"/>
          <w:sz w:val="24"/>
          <w:szCs w:val="24"/>
          <w:highlight w:val="none"/>
        </w:rPr>
        <w:t xml:space="preserve">3.9 </w:t>
      </w:r>
      <w:r>
        <w:rPr>
          <w:rFonts w:hint="eastAsia" w:ascii="宋体" w:hAnsi="宋体" w:cs="宋体"/>
          <w:bCs/>
          <w:color w:val="auto"/>
          <w:sz w:val="24"/>
          <w:szCs w:val="24"/>
          <w:highlight w:val="none"/>
        </w:rPr>
        <w:t>工程价款应专款专用</w:t>
      </w:r>
    </w:p>
    <w:p w14:paraId="5018D9D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发包人按合同约定支付给承包人的各项价款应专用于合同工程。</w:t>
      </w:r>
    </w:p>
    <w:p w14:paraId="61675D0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4  监理人</w:t>
      </w:r>
    </w:p>
    <w:p w14:paraId="186C159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4.1  监理人的一般规定</w:t>
      </w:r>
    </w:p>
    <w:p w14:paraId="2B7B5FD2">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6D6ACEB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除专用合同条款另有约定外，监理人在施工现场的办公场所、生活场所由承包人提供，所发生的费用由发包人承担。</w:t>
      </w:r>
    </w:p>
    <w:p w14:paraId="398E9B9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4.2  监理人员</w:t>
      </w:r>
    </w:p>
    <w:p w14:paraId="1CB7225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2AE658B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4.3  监理人的指示</w:t>
      </w:r>
    </w:p>
    <w:p w14:paraId="53B4AC8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78A57714">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监理人发出的指示应送达承包人项目经理或经项目经理授权接收的人员。因监理人未能按合同约定发出指示、指示延误或发出了错误指示而导致承包人费用增加和（或）工期延误的，由发包人承担赔偿责任。除专用合同条款另有约定外，总监理工程师不应将第4.4款〔商定或确定〕约定应由总监理工程师作出确定的权力授权或委托给其他监理人员。</w:t>
      </w:r>
    </w:p>
    <w:p w14:paraId="4E59D2C2">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承包人对监理人发出的指示有疑问的，应向监理人提出书面异议，监理人应在48小时内对该指示予以确认、更改或撤销。</w:t>
      </w:r>
    </w:p>
    <w:p w14:paraId="04FD38B3">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5696014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4.4  商定或确定</w:t>
      </w:r>
    </w:p>
    <w:p w14:paraId="487D8043">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合同当事人进行商定或确定时，总监理工程师应当会同合同当事人尽量通过协商达成一致，不能达成一致的，由总监理工程师按照合同约定审慎做出公正的确定。</w:t>
      </w:r>
    </w:p>
    <w:p w14:paraId="6383901F">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73CE2850">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5  工程质量</w:t>
      </w:r>
    </w:p>
    <w:p w14:paraId="3D7386A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5.1  质量要求</w:t>
      </w:r>
    </w:p>
    <w:p w14:paraId="3C600BF9">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5.1.1  工程质量标准必须符合现行国家有关工程施工质量验收规范和标准的要求。有关工程质量的特殊标准或要求由合同当事人在专用合同条款中约定。</w:t>
      </w:r>
    </w:p>
    <w:p w14:paraId="50ECB02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5.1.2  因发包人原因造成工程质量未达到合同约定标准的，由发包人承担由此增加的费用和（或）延误的工期，并支付承包人合理的利润。</w:t>
      </w:r>
    </w:p>
    <w:p w14:paraId="4FD2F0B8">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5.1.3  因承包人原因造成工程质量未达到合同约定标准的，发包人有权要求承包人返工直至工程质量达到合同约定的标准为止，并由承包人承担由此增加的费用和（或）延误的工期。</w:t>
      </w:r>
    </w:p>
    <w:p w14:paraId="5F124C0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5.2  质量保证措施</w:t>
      </w:r>
    </w:p>
    <w:p w14:paraId="712C90E6">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5.2.1  发包人的质量管理</w:t>
      </w:r>
    </w:p>
    <w:p w14:paraId="557C6A75">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发包人应按照法律规定及合同约定完成与工程质量有关的各项工作。</w:t>
      </w:r>
    </w:p>
    <w:p w14:paraId="5810A068">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5.2.2  承包人的质量管理</w:t>
      </w:r>
    </w:p>
    <w:p w14:paraId="149CF1D5">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按照第7.1款〔施工组织设计〕约定向发包人和监理人提交工程质量保证体系及措施文件，包括但不限于在施工场地设置专门的质量检查机构，配备专职质量检查人员，建立完善的质量检查制度，并在合同约定的期限内，提交相应的工程质量文件，包括质量检查机构的组织和岗位责任、质检人员的组成、质量检查程序和实施细则等，报送监理人审批。对于发包人和监理人违反法律规定和合同约定的错误指示，承包人有权拒绝实施。</w:t>
      </w:r>
    </w:p>
    <w:p w14:paraId="4FED3987">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承包人应对施工人员进行质量教育和技术培训，定期考核施工人员的劳动技能，严格执行施工规范和操作规程。</w:t>
      </w:r>
    </w:p>
    <w:p w14:paraId="731C1A9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12BE9E8E">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5.2.3  监理人的质量检查和检验</w:t>
      </w:r>
    </w:p>
    <w:p w14:paraId="083E2393">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5F524E3E">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48B10969">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5.3  隐蔽工程检查</w:t>
      </w:r>
    </w:p>
    <w:p w14:paraId="6CBB5A7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5.3.1  承包人自检</w:t>
      </w:r>
    </w:p>
    <w:p w14:paraId="4ADC12F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承包人应当对工程隐蔽部位进行自检，并经自检确认是否具备覆盖条件。</w:t>
      </w:r>
    </w:p>
    <w:p w14:paraId="099DD5D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5.3.2  检查程序</w:t>
      </w:r>
    </w:p>
    <w:p w14:paraId="170CCDF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1001942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33EB721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监理人不能按时进行检查的，除监理人另有指示外，承包人可自行完成覆盖工作，并作相应记录报送监理人，监理人应签字确认。监理人事后对检查记录有疑问的，可按第5.3.3项〔重新检查〕的约定重新检查。</w:t>
      </w:r>
    </w:p>
    <w:p w14:paraId="6163B21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5.3.3  重新检查</w:t>
      </w:r>
    </w:p>
    <w:p w14:paraId="3CA8487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3463E5D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5.3.4  承包人私自覆盖</w:t>
      </w:r>
    </w:p>
    <w:p w14:paraId="1EC9E1E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0D41A41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5.4  不合格工程的处理</w:t>
      </w:r>
    </w:p>
    <w:p w14:paraId="01BC63C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5.4.1  因承包人原因造成工程不合格的，发包人有权随时要求承包人采取补救措施，直至达到合同要求的质量标准，由此增加的费用和（或）延误的工期由承包人承担。无法补救的，按照第13.2.4项〔拒绝接收全部或部分工程〕约定执行。</w:t>
      </w:r>
    </w:p>
    <w:p w14:paraId="003835E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5.4.2  因发包人原因造成工程不合格的，由此增加的费用和（或）延误的工期由发包人承担，并支付承包人合理的利润。</w:t>
      </w:r>
    </w:p>
    <w:p w14:paraId="5E7847E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5.5  质量争议检测</w:t>
      </w:r>
    </w:p>
    <w:p w14:paraId="2D52E12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合同当事人对工程质量有争议的，由双方协商确定的工程质量检测机构鉴定，由此产生的费用及因此造成的损失，由责任方承担。</w:t>
      </w:r>
    </w:p>
    <w:p w14:paraId="3163AD3A">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合同当事人均有责任的，由双方根据其责任分别承担。合同当事人无法达成一致的，按照第4.4款〔商定或确定〕执行。</w:t>
      </w:r>
    </w:p>
    <w:p w14:paraId="6CDAB429">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6  安全文明施工与环境保护</w:t>
      </w:r>
    </w:p>
    <w:p w14:paraId="239D194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  安全文明施工</w:t>
      </w:r>
    </w:p>
    <w:p w14:paraId="708AE99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6.1.1  安全生产要求</w:t>
      </w:r>
    </w:p>
    <w:p w14:paraId="5C7BB43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5884AA9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14:paraId="37A1AB0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因安全生产需要暂停施工的，按照第7.8款〔暂停施工〕的约定执行。</w:t>
      </w:r>
    </w:p>
    <w:p w14:paraId="7037AF7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6.1.2  安全生产保证措施</w:t>
      </w:r>
    </w:p>
    <w:p w14:paraId="63BB288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03271B1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6.1.3  特别安全生产事项</w:t>
      </w:r>
    </w:p>
    <w:p w14:paraId="0DADF88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0210D6E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承包人在动力设备、输电线路、地下管道、密封防震车间、易燃易爆地段以及临街交通要道附近施工时，施工开始前应向发包人和监理人提出安全防护措施，经发包人认可后实施。</w:t>
      </w:r>
    </w:p>
    <w:p w14:paraId="3C98E65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7FB6AD4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需单独编制危险性较大分部分项专项工程施工方案的，及要求进行专家论证的超过一定规模的危险性较大的分部分项工程，承包人应及时编制和组织论证。</w:t>
      </w:r>
    </w:p>
    <w:p w14:paraId="2A8C989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6.1.4  治安保卫</w:t>
      </w:r>
    </w:p>
    <w:p w14:paraId="042CFC8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除专用合同条款另有约定外，发包人应与当地公安部门协商，在现场建立治安管理机构或联防组织，统一管理施工场地的治安保卫事项，履行合同工程的治安保卫职责。</w:t>
      </w:r>
    </w:p>
    <w:p w14:paraId="65ED668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发包人和承包人除应协助现场治安管理机构或联防组织维护施工场地的社会治安外，还应做好包括生活区在内的各自管辖区的治安保卫工作。</w:t>
      </w:r>
    </w:p>
    <w:p w14:paraId="6982962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40CAC8F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6.1.5  文明施工</w:t>
      </w:r>
    </w:p>
    <w:p w14:paraId="44B11405">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124C959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5A22E38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6.1.6  安全文明施工费</w:t>
      </w:r>
    </w:p>
    <w:p w14:paraId="7FFBD50B">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安全文明施工费由发包人承担，发包人不得以任何形式扣减该部分费用。因基准日期后合同所适用的法律或政府有关规定发生变化，增加的安全文明施工费由承包人承担。</w:t>
      </w:r>
    </w:p>
    <w:p w14:paraId="2CCBF2CF">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经发包人同意采取合同约定以外的安全措施所产生的费用，由承包人承担。安全文明施工费按专用合同条款中工程进度款同期支付。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304F368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6.1.7  紧急情况处理</w:t>
      </w:r>
    </w:p>
    <w:p w14:paraId="238B2A8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6ED253D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6.1.8  事故处理</w:t>
      </w:r>
    </w:p>
    <w:p w14:paraId="3CAF0BDB">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70835056">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6.1.9  安全生产责任</w:t>
      </w:r>
    </w:p>
    <w:p w14:paraId="0DB255F9">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6.1.9.1  发包人的安全责任</w:t>
      </w:r>
    </w:p>
    <w:p w14:paraId="4A75E0A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发包人应负责赔偿以下各种情况造成的损失：</w:t>
      </w:r>
    </w:p>
    <w:p w14:paraId="1C76C4B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（1）工程或工程的任何部分对土地的占用所造成的第三者财产损失；</w:t>
      </w:r>
    </w:p>
    <w:p w14:paraId="691A9FA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（2）由于发包人原因在施工场地及其毗邻地带造成的第三者人身伤亡和财产损失；</w:t>
      </w:r>
    </w:p>
    <w:p w14:paraId="38BD23F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（3）由于发包人原因对承包人、监理人造成的人员人身伤亡和财产损失；</w:t>
      </w:r>
    </w:p>
    <w:p w14:paraId="1C28AA7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（4）由于发包人原因造成的发包人自身人员的人身伤害以及财产损失。</w:t>
      </w:r>
    </w:p>
    <w:p w14:paraId="4F6A3BF8">
      <w:pPr>
        <w:autoSpaceDE w:val="0"/>
        <w:autoSpaceDN w:val="0"/>
        <w:spacing w:line="360" w:lineRule="auto"/>
        <w:ind w:firstLine="465"/>
        <w:rPr>
          <w:rFonts w:ascii="宋体" w:hAnsi="宋体" w:cs="宋体"/>
          <w:color w:val="auto"/>
          <w:sz w:val="24"/>
          <w:szCs w:val="24"/>
          <w:highlight w:val="none"/>
        </w:rPr>
      </w:pPr>
      <w:r>
        <w:rPr>
          <w:rFonts w:hint="eastAsia" w:ascii="宋体" w:hAnsi="宋体" w:cs="宋体"/>
          <w:color w:val="auto"/>
          <w:sz w:val="24"/>
          <w:szCs w:val="24"/>
          <w:highlight w:val="none"/>
        </w:rPr>
        <w:t>6.1.9.2  承包人的安全责任</w:t>
      </w:r>
    </w:p>
    <w:p w14:paraId="5770BA57">
      <w:pPr>
        <w:autoSpaceDE w:val="0"/>
        <w:autoSpaceDN w:val="0"/>
        <w:spacing w:line="360" w:lineRule="auto"/>
        <w:ind w:firstLine="465"/>
        <w:rPr>
          <w:rFonts w:ascii="宋体" w:hAnsi="宋体" w:cs="宋体"/>
          <w:color w:val="auto"/>
          <w:sz w:val="24"/>
          <w:szCs w:val="24"/>
          <w:highlight w:val="none"/>
        </w:rPr>
      </w:pPr>
      <w:r>
        <w:rPr>
          <w:rFonts w:hint="eastAsia" w:ascii="宋体" w:hAnsi="宋体" w:cs="宋体"/>
          <w:color w:val="auto"/>
          <w:sz w:val="24"/>
          <w:szCs w:val="24"/>
          <w:highlight w:val="none"/>
        </w:rPr>
        <w:t>承包人应按合同约定履行安全职责，执行监理人有关安全工作的指示，并在专用合同条款约定的期限内，按合同约定的安全工作内容，编制施工安全措施计划报送监理人审批。</w:t>
      </w:r>
    </w:p>
    <w:p w14:paraId="3432B1D1">
      <w:pPr>
        <w:autoSpaceDE w:val="0"/>
        <w:autoSpaceDN w:val="0"/>
        <w:spacing w:line="360" w:lineRule="auto"/>
        <w:ind w:firstLine="465"/>
        <w:rPr>
          <w:rFonts w:ascii="宋体" w:hAnsi="宋体" w:cs="宋体"/>
          <w:color w:val="auto"/>
          <w:sz w:val="24"/>
          <w:szCs w:val="24"/>
          <w:highlight w:val="none"/>
        </w:rPr>
      </w:pPr>
      <w:r>
        <w:rPr>
          <w:rFonts w:hint="eastAsia" w:ascii="宋体" w:hAnsi="宋体" w:cs="宋体"/>
          <w:color w:val="auto"/>
          <w:sz w:val="24"/>
          <w:szCs w:val="24"/>
          <w:highlight w:val="none"/>
        </w:rPr>
        <w:t>承包人应加强施工作业安全管理，特别应加强易燃、易爆材料、火工器材、有毒与腐蚀性材料和其他危险品的管理，以及对爆破作业和地下工程施工等危险作业的管理。</w:t>
      </w:r>
    </w:p>
    <w:p w14:paraId="0001FCB5">
      <w:pPr>
        <w:autoSpaceDE w:val="0"/>
        <w:autoSpaceDN w:val="0"/>
        <w:spacing w:line="360" w:lineRule="auto"/>
        <w:ind w:firstLine="465"/>
        <w:rPr>
          <w:rFonts w:ascii="宋体" w:hAnsi="宋体" w:cs="宋体"/>
          <w:color w:val="auto"/>
          <w:sz w:val="24"/>
          <w:szCs w:val="24"/>
          <w:highlight w:val="none"/>
        </w:rPr>
      </w:pPr>
      <w:r>
        <w:rPr>
          <w:rFonts w:hint="eastAsia" w:ascii="宋体" w:hAnsi="宋体" w:cs="宋体"/>
          <w:color w:val="auto"/>
          <w:sz w:val="24"/>
          <w:szCs w:val="24"/>
          <w:highlight w:val="none"/>
        </w:rPr>
        <w:t>承包人应严格按照国家安全标准制定施工安全操作规程，配备必要的安全生产和劳动保护设施，加强对承包人人员的安全教育，并发放安全工作手册和劳动保护用具。</w:t>
      </w:r>
    </w:p>
    <w:p w14:paraId="028E868E">
      <w:pPr>
        <w:autoSpaceDE w:val="0"/>
        <w:autoSpaceDN w:val="0"/>
        <w:spacing w:line="360" w:lineRule="auto"/>
        <w:ind w:firstLine="465"/>
        <w:rPr>
          <w:rFonts w:ascii="宋体" w:hAnsi="宋体" w:cs="宋体"/>
          <w:color w:val="auto"/>
          <w:sz w:val="24"/>
          <w:szCs w:val="24"/>
          <w:highlight w:val="none"/>
        </w:rPr>
      </w:pPr>
      <w:r>
        <w:rPr>
          <w:rFonts w:hint="eastAsia" w:ascii="宋体" w:hAnsi="宋体" w:cs="宋体"/>
          <w:color w:val="auto"/>
          <w:sz w:val="24"/>
          <w:szCs w:val="24"/>
          <w:highlight w:val="none"/>
        </w:rPr>
        <w:t>承包人应按监理人的指示制定应对灾害的紧急预案，报送监理人审批。承包人还应按预案做好安全检查，配置必要的救助物资和器材，切实保护好有关人员的人身和财产安全。</w:t>
      </w:r>
    </w:p>
    <w:p w14:paraId="6B414258">
      <w:pPr>
        <w:autoSpaceDE w:val="0"/>
        <w:autoSpaceDN w:val="0"/>
        <w:spacing w:line="360" w:lineRule="auto"/>
        <w:ind w:firstLine="465"/>
        <w:rPr>
          <w:rFonts w:ascii="宋体" w:hAnsi="宋体" w:cs="宋体"/>
          <w:color w:val="auto"/>
          <w:sz w:val="24"/>
          <w:szCs w:val="24"/>
          <w:highlight w:val="none"/>
        </w:rPr>
      </w:pPr>
      <w:r>
        <w:rPr>
          <w:rFonts w:hint="eastAsia" w:ascii="宋体" w:hAnsi="宋体" w:cs="宋体"/>
          <w:color w:val="auto"/>
          <w:sz w:val="24"/>
          <w:szCs w:val="24"/>
          <w:highlight w:val="none"/>
        </w:rPr>
        <w:t>合同约定的安全作业环境及安全施工措施所需费用应遵守有关规定，并包括在相关工作的合同价格中。因采取合同未约定的安全作业环境及安全施工措施增加的费用，由监理人按第4.4 款商定或确定。</w:t>
      </w:r>
    </w:p>
    <w:p w14:paraId="334524CD">
      <w:pPr>
        <w:autoSpaceDE w:val="0"/>
        <w:autoSpaceDN w:val="0"/>
        <w:spacing w:line="360" w:lineRule="auto"/>
        <w:ind w:firstLine="465"/>
        <w:rPr>
          <w:rFonts w:ascii="宋体" w:hAnsi="宋体" w:cs="宋体"/>
          <w:color w:val="auto"/>
          <w:sz w:val="24"/>
          <w:szCs w:val="24"/>
          <w:highlight w:val="none"/>
        </w:rPr>
      </w:pPr>
      <w:r>
        <w:rPr>
          <w:rFonts w:hint="eastAsia" w:ascii="宋体" w:hAnsi="宋体" w:cs="宋体"/>
          <w:color w:val="auto"/>
          <w:sz w:val="24"/>
          <w:szCs w:val="24"/>
          <w:highlight w:val="none"/>
        </w:rPr>
        <w:t>承包人应对其履行合同所雇佣的全部人员，包括分包人人员的工伤事故承担责任。</w:t>
      </w:r>
    </w:p>
    <w:p w14:paraId="35FCF5C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由于承包人原因在施工场地内及其毗邻地带造成的发包人、监理人以及第三者人员伤亡和财产损失，由承包人负责赔偿。</w:t>
      </w:r>
    </w:p>
    <w:p w14:paraId="4716CED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6.2  职业健康</w:t>
      </w:r>
    </w:p>
    <w:p w14:paraId="1F08A7C2">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6.2.1  劳动保护</w:t>
      </w:r>
    </w:p>
    <w:p w14:paraId="43049C4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4C68248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并负责处理其雇佣人员因工伤亡事故的善后事宜。</w:t>
      </w:r>
    </w:p>
    <w:p w14:paraId="02AAD488">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7B9370D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6.2.2  生活条件</w:t>
      </w:r>
    </w:p>
    <w:p w14:paraId="466BF15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164C6CF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6.3  环境保护</w:t>
      </w:r>
    </w:p>
    <w:p w14:paraId="74AD5F7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承包人在施工过程中，应遵守有关环境保护的法律，履行合同约定的环境保护义务，并对违反法律和合同约定义务所造成的环境破坏、人身伤害和财产损失负责。</w:t>
      </w:r>
    </w:p>
    <w:p w14:paraId="5B45082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承包人应按合同约定的环保工作内容，编制施工环保措施计划，报送监理人审批。</w:t>
      </w:r>
    </w:p>
    <w:p w14:paraId="042B5D1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36AE4EA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承包人应按合同约定采取有效措施，对施工开挖的边坡及时进行支护，维护排水设施，并进行水土保护，避免因施工造成的地质灾害。</w:t>
      </w:r>
    </w:p>
    <w:p w14:paraId="7C36BB5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承包人应按国家饮用水管理标准定期对饮用水源进行监测，防止施工活动污染饮用水源。</w:t>
      </w:r>
    </w:p>
    <w:p w14:paraId="098D53E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承包人应按合同约定，加强对噪声、粉尘、废气、废水和废油的控制，努力降低噪声，控制粉尘和废气浓度，做好废水和废油的治理和排放。</w:t>
      </w:r>
    </w:p>
    <w:p w14:paraId="524BBD89">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承包人应当承担因其原因引起的环境污染侵权损害赔偿责任，因上述环境污染引起纠纷而导致暂停施工的，由此增加的费用和（或）延误的工期由承包人承担。</w:t>
      </w:r>
    </w:p>
    <w:p w14:paraId="2167CB60">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7  工期和进度</w:t>
      </w:r>
    </w:p>
    <w:p w14:paraId="10A456B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7.1  施工组织设计</w:t>
      </w:r>
    </w:p>
    <w:p w14:paraId="73317446">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7.1.1  施工组织设计的内容</w:t>
      </w:r>
    </w:p>
    <w:p w14:paraId="078EE9C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施工组织设计应包含以下内容：</w:t>
      </w:r>
    </w:p>
    <w:p w14:paraId="3ABA9B0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（1）施工方案；</w:t>
      </w:r>
    </w:p>
    <w:p w14:paraId="18EAF0A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（2）施工现场平面布置图；</w:t>
      </w:r>
    </w:p>
    <w:p w14:paraId="135359E9">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（3）施工进度计划和保证措施；</w:t>
      </w:r>
    </w:p>
    <w:p w14:paraId="0A4EC85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（4）劳动力及材料供应计划；</w:t>
      </w:r>
    </w:p>
    <w:p w14:paraId="2C2CC126">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（5）施工机械设备的选用；</w:t>
      </w:r>
    </w:p>
    <w:p w14:paraId="62FDC0E0">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（6）质量保证体系及措施；</w:t>
      </w:r>
    </w:p>
    <w:p w14:paraId="4395AF34">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（7）安全生产、文明施工措施；</w:t>
      </w:r>
    </w:p>
    <w:p w14:paraId="7F08CD49">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（8）环境保护、成本控制措施；</w:t>
      </w:r>
    </w:p>
    <w:p w14:paraId="14617327">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（9）合同当事人约定的其他内容。</w:t>
      </w:r>
    </w:p>
    <w:p w14:paraId="7A851954">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7.1.2  施工组织设计的提交和修改</w:t>
      </w:r>
    </w:p>
    <w:p w14:paraId="10341935">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7E1F8A12">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施工进度计划的编制和修改按照第7.2款〔施工进度计划〕执行。</w:t>
      </w:r>
    </w:p>
    <w:p w14:paraId="0F21ADE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7.2  施工进度计划</w:t>
      </w:r>
    </w:p>
    <w:p w14:paraId="172B3CA4">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7.2.1  施工进度计划的编制</w:t>
      </w:r>
    </w:p>
    <w:p w14:paraId="3E7E839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30EB1C9E">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7.2.2  施工进度计划的修订</w:t>
      </w:r>
    </w:p>
    <w:p w14:paraId="2CAF7AD5">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21EA86F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7.3  开工</w:t>
      </w:r>
    </w:p>
    <w:p w14:paraId="4596BA7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7.3.1  开工准备</w:t>
      </w:r>
    </w:p>
    <w:p w14:paraId="3C67E39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214B03D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除专用合同条款另有约定外，合同当事人应按约定完成开工准备工作。</w:t>
      </w:r>
    </w:p>
    <w:p w14:paraId="7F13939C">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7.3.2  开工通知</w:t>
      </w:r>
    </w:p>
    <w:p w14:paraId="54073968">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承包人应在开工日期后尽快施工。</w:t>
      </w:r>
    </w:p>
    <w:p w14:paraId="07CF9F66">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承包人应按第7.2.1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5FCC914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1730963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7.4  测量放线</w:t>
      </w:r>
    </w:p>
    <w:p w14:paraId="19815A38">
      <w:pPr>
        <w:autoSpaceDE w:val="0"/>
        <w:autoSpaceDN w:val="0"/>
        <w:spacing w:line="360" w:lineRule="auto"/>
        <w:ind w:firstLine="472" w:firstLineChars="200"/>
        <w:rPr>
          <w:rFonts w:ascii="宋体" w:hAnsi="宋体" w:cs="宋体"/>
          <w:color w:val="auto"/>
          <w:spacing w:val="-2"/>
          <w:sz w:val="24"/>
          <w:szCs w:val="24"/>
          <w:highlight w:val="none"/>
        </w:rPr>
      </w:pPr>
      <w:r>
        <w:rPr>
          <w:rFonts w:hint="eastAsia" w:ascii="宋体" w:hAnsi="宋体" w:cs="宋体"/>
          <w:color w:val="auto"/>
          <w:spacing w:val="-2"/>
          <w:sz w:val="24"/>
          <w:szCs w:val="24"/>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06F44E70">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41A14D04">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14:paraId="1088B3EB">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承包人应负责管理施工控制网点。施工控制网点丢失或损坏的，承包人应及时修复。承包人应承担施工控制网点的管理与修复费用，并在工程竣工后将施工控制网点移交发包人。</w:t>
      </w:r>
    </w:p>
    <w:p w14:paraId="764B68B3">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56044D1C">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施工过程中对施工现场内水准点等测量标志物的保护工作由承包人负责。</w:t>
      </w:r>
    </w:p>
    <w:p w14:paraId="14F669F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7.5  工期延误</w:t>
      </w:r>
    </w:p>
    <w:p w14:paraId="1260A03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7.5.1  因发包人原因导致工期延误</w:t>
      </w:r>
    </w:p>
    <w:p w14:paraId="78FAD2F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在合同履行过程中，因下列情况导致工期延误和（或）费用增加的，由发包人承担由此延误的工期和（或）增加的费用，且发包人应支付承包人合理的利润：</w:t>
      </w:r>
    </w:p>
    <w:p w14:paraId="6718258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（1）发包人未能按合同约定提供图纸或所提供图纸不符合合同约定的；</w:t>
      </w:r>
    </w:p>
    <w:p w14:paraId="7E7C7F4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（2）发包人未能按合同约定提供施工现场、施工条件、基础资料、许可、批准等开工条件的；</w:t>
      </w:r>
    </w:p>
    <w:p w14:paraId="465E9CC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（3）发包人提供的测量基准点、基准线和水准点及其书面资料存在错误或疏漏的；</w:t>
      </w:r>
    </w:p>
    <w:p w14:paraId="1EBC57F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（4）发包人未能在计划开工日期之日起7天内同意下达开工通知的；</w:t>
      </w:r>
    </w:p>
    <w:p w14:paraId="09091F06">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（5）发包人未能按合同约定日期支付工程预付款、进度款或竣工结算款的；</w:t>
      </w:r>
    </w:p>
    <w:p w14:paraId="02C1045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（6）监理人未按合同约定发出指示、批准等文件的；</w:t>
      </w:r>
    </w:p>
    <w:p w14:paraId="0A272E5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（7）专用合同条款中约定的其他情形。</w:t>
      </w:r>
    </w:p>
    <w:p w14:paraId="7D8812C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36F11C9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7.5.2  因承包人原因导致工期延误</w:t>
      </w:r>
    </w:p>
    <w:p w14:paraId="66095C28">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由于承包人原因，未能按合同进度计划完成工作，或监理人认为承包人施工进度不能满足合同工期要求的，承包人应采取措施加快进度，并承担加快进度所增加的费用。因承包人原因造成工期延误的，可以在专用合同条款中约定逾期竣工违约金的计算方法和逾期竣工违约金的上限。承包人支付逾期竣工违约金后，不免除承包人继续完成工程及修补缺陷的义务。</w:t>
      </w:r>
    </w:p>
    <w:p w14:paraId="6CAFD6F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7.6  不利物质条件</w:t>
      </w:r>
    </w:p>
    <w:p w14:paraId="79D796F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28ADCF6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由此发生的费用由承包人承担，延误的工期发包人承担。。</w:t>
      </w:r>
    </w:p>
    <w:p w14:paraId="4D80684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7.7  异常恶劣的气候条件</w:t>
      </w:r>
    </w:p>
    <w:p w14:paraId="48C7AD7E">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71023678">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采取克服异常恶劣的气候条件的合理措施继续施工，并及时通知发包人和监理人。监理人经发包人同意后应当及时发出指示，指示构成变更的，按第10条〔变更〕约定办理。承包人因采取合理措施而产生的费用由承包人承担，延误的工期由发包人承担。</w:t>
      </w:r>
    </w:p>
    <w:p w14:paraId="6AAA0CA8">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7.8  暂停施工</w:t>
      </w:r>
    </w:p>
    <w:p w14:paraId="2E138EF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7.8.1  发包人原因引起的暂停施工</w:t>
      </w:r>
    </w:p>
    <w:p w14:paraId="2B8A855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因发包人原因引起暂停施工的，监理人经发包人同意后，应及时下达暂停施工指示。情况紧急且监理人未及时下达暂停施工指示的，按照第7.8.4项〔紧急情况下的暂停施工〕执行。</w:t>
      </w:r>
    </w:p>
    <w:p w14:paraId="1479724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因发包人原因引起的暂停施工，发包人应承担由此增加的费用和（或）延误的工期，并支付承包人合理的利润。</w:t>
      </w:r>
    </w:p>
    <w:p w14:paraId="10254F0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7.8.2  承包人原因引起的暂停施工</w:t>
      </w:r>
    </w:p>
    <w:p w14:paraId="48AFD40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下列情况引起的暂停施工，承包人应承担由此增加的费用和（或）延误的工期，且承包人在收到监理人复工指示后84天内仍未复工的，视为第16.2.1项〔承包人违约的情形〕第（7）目约定的承包人无法继续履行合同的情形。</w:t>
      </w:r>
    </w:p>
    <w:p w14:paraId="33A4F60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(1）承包人违约引起的暂停施工；</w:t>
      </w:r>
    </w:p>
    <w:p w14:paraId="23A46A2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(2）由于承包人原因为工程合理施工和安全保障所必需的暂停施工；</w:t>
      </w:r>
    </w:p>
    <w:p w14:paraId="63DA5DC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(3）承包人擅自暂停施工；</w:t>
      </w:r>
    </w:p>
    <w:p w14:paraId="3C9CACC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(4）承包人其他原因引起的暂停施工；</w:t>
      </w:r>
    </w:p>
    <w:p w14:paraId="600521E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(5）专用合同条款约定由承包人承担的其他暂停施工。</w:t>
      </w:r>
    </w:p>
    <w:p w14:paraId="63D730D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7.8.3  指示暂停施工</w:t>
      </w:r>
    </w:p>
    <w:p w14:paraId="76679F8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监理人认为有必要时，并经发包人批准后，可向承包人作出暂停施工的指示，承包人应按监理人指示暂停施工。</w:t>
      </w:r>
    </w:p>
    <w:p w14:paraId="3EB4102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7.8.4  紧急情况下的暂停施工</w:t>
      </w:r>
    </w:p>
    <w:p w14:paraId="3B17972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4932F5E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7.8.5  暂停施工后的复工</w:t>
      </w:r>
    </w:p>
    <w:p w14:paraId="13414B4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4BFEDF4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承包人无故拖延和拒绝复工的，承包人承担由此增加的费用和（或）延误的工期；因发包人原因无法按时复工的，按照第7.5.1项〔因发包人原因导致工期延误〕约定办理。</w:t>
      </w:r>
    </w:p>
    <w:p w14:paraId="1DF1A83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7.8.6  暂停施工持续56天以上</w:t>
      </w:r>
    </w:p>
    <w:p w14:paraId="33F88CD9">
      <w:pPr>
        <w:spacing w:line="360" w:lineRule="auto"/>
        <w:ind w:firstLine="468" w:firstLineChars="195"/>
        <w:rPr>
          <w:rFonts w:ascii="宋体" w:hAnsi="宋体" w:cs="宋体"/>
          <w:color w:val="auto"/>
          <w:sz w:val="24"/>
          <w:szCs w:val="24"/>
          <w:highlight w:val="none"/>
        </w:rPr>
      </w:pPr>
      <w:r>
        <w:rPr>
          <w:rFonts w:hint="eastAsia" w:ascii="宋体" w:hAnsi="宋体" w:cs="宋体"/>
          <w:color w:val="auto"/>
          <w:sz w:val="24"/>
          <w:szCs w:val="24"/>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2CF40E6F">
      <w:pPr>
        <w:spacing w:line="360" w:lineRule="auto"/>
        <w:ind w:firstLine="468" w:firstLineChars="195"/>
        <w:rPr>
          <w:rFonts w:ascii="宋体" w:hAnsi="宋体" w:cs="宋体"/>
          <w:color w:val="auto"/>
          <w:sz w:val="24"/>
          <w:szCs w:val="24"/>
          <w:highlight w:val="none"/>
        </w:rPr>
      </w:pPr>
      <w:r>
        <w:rPr>
          <w:rFonts w:hint="eastAsia" w:ascii="宋体" w:hAnsi="宋体" w:cs="宋体"/>
          <w:color w:val="auto"/>
          <w:sz w:val="24"/>
          <w:szCs w:val="24"/>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158F9E16">
      <w:pPr>
        <w:spacing w:line="360" w:lineRule="auto"/>
        <w:ind w:firstLine="468" w:firstLineChars="195"/>
        <w:rPr>
          <w:rFonts w:ascii="宋体" w:hAnsi="宋体" w:cs="宋体"/>
          <w:color w:val="auto"/>
          <w:sz w:val="24"/>
          <w:szCs w:val="24"/>
          <w:highlight w:val="none"/>
        </w:rPr>
      </w:pPr>
      <w:r>
        <w:rPr>
          <w:rFonts w:hint="eastAsia" w:ascii="宋体" w:hAnsi="宋体" w:cs="宋体"/>
          <w:color w:val="auto"/>
          <w:sz w:val="24"/>
          <w:szCs w:val="24"/>
          <w:highlight w:val="none"/>
        </w:rPr>
        <w:t>由于承包人责任引起的暂停施工，如承包人在收到监理人暂停施工指示后56 天内不认真采取有效的复工措施，造成工期延误，可视为承包人违约，应按第16.2 款的规定办理。</w:t>
      </w:r>
    </w:p>
    <w:p w14:paraId="250236D9">
      <w:pPr>
        <w:spacing w:line="360" w:lineRule="auto"/>
        <w:ind w:firstLine="468" w:firstLineChars="195"/>
        <w:rPr>
          <w:rFonts w:ascii="宋体" w:hAnsi="宋体" w:cs="宋体"/>
          <w:color w:val="auto"/>
          <w:sz w:val="24"/>
          <w:szCs w:val="24"/>
          <w:highlight w:val="none"/>
        </w:rPr>
      </w:pPr>
      <w:r>
        <w:rPr>
          <w:rFonts w:hint="eastAsia" w:ascii="宋体" w:hAnsi="宋体" w:cs="宋体"/>
          <w:color w:val="auto"/>
          <w:sz w:val="24"/>
          <w:szCs w:val="24"/>
          <w:highlight w:val="none"/>
        </w:rPr>
        <w:t>7.8.7  暂停施工期间的工程照管</w:t>
      </w:r>
    </w:p>
    <w:p w14:paraId="69FC58F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不论由于何种原因引起的暂停施工，暂停施工期间，承包人应负责妥善照管工程并提供安全保障，由此增加的费用由责任方承担。</w:t>
      </w:r>
    </w:p>
    <w:p w14:paraId="0D4BD7F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7.8.8  暂停施工的措施</w:t>
      </w:r>
    </w:p>
    <w:p w14:paraId="171B0E5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暂停施工期间，发包人和承包人均应采取必要的措施确保工程质量及安全，防止因暂停施工扩大损失。</w:t>
      </w:r>
    </w:p>
    <w:p w14:paraId="4551861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7.9  提前竣工</w:t>
      </w:r>
    </w:p>
    <w:p w14:paraId="62666260">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306F2FD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7.9.2  发包人要求承包人提前竣工，或承包人提出提前竣工的建议能够给发包人带来效益的，合同当事人可以在专用合同条款中约定提前竣工的奖励。</w:t>
      </w:r>
    </w:p>
    <w:p w14:paraId="7CD1FD7F">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8  材料与设备</w:t>
      </w:r>
    </w:p>
    <w:p w14:paraId="75D6C32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8.1  发包人供应材料与工程设备</w:t>
      </w:r>
    </w:p>
    <w:p w14:paraId="651D87A0">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发包人自行供应材料、工程设备的，应在签订合同时在专用合同条款的附件《发包人供应材料设备一览表》中明确材料、工程设备的品种、规格、型号、数量、单价、质量等级和送达地点。</w:t>
      </w:r>
    </w:p>
    <w:p w14:paraId="522562B5">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462B2260">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除专用合同条款另有约定外，发包人提供的材料和工程设备验收后，由承包人负责接收、运输和保管。</w:t>
      </w:r>
    </w:p>
    <w:p w14:paraId="01DAEBA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发包人要求向承包人提前交货的，承包人不得拒绝。</w:t>
      </w:r>
    </w:p>
    <w:p w14:paraId="212E2B33">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承包人要求更改交货日期或地点的，应事先报请监理人批准。由于承包人要求更改交货时间或地点所增加的费用和（或）工期延误由承包人承担。</w:t>
      </w:r>
    </w:p>
    <w:p w14:paraId="0909DB9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8.2  承包人采购材料与工程设备</w:t>
      </w:r>
    </w:p>
    <w:p w14:paraId="221E25BC">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由此增加的费用和（或）延误的工期。</w:t>
      </w:r>
    </w:p>
    <w:p w14:paraId="0921EA8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承包人应将各项材料和工程设备的供货人及品种、规格、数量和供货时间等报送监理人审批。承包人应向监理人提交其负责提供的材料和工程设备的质量证明文件，并满足合同约定的质量标准。</w:t>
      </w:r>
    </w:p>
    <w:p w14:paraId="372ED44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8.3  材料与工程设备的接收与拒收</w:t>
      </w:r>
    </w:p>
    <w:p w14:paraId="2F558290">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2F09FB05">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发包人提供的材料和工程设备的规格、数量或质量不符合合同约定的，或因发包人原因导致交货日期延误或交货地点变更等情况的，按照第16.1款〔发包人违约〕约定办理。</w:t>
      </w:r>
    </w:p>
    <w:p w14:paraId="13EB5444">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7B2F4E5A">
      <w:pPr>
        <w:autoSpaceDE w:val="0"/>
        <w:autoSpaceDN w:val="0"/>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0ED15FC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8.4  材料与工程设备的保管与使用</w:t>
      </w:r>
    </w:p>
    <w:p w14:paraId="7309E63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8.4.1  发包人供应材料与工程设备的保管与使用</w:t>
      </w:r>
    </w:p>
    <w:p w14:paraId="1C6F14B3">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2CD48BE0">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发包人供应的材料和工程设备使用前，由承包人负责检验，检验费用由发包人承担，不合格的不得使用。</w:t>
      </w:r>
    </w:p>
    <w:p w14:paraId="0A777ECB">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8.4.2  承包人采购材料与工程设备的保管与使用</w:t>
      </w:r>
    </w:p>
    <w:p w14:paraId="2025AE25">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3A4FE7A4">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发包人或监理人发现承包人使用不符合设计或有关标准要求的材料和工程设备时，有权要求承包人进行修复、拆除或重新采购，由此增加的费用和（或）延误的工期，由承包人承担。</w:t>
      </w:r>
    </w:p>
    <w:p w14:paraId="4DA42EA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8.5  禁止使用不合格的材料和工程设备</w:t>
      </w:r>
    </w:p>
    <w:p w14:paraId="3373223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8.5.1  监理人有权拒绝承包人提供的不合格材料或工程设备，并要求承包人立即进行更换。监理人应在更换后再次进行检查和检验，由此增加的费用和（或）延误的工期由承包人承担。</w:t>
      </w:r>
    </w:p>
    <w:p w14:paraId="19EC665F">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8.5.2  监理人发现承包人使用了不合格的材料和工程设备，承包人应按照监理人的指示立即改正，并禁止在工程中继续使用不合格的材料和工程设备。</w:t>
      </w:r>
    </w:p>
    <w:p w14:paraId="7BCB2528">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8.5.3  发包人提供的材料或工程设备不符合合同要求的，承包人有权拒绝，并可要求发包人更换，由此增加的费用和（或）延误的工期由发包人承担。</w:t>
      </w:r>
    </w:p>
    <w:p w14:paraId="6342D27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8.6  样品</w:t>
      </w:r>
    </w:p>
    <w:p w14:paraId="690617F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8.6.1  样品的报送与封存</w:t>
      </w:r>
    </w:p>
    <w:p w14:paraId="7D54B170">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需要承包人报送样品的材料或工程设备，样品的种类、名称、规格、数量等要求均应在专用合同条款中约定。样品的报送程序如下：</w:t>
      </w:r>
    </w:p>
    <w:p w14:paraId="08B1C186">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5E0E130F">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0FD7FE99">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（3）经发包人和监理人审批确认的样品应按约定的方法封样，封存的样品作为检验工程相关部分的标准之一。承包人在施工过程中不得使用与样品不符的材料或工程设备。</w:t>
      </w:r>
    </w:p>
    <w:p w14:paraId="02E1EC1B">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455351AC">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8.6.2 样品的保管</w:t>
      </w:r>
    </w:p>
    <w:p w14:paraId="336982D0">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经批准的样品应由监理人负责封存于现场，承包人应在现场为保存样品提供适当和固定的场所并保持适当和良好的存储环境条件。</w:t>
      </w:r>
    </w:p>
    <w:p w14:paraId="281CA5A6">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8.7  材料与工程设备的替代</w:t>
      </w:r>
    </w:p>
    <w:p w14:paraId="478C4854">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8.7.1  出现下列情况需要使用替代材料和工程设备的，承包人应按照第8.7.2项约定的程序执行：</w:t>
      </w:r>
    </w:p>
    <w:p w14:paraId="1BADDB4A">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（1）基准日期后生效的法律规定禁止使用的；</w:t>
      </w:r>
    </w:p>
    <w:p w14:paraId="0CB4D7B4">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（2）发包人要求使用替代品的；</w:t>
      </w:r>
    </w:p>
    <w:p w14:paraId="30657866">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（3）因其他原因必须使用替代品的。</w:t>
      </w:r>
    </w:p>
    <w:p w14:paraId="55BD7B5D">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8.7.2  承包人应在使用替代材料和工程设备28天前书面通知监理人，并附下列文件：</w:t>
      </w:r>
    </w:p>
    <w:p w14:paraId="6939656E">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（1）被替代的材料和工程设备的名称、数量、规格、型号、品牌、性能、价格及其他相关资料；</w:t>
      </w:r>
    </w:p>
    <w:p w14:paraId="6AB24BF0">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（2）替代品的名称、数量、规格、型号、品牌、性能、价格及其他相关资料；</w:t>
      </w:r>
    </w:p>
    <w:p w14:paraId="2CDBEC5F">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（3）替代品与被替代产品之间的差异以及使用替代品可能对工程产生的影响；</w:t>
      </w:r>
    </w:p>
    <w:p w14:paraId="4D868255">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（4）替代品与被替代产品的价格差异；</w:t>
      </w:r>
    </w:p>
    <w:p w14:paraId="01DBDAD8">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（5）使用替代品的理由和原因说明；</w:t>
      </w:r>
    </w:p>
    <w:p w14:paraId="78820623">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（6）监理人要求的其他文件。</w:t>
      </w:r>
    </w:p>
    <w:p w14:paraId="7E658B7B">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监理人应在收到通知后14天内向承包人发出经发包人签认的书面指示；监理人逾期发出书面指示的，视为发包人和监理人同意使用替代品。</w:t>
      </w:r>
    </w:p>
    <w:p w14:paraId="372425D9">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3349837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8.8  施工设备和临时设施</w:t>
      </w:r>
    </w:p>
    <w:p w14:paraId="7B22CD24">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8.8.1  承包人提供的施工设备和临时设施</w:t>
      </w:r>
    </w:p>
    <w:p w14:paraId="428073F3">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4790C8D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除专用合同条款另有约定外，承包人应自行承担修建临时设施的费用，需要临时占地的，应由发包人办理申请手续并承担相应费用。</w:t>
      </w:r>
    </w:p>
    <w:p w14:paraId="373DE857">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8.8.2  发包人提供的施工设备和临时设施</w:t>
      </w:r>
    </w:p>
    <w:p w14:paraId="0C3AEF4B">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发包人提供的施工设备或临时设施在专用合同条款中约定。</w:t>
      </w:r>
    </w:p>
    <w:p w14:paraId="3E3988C6">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8.8.3  要求承包人增加或更换施工设备</w:t>
      </w:r>
    </w:p>
    <w:p w14:paraId="5964436F">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7E0CAFF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8.9  材料与设备专用要求</w:t>
      </w:r>
    </w:p>
    <w:p w14:paraId="3F01BA6E">
      <w:pPr>
        <w:autoSpaceDE w:val="0"/>
        <w:autoSpaceDN w:val="0"/>
        <w:spacing w:line="360" w:lineRule="auto"/>
        <w:ind w:firstLine="472" w:firstLineChars="200"/>
        <w:rPr>
          <w:rFonts w:ascii="宋体" w:hAnsi="宋体" w:cs="宋体"/>
          <w:color w:val="auto"/>
          <w:sz w:val="24"/>
          <w:szCs w:val="24"/>
          <w:highlight w:val="none"/>
        </w:rPr>
      </w:pPr>
      <w:r>
        <w:rPr>
          <w:rFonts w:hint="eastAsia" w:ascii="宋体" w:hAnsi="宋体" w:cs="宋体"/>
          <w:color w:val="auto"/>
          <w:spacing w:val="-2"/>
          <w:sz w:val="24"/>
          <w:szCs w:val="24"/>
          <w:highlight w:val="none"/>
        </w:rPr>
        <w:t>承包人运入施工现场的材料、工程设备、施工设备以及在施工场地建设的临时设施，包括备品备件、安装工具与资料，必须专用于工程。未经发包人批准，承包人不得运出施工现场或挪作他用；</w:t>
      </w:r>
      <w:r>
        <w:rPr>
          <w:rFonts w:hint="eastAsia" w:ascii="宋体" w:hAnsi="宋体" w:cs="宋体"/>
          <w:color w:val="auto"/>
          <w:sz w:val="24"/>
          <w:szCs w:val="24"/>
          <w:highlight w:val="none"/>
        </w:rPr>
        <w:t>随同工程设备运入施工场地的备品备件、专用工器具与随机资料，应由承包人会同监理人按供货人的装箱单清点后共同封存，未经监理人同意不得启用。承包人因合同工作需要使用上述物品时，应向监理人提出申请；</w:t>
      </w:r>
      <w:r>
        <w:rPr>
          <w:rFonts w:hint="eastAsia" w:ascii="宋体" w:hAnsi="宋体" w:cs="宋体"/>
          <w:color w:val="auto"/>
          <w:spacing w:val="-2"/>
          <w:sz w:val="24"/>
          <w:szCs w:val="24"/>
          <w:highlight w:val="none"/>
        </w:rPr>
        <w:t>经发包人批准，承包人可以根据施工进度计划撤走闲置的施工设备和其他物品。</w:t>
      </w:r>
    </w:p>
    <w:p w14:paraId="1D02B4A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9  试验与检验</w:t>
      </w:r>
    </w:p>
    <w:p w14:paraId="2864A01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9.1  试验设备与试验人员</w:t>
      </w:r>
    </w:p>
    <w:p w14:paraId="4AAFC08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02D439D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9.1.2  承包人应按专用合同条款的约定提供试验设备、取样装置、试验场所和试验条件，并向监理人提交相应进场计划表。</w:t>
      </w:r>
    </w:p>
    <w:p w14:paraId="5C4E016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承包人配置的试验设备要符合相应试验规程的要求并经过具有资质的检测单位检测，且在正式使用该试验设备前，需要经过监理人与承包人共同校定。</w:t>
      </w:r>
    </w:p>
    <w:p w14:paraId="5053E9E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9.1.3  承包人应向监理人提交试验人员的名单及其岗位、资格等证明资料，试验人员必须能够熟练进行相应的检测试验，承包人对试验人员的试验程序和试验结果的正确性负责。</w:t>
      </w:r>
    </w:p>
    <w:p w14:paraId="4862D79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9.2  取样</w:t>
      </w:r>
    </w:p>
    <w:p w14:paraId="3D65880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试验属于自检性质的，承包人可以单独取样。试验属于监理人抽检性质的，可由监理人取样，也可由承包人的试验人员在监理人的监督下取样。</w:t>
      </w:r>
    </w:p>
    <w:p w14:paraId="5BC74B5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9.3  材料、工程设备和工程的试验和检验</w:t>
      </w:r>
    </w:p>
    <w:p w14:paraId="358A49D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9.3.1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739489E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9.3.2  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20F0CCC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9.3.3  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1A5D530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9.4  现场工艺试验</w:t>
      </w:r>
    </w:p>
    <w:p w14:paraId="1378A37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承包人应按合同约定或监理人指示进行现场工艺试验。对大型的现场工艺试验，监理人认为必要时，承包人应根据监理人提出的工艺试验要求，编制工艺试验措施计划，报送监理人审查。</w:t>
      </w:r>
    </w:p>
    <w:p w14:paraId="5E6D993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10  变更</w:t>
      </w:r>
    </w:p>
    <w:p w14:paraId="5F25080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10.1  变更的范围</w:t>
      </w:r>
    </w:p>
    <w:p w14:paraId="5BF23292">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除专用合同条款另有约定外，合同履行过程中发生以下情形的，应按照本条约定进行变更：</w:t>
      </w:r>
    </w:p>
    <w:p w14:paraId="77A92B4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（1）增加或减少合同中任何工作，或追加额外的工作；</w:t>
      </w:r>
    </w:p>
    <w:p w14:paraId="3C5DB65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（2）取消合同中任何工作，但转由他人实施的工作除外；</w:t>
      </w:r>
    </w:p>
    <w:p w14:paraId="19C7DB33">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（3）改变合同中任何工作的质量标准或其他特性；</w:t>
      </w:r>
    </w:p>
    <w:p w14:paraId="142C2867">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（4）改变工程的基线、标高、位置和尺寸；</w:t>
      </w:r>
    </w:p>
    <w:p w14:paraId="751EB763">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（5）改变工程的时间安排或实施顺序。</w:t>
      </w:r>
    </w:p>
    <w:p w14:paraId="41B57DF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10.2  变更权</w:t>
      </w:r>
    </w:p>
    <w:p w14:paraId="504AE06B">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2205EC19">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涉及设计变更的，应由设计人提供变更后的图纸和说明。如变更超过原设计标准或批准的建设规模时，发包人应及时办理规划、设计变更等审批手续。</w:t>
      </w:r>
    </w:p>
    <w:p w14:paraId="62A1637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10.3  变更程序</w:t>
      </w:r>
    </w:p>
    <w:p w14:paraId="6905AA4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10.3.1  发包人提出变更</w:t>
      </w:r>
    </w:p>
    <w:p w14:paraId="65342539">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发包人提出变更的，应通过监理人向承包人发出变更指示，变更指示应说明计划变更的工程范围和变更的内容。</w:t>
      </w:r>
    </w:p>
    <w:p w14:paraId="6D6A19E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10.3.2  监理人提出变更建议</w:t>
      </w:r>
    </w:p>
    <w:p w14:paraId="21537759">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0AE5F9C7">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10.3.3  变更执行</w:t>
      </w:r>
    </w:p>
    <w:p w14:paraId="2722860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76CA324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10. 4  变更估价</w:t>
      </w:r>
    </w:p>
    <w:p w14:paraId="18895FB5">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10.4.1  变更估价原则</w:t>
      </w:r>
    </w:p>
    <w:p w14:paraId="10158BB9">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除专用合同条款另有约定外，变更估价按照本款约定处理：</w:t>
      </w:r>
    </w:p>
    <w:p w14:paraId="7E399D21">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（1）已标价工程量清单或预算书有相同项目的，按照相同项目单价认定；</w:t>
      </w:r>
    </w:p>
    <w:p w14:paraId="0A350D28">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（2）已标价工程量清单或预算书中无相同项目，但有类似项目的，参照类似项目的单价认定；</w:t>
      </w:r>
    </w:p>
    <w:p w14:paraId="0B737B1F">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58198586">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10.4.2  变更估价程序</w:t>
      </w:r>
    </w:p>
    <w:p w14:paraId="4D9BD1B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对期限另有约定外，承包人应在收到变更指示后14天内，向监理人提交变更估价申请，变更估价申请应根据第10.4.1款约定的估价原则，详细开列变更工作的价格组成及其依据，并附必要的施工方法说明和有关图纸。变更工作影响工期的，承包人应提出调整工期的具体细节。监理人认为有必要时，可要求承包人提交要求提前或延长工期的施工进度计划及相应施工措施等详细资料。监理人应在收到承包人提交的变更估价申请后7天内审查完毕并报送发包人，监理人对变更估价申请有异议，通知承包人修改后重新提交。发包人应在承包人提交变更估价申请后14天内审批完毕。</w:t>
      </w:r>
    </w:p>
    <w:p w14:paraId="3D1CB9B6">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因变更引起的价格调整应计入最近一期的进度款中支付。</w:t>
      </w:r>
    </w:p>
    <w:p w14:paraId="2D02921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10.5  承包人的合理化建议</w:t>
      </w:r>
    </w:p>
    <w:p w14:paraId="5DC10257">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承包人提出合理化建议的，应向监理人书面提交合理化建议说明，说明建议的内容和理由，以及实施该建议对合同价格和工期的影响。</w:t>
      </w:r>
    </w:p>
    <w:p w14:paraId="633BA52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6D5FE80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合理化建议降低了合同价格或者提高了工程经济效益的，发包人可对承包人给予奖励，奖励的方法和金额在专用合同条款中约定。</w:t>
      </w:r>
    </w:p>
    <w:p w14:paraId="40F4E5B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10.6  变更引起的工期调整</w:t>
      </w:r>
    </w:p>
    <w:p w14:paraId="4E60A926">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因变更引起工期变化的，合同当事人均可要求调整合同工期，由合同当事人按照第4.4款〔商定或确定〕并参考工程所在地的工期定额标准确定增减工期天数。</w:t>
      </w:r>
    </w:p>
    <w:p w14:paraId="19BB6CE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10.7  暂估价</w:t>
      </w:r>
    </w:p>
    <w:p w14:paraId="32E07925">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暂估价专业分包工程、服务、材料和工程设备的明细由合同当事人在专用合同条款中约定。</w:t>
      </w:r>
    </w:p>
    <w:p w14:paraId="710600C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10.7.1依法必须招标的暂估价项目</w:t>
      </w:r>
    </w:p>
    <w:p w14:paraId="18840AC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对于依法必须招标的暂估价项目，采取以下第1种方式确定。合同当事人也可以在专用合同条款中选择其他招标方式。</w:t>
      </w:r>
    </w:p>
    <w:p w14:paraId="6E214EF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第1种方式：对于依法必须招标的暂估价项目，由承包人招标，对该暂估价项目的确认和批准按照以下约定执行：</w:t>
      </w:r>
    </w:p>
    <w:p w14:paraId="32E69FEF">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7651572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承包人应当根据施工进度计划，提前14天将招标文件通过监理人报送发包人审批，发包人应当在收到承包人报送的相关文件后7天内完成审批或提出修改意见；发包人有权确定最高投标限价并按照法律规定参加评标；</w:t>
      </w:r>
    </w:p>
    <w:p w14:paraId="7F4376F5">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17E7136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0EEB424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10.7.2  不属于依法必须招标的暂估价项目</w:t>
      </w:r>
    </w:p>
    <w:p w14:paraId="549306A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除专用合同条款另有约定外，对于不属于依法必须招标的暂估价项目，采取以下第1种方式确定：</w:t>
      </w:r>
    </w:p>
    <w:p w14:paraId="3F5CE24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第1种方式：对于不属于依法必须招标的暂估价项目，按本项约定确认和批准：</w:t>
      </w:r>
    </w:p>
    <w:p w14:paraId="1635F8AF">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w:t>
      </w:r>
    </w:p>
    <w:p w14:paraId="0654BFDF">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（2）发包人认为承包人确定的供应商、分包人无法满足工程质量或合同要求的，发包人可以要求承包人重新确定暂估价项目的供应商、分包人；</w:t>
      </w:r>
    </w:p>
    <w:p w14:paraId="3BBA5BB0">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（3）承包人应当在签订暂估价合同后7天内，将暂估价合同副本报送发包人留存。</w:t>
      </w:r>
    </w:p>
    <w:p w14:paraId="22BEA5B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第2种方式：承包人按照第10.7.1项〔依法必须招标的暂估价项目〕约定的第1种方式确定暂估价项目。</w:t>
      </w:r>
    </w:p>
    <w:p w14:paraId="5439BEB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第3种方式：承包人直接实施的暂估价项目</w:t>
      </w:r>
    </w:p>
    <w:p w14:paraId="546CF0E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承包人具备实施暂估价项目的资格和条件的，经发包人和承包人协商一致后，可由承包人自行实施暂估价项目，合同当事人可以在专用合同条款约定具体事项。</w:t>
      </w:r>
    </w:p>
    <w:p w14:paraId="1A4A307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2F48523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10.8  暂列金额</w:t>
      </w:r>
    </w:p>
    <w:p w14:paraId="4CC64C39">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暂列金额应按照发包人的要求使用，发包人的要求应通过监理人发出。合同当事人可以在专用合同条款中协商确定有关事项。</w:t>
      </w:r>
    </w:p>
    <w:p w14:paraId="4E329A9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10.9  计日工</w:t>
      </w:r>
    </w:p>
    <w:p w14:paraId="49C1AAF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17E06ED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采用计日工计价的任何一项工作，承包人应在该项工作实施过程中，每天提交以下报表和有关凭证报送监理人审查：</w:t>
      </w:r>
    </w:p>
    <w:p w14:paraId="77716DB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（1）工作名称、内容和数量；</w:t>
      </w:r>
    </w:p>
    <w:p w14:paraId="066A908D">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（2）投入该工作的所有人员的姓名、专业、工种、级别和耗用工时；</w:t>
      </w:r>
    </w:p>
    <w:p w14:paraId="4F00F1DF">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（3）投入该工作的材料类别和数量；</w:t>
      </w:r>
    </w:p>
    <w:p w14:paraId="1A34983B">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（4）投入该工作的施工设备型号、台数和耗用台时；</w:t>
      </w:r>
    </w:p>
    <w:p w14:paraId="59DB0CF0">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（5）其他有关资料和凭证。</w:t>
      </w:r>
    </w:p>
    <w:p w14:paraId="26661E98">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计日工由承包人汇总后，列入最近一期进度付款申请单，由监理人审查并经发包人批准后列入进度付款。</w:t>
      </w:r>
    </w:p>
    <w:p w14:paraId="0077731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11  价格调整</w:t>
      </w:r>
    </w:p>
    <w:p w14:paraId="1518EEC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11.1  市场价格波动引起的调整</w:t>
      </w:r>
    </w:p>
    <w:p w14:paraId="7A69167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除专用合同条款另有约定外，市场价格波动超过合同当事人约定的范围，合同价格应当调整。合同当事人可以在专用合同条款中约定选择以下一种方式对合同价格进行调整：</w:t>
      </w:r>
    </w:p>
    <w:p w14:paraId="00D8246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第1种方式：采用价格指数进行价格调整。</w:t>
      </w:r>
    </w:p>
    <w:p w14:paraId="641619F3">
      <w:pPr>
        <w:tabs>
          <w:tab w:val="left" w:pos="0"/>
          <w:tab w:val="left" w:pos="360"/>
          <w:tab w:val="left" w:pos="54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（1）价格调整公式</w:t>
      </w:r>
    </w:p>
    <w:p w14:paraId="7622ACFE">
      <w:pPr>
        <w:tabs>
          <w:tab w:val="left" w:pos="0"/>
          <w:tab w:val="left" w:pos="360"/>
          <w:tab w:val="left" w:pos="54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因人工、材料和设备等价格波动影响合同价格时，根据专用合同条款中约定的数据，按以下公式计算差额并调整合同价格：</w:t>
      </w:r>
    </w:p>
    <w:p w14:paraId="2DF43279">
      <w:pPr>
        <w:tabs>
          <w:tab w:val="left" w:pos="0"/>
          <w:tab w:val="left" w:pos="360"/>
          <w:tab w:val="left" w:pos="540"/>
        </w:tabs>
        <w:spacing w:line="360" w:lineRule="auto"/>
        <w:ind w:firstLine="480" w:firstLineChars="200"/>
        <w:rPr>
          <w:rFonts w:ascii="宋体" w:hAnsi="宋体" w:cs="宋体"/>
          <w:color w:val="auto"/>
          <w:sz w:val="24"/>
          <w:szCs w:val="24"/>
          <w:highlight w:val="none"/>
        </w:rPr>
      </w:pPr>
      <w:r>
        <w:rPr>
          <w:rFonts w:ascii="宋体" w:hAnsi="宋体" w:cs="宋体"/>
          <w:color w:val="auto"/>
          <w:position w:val="-30"/>
          <w:sz w:val="24"/>
          <w:szCs w:val="24"/>
          <w:highlight w:val="none"/>
        </w:rPr>
        <w:drawing>
          <wp:inline distT="0" distB="0" distL="114300" distR="114300">
            <wp:extent cx="4521200" cy="515620"/>
            <wp:effectExtent l="0" t="0" r="12700" b="177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a:stretch>
                      <a:fillRect/>
                    </a:stretch>
                  </pic:blipFill>
                  <pic:spPr>
                    <a:xfrm>
                      <a:off x="0" y="0"/>
                      <a:ext cx="4521200" cy="515620"/>
                    </a:xfrm>
                    <a:prstGeom prst="rect">
                      <a:avLst/>
                    </a:prstGeom>
                    <a:noFill/>
                    <a:ln>
                      <a:noFill/>
                    </a:ln>
                  </pic:spPr>
                </pic:pic>
              </a:graphicData>
            </a:graphic>
          </wp:inline>
        </w:drawing>
      </w:r>
    </w:p>
    <w:p w14:paraId="28496EE9">
      <w:pPr>
        <w:tabs>
          <w:tab w:val="left" w:pos="0"/>
          <w:tab w:val="left" w:pos="360"/>
          <w:tab w:val="left" w:pos="540"/>
        </w:tabs>
        <w:spacing w:line="360" w:lineRule="auto"/>
        <w:ind w:firstLine="640"/>
        <w:rPr>
          <w:rFonts w:ascii="宋体" w:hAnsi="宋体" w:cs="宋体"/>
          <w:color w:val="auto"/>
          <w:sz w:val="24"/>
          <w:szCs w:val="24"/>
          <w:highlight w:val="none"/>
        </w:rPr>
      </w:pPr>
      <w:r>
        <w:rPr>
          <w:rFonts w:hint="eastAsia" w:ascii="宋体" w:hAnsi="宋体" w:cs="宋体"/>
          <w:color w:val="auto"/>
          <w:sz w:val="24"/>
          <w:szCs w:val="24"/>
          <w:highlight w:val="none"/>
        </w:rPr>
        <w:t>公式中：ΔP——需调整的价格差额；</w:t>
      </w:r>
    </w:p>
    <w:p w14:paraId="40EB2D2C">
      <w:pPr>
        <w:tabs>
          <w:tab w:val="left" w:pos="0"/>
          <w:tab w:val="left" w:pos="360"/>
          <w:tab w:val="left" w:pos="540"/>
        </w:tabs>
        <w:spacing w:line="360" w:lineRule="auto"/>
        <w:ind w:firstLine="1440" w:firstLineChars="600"/>
        <w:rPr>
          <w:rFonts w:ascii="宋体" w:hAnsi="宋体" w:cs="宋体"/>
          <w:color w:val="auto"/>
          <w:sz w:val="24"/>
          <w:szCs w:val="24"/>
          <w:highlight w:val="none"/>
        </w:rPr>
      </w:pPr>
      <w:r>
        <w:rPr>
          <w:rFonts w:ascii="宋体" w:hAnsi="宋体" w:cs="宋体"/>
          <w:color w:val="auto"/>
          <w:position w:val="-6"/>
          <w:sz w:val="24"/>
          <w:szCs w:val="24"/>
          <w:highlight w:val="none"/>
        </w:rPr>
        <w:drawing>
          <wp:inline distT="0" distB="0" distL="114300" distR="114300">
            <wp:extent cx="220345" cy="220345"/>
            <wp:effectExtent l="0" t="0" r="0"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4"/>
                    <a:stretch>
                      <a:fillRect/>
                    </a:stretch>
                  </pic:blipFill>
                  <pic:spPr>
                    <a:xfrm>
                      <a:off x="0" y="0"/>
                      <a:ext cx="220345" cy="220345"/>
                    </a:xfrm>
                    <a:prstGeom prst="rect">
                      <a:avLst/>
                    </a:prstGeom>
                    <a:noFill/>
                    <a:ln>
                      <a:noFill/>
                    </a:ln>
                  </pic:spPr>
                </pic:pic>
              </a:graphicData>
            </a:graphic>
          </wp:inline>
        </w:drawing>
      </w:r>
      <w:r>
        <w:rPr>
          <w:rFonts w:hint="eastAsia" w:ascii="宋体" w:hAnsi="宋体" w:cs="宋体"/>
          <w:color w:val="auto"/>
          <w:sz w:val="24"/>
          <w:szCs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7E67CA5D">
      <w:pPr>
        <w:tabs>
          <w:tab w:val="left" w:pos="0"/>
          <w:tab w:val="left" w:pos="360"/>
          <w:tab w:val="left" w:pos="54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A——定值权重（即不调部分的权重）；</w:t>
      </w:r>
    </w:p>
    <w:p w14:paraId="1C190473">
      <w:pPr>
        <w:tabs>
          <w:tab w:val="left" w:pos="0"/>
          <w:tab w:val="left" w:pos="360"/>
          <w:tab w:val="left" w:pos="540"/>
        </w:tabs>
        <w:spacing w:line="360" w:lineRule="auto"/>
        <w:ind w:firstLine="480" w:firstLineChars="200"/>
        <w:rPr>
          <w:rFonts w:ascii="宋体" w:hAnsi="宋体" w:cs="宋体"/>
          <w:color w:val="auto"/>
          <w:sz w:val="24"/>
          <w:szCs w:val="24"/>
          <w:highlight w:val="none"/>
        </w:rPr>
      </w:pPr>
      <w:r>
        <w:rPr>
          <w:rFonts w:ascii="宋体" w:hAnsi="宋体" w:cs="宋体"/>
          <w:color w:val="auto"/>
          <w:position w:val="-10"/>
          <w:sz w:val="24"/>
          <w:szCs w:val="24"/>
          <w:highlight w:val="none"/>
        </w:rPr>
        <w:drawing>
          <wp:inline distT="0" distB="0" distL="114300" distR="114300">
            <wp:extent cx="1253490" cy="245745"/>
            <wp:effectExtent l="0" t="0" r="3810"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a:stretch>
                      <a:fillRect/>
                    </a:stretch>
                  </pic:blipFill>
                  <pic:spPr>
                    <a:xfrm>
                      <a:off x="0" y="0"/>
                      <a:ext cx="1253490" cy="245745"/>
                    </a:xfrm>
                    <a:prstGeom prst="rect">
                      <a:avLst/>
                    </a:prstGeom>
                    <a:noFill/>
                    <a:ln>
                      <a:noFill/>
                    </a:ln>
                  </pic:spPr>
                </pic:pic>
              </a:graphicData>
            </a:graphic>
          </wp:inline>
        </w:drawing>
      </w:r>
      <w:r>
        <w:rPr>
          <w:rFonts w:hint="eastAsia" w:ascii="宋体" w:hAnsi="宋体" w:cs="宋体"/>
          <w:color w:val="auto"/>
          <w:sz w:val="24"/>
          <w:szCs w:val="24"/>
          <w:highlight w:val="none"/>
        </w:rPr>
        <w:t>——各可调因子的变值权重（即可调部分的权重），为各可调因子在签约合同价中所占的比例；</w:t>
      </w:r>
    </w:p>
    <w:p w14:paraId="400CEF42">
      <w:pPr>
        <w:tabs>
          <w:tab w:val="left" w:pos="0"/>
          <w:tab w:val="left" w:pos="360"/>
          <w:tab w:val="left" w:pos="540"/>
        </w:tabs>
        <w:spacing w:line="360" w:lineRule="auto"/>
        <w:ind w:firstLine="480" w:firstLineChars="200"/>
        <w:rPr>
          <w:rFonts w:ascii="宋体" w:hAnsi="宋体" w:cs="宋体"/>
          <w:color w:val="auto"/>
          <w:sz w:val="24"/>
          <w:szCs w:val="24"/>
          <w:highlight w:val="none"/>
        </w:rPr>
      </w:pPr>
      <w:r>
        <w:rPr>
          <w:rFonts w:ascii="宋体" w:hAnsi="宋体" w:cs="宋体"/>
          <w:color w:val="auto"/>
          <w:position w:val="-10"/>
          <w:sz w:val="24"/>
          <w:szCs w:val="24"/>
          <w:highlight w:val="none"/>
        </w:rPr>
        <w:drawing>
          <wp:inline distT="0" distB="0" distL="114300" distR="114300">
            <wp:extent cx="1286510" cy="245745"/>
            <wp:effectExtent l="0" t="0" r="8890" b="1905"/>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16"/>
                    <a:stretch>
                      <a:fillRect/>
                    </a:stretch>
                  </pic:blipFill>
                  <pic:spPr>
                    <a:xfrm>
                      <a:off x="0" y="0"/>
                      <a:ext cx="1286510" cy="245745"/>
                    </a:xfrm>
                    <a:prstGeom prst="rect">
                      <a:avLst/>
                    </a:prstGeom>
                    <a:noFill/>
                    <a:ln>
                      <a:noFill/>
                    </a:ln>
                  </pic:spPr>
                </pic:pic>
              </a:graphicData>
            </a:graphic>
          </wp:inline>
        </w:drawing>
      </w:r>
      <w:r>
        <w:rPr>
          <w:rFonts w:hint="eastAsia" w:ascii="宋体" w:hAnsi="宋体" w:cs="宋体"/>
          <w:color w:val="auto"/>
          <w:sz w:val="24"/>
          <w:szCs w:val="24"/>
          <w:highlight w:val="none"/>
        </w:rPr>
        <w:t>——各可调因子的现行价格指数，指约定的付款证书相关周期最后一天的前42天的各可调因子的价格指数；</w:t>
      </w:r>
    </w:p>
    <w:p w14:paraId="4428B88B">
      <w:pPr>
        <w:tabs>
          <w:tab w:val="left" w:pos="0"/>
          <w:tab w:val="left" w:pos="360"/>
          <w:tab w:val="left" w:pos="540"/>
        </w:tabs>
        <w:spacing w:line="360" w:lineRule="auto"/>
        <w:ind w:firstLine="480" w:firstLineChars="200"/>
        <w:rPr>
          <w:rFonts w:ascii="宋体" w:hAnsi="宋体" w:cs="宋体"/>
          <w:color w:val="auto"/>
          <w:sz w:val="24"/>
          <w:szCs w:val="24"/>
          <w:highlight w:val="none"/>
        </w:rPr>
      </w:pPr>
      <w:r>
        <w:rPr>
          <w:rFonts w:ascii="宋体" w:hAnsi="宋体" w:cs="宋体"/>
          <w:color w:val="auto"/>
          <w:position w:val="-10"/>
          <w:sz w:val="24"/>
          <w:szCs w:val="24"/>
          <w:highlight w:val="none"/>
        </w:rPr>
        <w:drawing>
          <wp:inline distT="0" distB="0" distL="114300" distR="114300">
            <wp:extent cx="1320800" cy="245745"/>
            <wp:effectExtent l="0" t="0" r="12700" b="190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7"/>
                    <a:stretch>
                      <a:fillRect/>
                    </a:stretch>
                  </pic:blipFill>
                  <pic:spPr>
                    <a:xfrm>
                      <a:off x="0" y="0"/>
                      <a:ext cx="1320800" cy="245745"/>
                    </a:xfrm>
                    <a:prstGeom prst="rect">
                      <a:avLst/>
                    </a:prstGeom>
                    <a:noFill/>
                    <a:ln>
                      <a:noFill/>
                    </a:ln>
                  </pic:spPr>
                </pic:pic>
              </a:graphicData>
            </a:graphic>
          </wp:inline>
        </w:drawing>
      </w:r>
      <w:r>
        <w:rPr>
          <w:rFonts w:hint="eastAsia" w:ascii="宋体" w:hAnsi="宋体" w:cs="宋体"/>
          <w:color w:val="auto"/>
          <w:sz w:val="24"/>
          <w:szCs w:val="24"/>
          <w:highlight w:val="none"/>
        </w:rPr>
        <w:t>——各可调因子的基本价格指数，指基准日期的各可调因子的价格指数。</w:t>
      </w:r>
    </w:p>
    <w:p w14:paraId="06D58D12">
      <w:pPr>
        <w:tabs>
          <w:tab w:val="left" w:pos="0"/>
          <w:tab w:val="left" w:pos="360"/>
          <w:tab w:val="left" w:pos="54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3184C1E8">
      <w:pPr>
        <w:tabs>
          <w:tab w:val="left" w:pos="0"/>
          <w:tab w:val="left" w:pos="360"/>
          <w:tab w:val="left" w:pos="54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（2）暂时确定调整差额</w:t>
      </w:r>
    </w:p>
    <w:p w14:paraId="5C0E5E58">
      <w:pPr>
        <w:tabs>
          <w:tab w:val="left" w:pos="0"/>
          <w:tab w:val="left" w:pos="360"/>
          <w:tab w:val="left" w:pos="54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在计算调整差额时无现行价格指数的，合同当事人同意暂用前次价格指数计算。实际价格指数有调整的，合同当事人进行相应调整。</w:t>
      </w:r>
    </w:p>
    <w:p w14:paraId="4289E8E4">
      <w:pPr>
        <w:tabs>
          <w:tab w:val="left" w:pos="0"/>
          <w:tab w:val="left" w:pos="360"/>
          <w:tab w:val="left" w:pos="54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（3）权重的调整</w:t>
      </w:r>
    </w:p>
    <w:p w14:paraId="30DE4207">
      <w:pPr>
        <w:tabs>
          <w:tab w:val="left" w:pos="0"/>
          <w:tab w:val="left" w:pos="360"/>
          <w:tab w:val="left" w:pos="54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因变更导致合同约定的权重不合理时，按照第4.4款〔商定或确定〕执行。</w:t>
      </w:r>
    </w:p>
    <w:p w14:paraId="7F605F5B">
      <w:pPr>
        <w:tabs>
          <w:tab w:val="left" w:pos="0"/>
          <w:tab w:val="left" w:pos="360"/>
          <w:tab w:val="left" w:pos="54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（4）因承包人原因工期延误后的价格调整</w:t>
      </w:r>
    </w:p>
    <w:p w14:paraId="3D7E9722">
      <w:pPr>
        <w:tabs>
          <w:tab w:val="left" w:pos="0"/>
          <w:tab w:val="left" w:pos="360"/>
          <w:tab w:val="left" w:pos="54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3BA4733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第2种方式：采用造价信息进行价格调整。</w:t>
      </w:r>
    </w:p>
    <w:p w14:paraId="182F230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37FA809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22BE8F9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（2）材料、工程设备价格变化的价款调整按照发包人提供的基准价格，按以下风险范围规定执行：</w:t>
      </w:r>
    </w:p>
    <w:p w14:paraId="7B372B6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66D92469">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38FD682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③承包人在已标价工程量清单或预算书中载明材料单价等于基准价格的：除专用合同条款另有约定外，合同履行期间材料单价涨跌幅以基准价格为基础超过±5%时，其超过部分据实调整。</w:t>
      </w:r>
    </w:p>
    <w:p w14:paraId="49075B1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④承包人应在采购材料前将采购数量和新的材料单价报发包人核对，发包人确认用于工程时，发包人应确认采购材料的数量和单价。发包人在收到承包人报送的确认资料后5天内不予答复的不视为认可。未经发包人事先核对，承包人自行采购材料的，发包人有权不予调整合同价格。发包人同意的，可以调整合同价格。</w:t>
      </w:r>
    </w:p>
    <w:p w14:paraId="08992F8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03BE68B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（3）施工机械台班单价或施工机械使用费发生变化超过省级或行业建设主管部门或其授权的工程造价管理机构规定的范围时，按规定调整合同价格。</w:t>
      </w:r>
    </w:p>
    <w:p w14:paraId="4BB679A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第3种方式：专用合同条款约定的其他方式。</w:t>
      </w:r>
    </w:p>
    <w:p w14:paraId="72639BD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11.2  法律变化引起的调整</w:t>
      </w:r>
    </w:p>
    <w:p w14:paraId="38B0C53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794BD7D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因法律变化引起的合同价格和工期调整，合同当事人无法达成一致的，由总监理工程师按第4.4款〔商定或确定〕的约定处理。</w:t>
      </w:r>
    </w:p>
    <w:p w14:paraId="1DFD7D5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因承包人原因造成工期延误，在工期延误期间出现法律变化的，由此增加的费用和（或）延误的工期由承包人承担。</w:t>
      </w:r>
    </w:p>
    <w:p w14:paraId="195EFF9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12  合同价格、计量与支付</w:t>
      </w:r>
    </w:p>
    <w:p w14:paraId="0987D58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12.1  合同价格形式</w:t>
      </w:r>
    </w:p>
    <w:p w14:paraId="1FFA2AA9">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发包人和承包人应在合同协议书中选择下列一种合同价格形式：</w:t>
      </w:r>
    </w:p>
    <w:p w14:paraId="4D35D850">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  单价合同</w:t>
      </w:r>
    </w:p>
    <w:p w14:paraId="267B792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0C650846">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  总价合同</w:t>
      </w:r>
    </w:p>
    <w:p w14:paraId="22890ABB">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0C5EAEA0">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  其它价格形式</w:t>
      </w:r>
    </w:p>
    <w:p w14:paraId="43512FC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合同当事人可在专用合同条款中约定其他合同价格形式。</w:t>
      </w:r>
    </w:p>
    <w:p w14:paraId="4A5391A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12.2  预付款</w:t>
      </w:r>
    </w:p>
    <w:p w14:paraId="585DD9E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12.2.1  预付款的支付</w:t>
      </w:r>
    </w:p>
    <w:p w14:paraId="413CB0F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预付款的支付按照专用合同条款约定执行，但最迟应在开工通知载明的开工日期7天前支付。预付款应当用于材料、工程设备、施工设备的采购及修建临时工程、组织施工队伍进场等。预付款必须专用于合同工程。</w:t>
      </w:r>
    </w:p>
    <w:p w14:paraId="783CA52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除专用合同条款另有约定外，预付款在进度付款中同比例扣回。在颁发工程接收证书前，提前解除合同的，尚未扣完的预付款应与合同价款一并结算。</w:t>
      </w:r>
    </w:p>
    <w:p w14:paraId="0627624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发包人逾期支付预付款超过7天的，承包人有权向发包人发出要求预付的催告通知，发包人收到通知后7天内仍未支付的，承包人有权暂停施工，并按第16.1.1项〔发包人违约的情形〕执行。</w:t>
      </w:r>
    </w:p>
    <w:p w14:paraId="26C960E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12.2.2  预付款担保</w:t>
      </w:r>
    </w:p>
    <w:p w14:paraId="450C9F0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6FACF3F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发包人在工程款中逐期扣回预付款后，预付款担保额度应相应减少，但剩余的预付款担保金额不得低于未被扣回的预付款金额。</w:t>
      </w:r>
    </w:p>
    <w:p w14:paraId="15F8D1E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12.3  计量</w:t>
      </w:r>
    </w:p>
    <w:p w14:paraId="5CCB0B3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12.3.1  计量原则</w:t>
      </w:r>
    </w:p>
    <w:p w14:paraId="7E5D4D6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工程量计量按照合同约定的工程量计算规则、图纸及变更指示等进行计量。工程量计算规则应以相关的国家标准、行业标准等为依据，由合同当事人在专用合同条款中约定。</w:t>
      </w:r>
    </w:p>
    <w:p w14:paraId="3505F1C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12.3.2  计量周期</w:t>
      </w:r>
    </w:p>
    <w:p w14:paraId="41D825E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除专用合同条款另有约定外，工程量的计量按月进行。</w:t>
      </w:r>
    </w:p>
    <w:p w14:paraId="056AD5E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12.3.3  单价合同的计量</w:t>
      </w:r>
    </w:p>
    <w:p w14:paraId="64876DE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除专用合同条款另有约定外，单价合同的计量按照本项约定执行：</w:t>
      </w:r>
    </w:p>
    <w:p w14:paraId="31BC4A44">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（1）承包人应于每月25日向监理人报送上月20日至当月19日已完成的工程量报告，并附具进度付款申请单、已完成工程量报表和有关资料。</w:t>
      </w:r>
    </w:p>
    <w:p w14:paraId="2727B69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5E6432F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14:paraId="5412889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12.3.4  总价合同的计量</w:t>
      </w:r>
    </w:p>
    <w:p w14:paraId="6CEA7CB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除专用合同条款另有约定外，按月计量支付的总价合同，按照本项约定执行：</w:t>
      </w:r>
    </w:p>
    <w:p w14:paraId="1308E76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（1）承包人应于每月25日向监理人报送上月20日至当月19日已完成的工程量报告，并附具进度付款申请单、已完成工程量报表和有关资料。</w:t>
      </w:r>
    </w:p>
    <w:p w14:paraId="182B1A4F">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1B3A2AD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（3）监理人未在收到承包人提交的工程量报表后的7天内完成复核的，承包人提交的工程量报告中的工程量视为承包人实际完成的工程量。</w:t>
      </w:r>
    </w:p>
    <w:p w14:paraId="6A4604A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12.3.5  总价合同采用支付分解表计量支付的，可以按照第12.3.4项〔总价合同的计量〕约定进行计量，但合同价款按照支付分解表进行支付。</w:t>
      </w:r>
    </w:p>
    <w:p w14:paraId="0B6A5D5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12.3.6  其他价格形式合同的计量</w:t>
      </w:r>
    </w:p>
    <w:p w14:paraId="0D1F820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合同当事人可在专用合同条款中约定其他价格形式合同的计量方式和程序。</w:t>
      </w:r>
    </w:p>
    <w:p w14:paraId="776EBF9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12.4  工程进度款支付</w:t>
      </w:r>
    </w:p>
    <w:p w14:paraId="776A5D5E">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12.4.1  付款周期</w:t>
      </w:r>
    </w:p>
    <w:p w14:paraId="1E68C25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除专用合同条款另有约定外，付款周期应按照第12.3.2项〔计量周期〕的约定与计量周期保持一致。</w:t>
      </w:r>
    </w:p>
    <w:p w14:paraId="53AC9628">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12.4.2  进度付款申请单的编制</w:t>
      </w:r>
    </w:p>
    <w:p w14:paraId="24505E1B">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除专用合同条款另有约定外，进度付款申请单应包括下列内容：</w:t>
      </w:r>
    </w:p>
    <w:p w14:paraId="31171F4E">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（1）截至本次付款周期已完成工作对应的金额；</w:t>
      </w:r>
    </w:p>
    <w:p w14:paraId="17B89CFD">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（2）根据第10条〔变更〕应增加和扣减的变更金额；</w:t>
      </w:r>
    </w:p>
    <w:p w14:paraId="6D887AFB">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（3）根据第12.2款〔预付款〕约定应支付的预付款和扣减的返还预付款；</w:t>
      </w:r>
    </w:p>
    <w:p w14:paraId="662871C4">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（4）根据第15.3款〔质量保证金〕约定应扣减的质量保证金；</w:t>
      </w:r>
    </w:p>
    <w:p w14:paraId="6F8C6568">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（5）根据第19条〔索赔〕应增加和扣减的索赔金额；</w:t>
      </w:r>
    </w:p>
    <w:p w14:paraId="3EA62346">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（6）对已签发的进度款支付证书中出现错误的修正，应在本次进度付款中支付或扣除的金额；</w:t>
      </w:r>
    </w:p>
    <w:p w14:paraId="6C7145F9">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（7）根据合同约定应增加和扣减的其他金额。</w:t>
      </w:r>
    </w:p>
    <w:p w14:paraId="7814039F">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12.4.3  进度付款申请单的提交</w:t>
      </w:r>
    </w:p>
    <w:p w14:paraId="2ACB0F92">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（1）单价合同进度付款申请单的提交</w:t>
      </w:r>
    </w:p>
    <w:p w14:paraId="3522DE4B">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09763548">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（2）总价合同进度付款申请单的提交</w:t>
      </w:r>
    </w:p>
    <w:p w14:paraId="65A624D4">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总价合同按月计量支付的，承包人按照第12.3.4项〔总价合同的计量〕约定的时间按月向监理人提交进度付款申请单，并附上已完成工程量报表和有关资料。</w:t>
      </w:r>
    </w:p>
    <w:p w14:paraId="2C6B92D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总价合同按支付分解表支付的，承包人应按照第12.4.6项〔支付分解表〕及第12.4.2项〔进度付款申请单的编制〕的约定向监理人提交进度付款申请单。</w:t>
      </w:r>
    </w:p>
    <w:p w14:paraId="6825C372">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（3）其他价格形式合同的进度付款申请单的提交</w:t>
      </w:r>
    </w:p>
    <w:p w14:paraId="6EA87577">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合同当事人可在专用合同条款中约定其他价格形式合同的进度付款申请单的编制和提交程序。</w:t>
      </w:r>
    </w:p>
    <w:p w14:paraId="1397C1B4">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12.4.4  进度款审核和支付</w:t>
      </w:r>
    </w:p>
    <w:p w14:paraId="265B6FBA">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（1）除专用合同条款另有约定外，监理人应在收到承包人进度付款申请单以及相关资料后7天内完成审查并报送发包人，发包人应在收到后7天内完成审批并签发进度款支付证书。</w:t>
      </w:r>
    </w:p>
    <w:p w14:paraId="28ED2CB4">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21CBABA6">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0E38C34B">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（3）发包人签发进度款支付证书或临时进度款支付证书，不表明发包人已同意、批准或接受了承包人完成的相应部分的工作。</w:t>
      </w:r>
    </w:p>
    <w:p w14:paraId="2D95A189">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12.4.5  进度付款的修正</w:t>
      </w:r>
    </w:p>
    <w:p w14:paraId="4693350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在对已签发的进度款支付证书进行阶段汇总和复核中发现错误、遗漏或重复的，发包人和承包人均有权提出修正申请。经发包人和承包人同意的修正，应在下期进度付款中支付或扣除。</w:t>
      </w:r>
    </w:p>
    <w:p w14:paraId="05F7CE5E">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12.4.6  支付分解表</w:t>
      </w:r>
    </w:p>
    <w:p w14:paraId="619C3E0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1、支付分解表的编制要求</w:t>
      </w:r>
    </w:p>
    <w:p w14:paraId="5B208CA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（1）支付分解表中所列的每期付款金额，应为第12.4.2项〔进度付款申请单的编制〕第（1）目的估算金额；</w:t>
      </w:r>
    </w:p>
    <w:p w14:paraId="2EFC108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（2）实际进度与施工进度计划不一致的，合同当事人可按照第4.4款〔商定或确定〕修改支付分解表；</w:t>
      </w:r>
    </w:p>
    <w:p w14:paraId="0030EEF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（3）不采用支付分解表的，承包人应向发包人和监理人提交按季度编制的支付估算分解表，用于支付参考。</w:t>
      </w:r>
    </w:p>
    <w:p w14:paraId="3679E754">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2、总价合同支付分解表的编制与审批</w:t>
      </w:r>
    </w:p>
    <w:p w14:paraId="0A40BC8E">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0309582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（2）监理人应在收到支付分解表后7天内完成审核并报送发包人。发包人应在收到经监理人审核的支付分解表后7天内完成审批，经发包人批准的支付分解表为有约束力的支付分解表。</w:t>
      </w:r>
    </w:p>
    <w:p w14:paraId="1FF6FEA0">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（3）发包人逾期未完成支付分解表审批的，也未及时要求承包人进行修正和提供补充资料的，则承包人提交的支付分解表视为已经获得发包人批准。</w:t>
      </w:r>
    </w:p>
    <w:p w14:paraId="792BAAD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3、单价合同的总价项目支付分解表的编制与审批</w:t>
      </w:r>
    </w:p>
    <w:p w14:paraId="117C82B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14FA89E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12.5  支付账户</w:t>
      </w:r>
    </w:p>
    <w:p w14:paraId="3CF244E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发包人应将合同价款支付至合同协议书中约定的承包人账户。</w:t>
      </w:r>
    </w:p>
    <w:p w14:paraId="4927A5D6">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13  验收和工程试车</w:t>
      </w:r>
    </w:p>
    <w:p w14:paraId="7A44FA8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13.1  分部分项工程验收</w:t>
      </w:r>
    </w:p>
    <w:p w14:paraId="7FAC551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13.1.1  分部分项工程质量应符合国家有关工程施工验收规范、标准及合同约定，承包人应按照施工组织设计的要求完成分部分项工程施工。</w:t>
      </w:r>
    </w:p>
    <w:p w14:paraId="1654749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5C3440E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分部分项工程的验收资料应当作为竣工资料的组成部分。</w:t>
      </w:r>
    </w:p>
    <w:p w14:paraId="0ED4599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13.2  竣工验收</w:t>
      </w:r>
    </w:p>
    <w:p w14:paraId="5095B0C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13.2.1  竣工验收条件</w:t>
      </w:r>
    </w:p>
    <w:p w14:paraId="1CA7C79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工程具备以下条件的，承包人可以申请竣工验收：</w:t>
      </w:r>
    </w:p>
    <w:p w14:paraId="41370A9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（1）除发包人同意的甩项工作和缺陷修补工作外，合同范围内的全部工程以及有关工作，包括合同要求的试验、试运行以及检验均已完成，并符合合同要求；</w:t>
      </w:r>
    </w:p>
    <w:p w14:paraId="2E58524E">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（2）已按合同约定编制了甩项工作和缺陷修补工作清单以及相应的施工计划；</w:t>
      </w:r>
    </w:p>
    <w:p w14:paraId="34FDD314">
      <w:pPr>
        <w:spacing w:line="360" w:lineRule="auto"/>
        <w:ind w:firstLine="465"/>
        <w:rPr>
          <w:rFonts w:ascii="宋体" w:hAnsi="宋体" w:cs="宋体"/>
          <w:color w:val="auto"/>
          <w:sz w:val="24"/>
          <w:szCs w:val="24"/>
          <w:highlight w:val="none"/>
        </w:rPr>
      </w:pPr>
      <w:r>
        <w:rPr>
          <w:rFonts w:hint="eastAsia" w:ascii="宋体" w:hAnsi="宋体" w:cs="宋体"/>
          <w:color w:val="auto"/>
          <w:sz w:val="24"/>
          <w:szCs w:val="24"/>
          <w:highlight w:val="none"/>
        </w:rPr>
        <w:t>（3）已按合同约定的内容和份数备齐竣工资料；</w:t>
      </w:r>
    </w:p>
    <w:p w14:paraId="2978D5F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（4）合同约定在竣工验收前应完成的其他工作；</w:t>
      </w:r>
    </w:p>
    <w:p w14:paraId="72686B6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（5）合同约定要求提交的竣工验收资料清单。</w:t>
      </w:r>
    </w:p>
    <w:p w14:paraId="475955E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13.2.2  竣工验收程序</w:t>
      </w:r>
    </w:p>
    <w:p w14:paraId="35327F5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除专用合同条款另有约定外，承包人申请竣工验收的，应当按照以下程序进行：</w:t>
      </w:r>
    </w:p>
    <w:p w14:paraId="01D36D6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直至监理人同意为止。</w:t>
      </w:r>
    </w:p>
    <w:p w14:paraId="7776912E">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（2）监理人审查后认为已具备竣工验收条件的，应将竣工验收申请报告提交发包人，发包人应在收到经监理人审核的竣工验收申请报告后28天内审核完毕并组织监理人、承包人、设计人等相关单位完成竣工验收。</w:t>
      </w:r>
    </w:p>
    <w:p w14:paraId="71A44155">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竣工验收合格的，发包人应在验收合格后14天内向承包人签发工程接收证书。发包人验收后同意接收工程但提出整修和完善要求的，承包人应限期修好，发包人有权缓发工程接收证书。整修和完善工作完成后，监理人复查达到要求的，经发包人同意后，再向承包人出具工程接收证书。</w:t>
      </w:r>
    </w:p>
    <w:p w14:paraId="30C8254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6D78E08E">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02F548B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2316399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13.2.3  竣工日期</w:t>
      </w:r>
    </w:p>
    <w:p w14:paraId="179D571F">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工程经竣工验收合格的，以承包人提交竣工验收申请报告之日为实际竣工日期，并在工程接收证书中载明；因发包人原因，未在监理人收到承包人提交的竣工验收申请报告42天内完成验收并签发工程接收证书的，以提交竣工验收申请报告的日期为实际竣工日期；工程未经竣工验收，发包人擅自使用的，以转移占有工程之日为实际竣工日期。</w:t>
      </w:r>
    </w:p>
    <w:p w14:paraId="1635B26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13.2.4  拒绝接收全部或部分工程</w:t>
      </w:r>
    </w:p>
    <w:p w14:paraId="01A847DF">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021997A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13.2.5  移交、接收全部与部分工程</w:t>
      </w:r>
    </w:p>
    <w:p w14:paraId="6733B500">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除专用合同条款另有约定外，合同当事人应当在颁发工程接收证书后7天内完成工程的移交。</w:t>
      </w:r>
    </w:p>
    <w:p w14:paraId="0B7F884F">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5D6AAEE0">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2A9E124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13.3  工程试车</w:t>
      </w:r>
    </w:p>
    <w:p w14:paraId="1C75170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13.3.1  试车程序</w:t>
      </w:r>
    </w:p>
    <w:p w14:paraId="3B95335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工程需要试车的，除专用合同条款另有约定外，试车内容应与承包人承包范围相一致，试车费用由承包人承担。工程试车应按如下程序进行：</w:t>
      </w:r>
    </w:p>
    <w:p w14:paraId="5188FC30">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0E8FA8E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2020816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168A6E4E">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13.3.2  试车中的责任</w:t>
      </w:r>
    </w:p>
    <w:p w14:paraId="06FE36D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41A7668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58BC5B5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13.3.3  投料试车</w:t>
      </w:r>
    </w:p>
    <w:p w14:paraId="7EDC846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如需进行投料试车的，发包人应在工程竣工验收后组织投料试车。发包人要求在工程竣工验收前进行或需要承包人配合时，应征得承包人同意，并在专用合同条款中约定有关事项。</w:t>
      </w:r>
    </w:p>
    <w:p w14:paraId="10746F4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1F9076B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13.4  提前交付单位工程的验收</w:t>
      </w:r>
    </w:p>
    <w:p w14:paraId="700318B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13.4.1  发包人需要在工程竣工前使用单位工程的，或承包人提出提前交付已经竣工的单位工程且经发包人同意的，可进行单位工程验收，验收的程序按照第13.2款〔竣工验收〕的约定进行。</w:t>
      </w:r>
    </w:p>
    <w:p w14:paraId="42A3F34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4AC93F8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13.4.2  发包人要求在工程竣工前交付单位工程，由此导致承包人费用增加和（或）工期延误的，由发包人承担由此增加的费用和（或）延误的工期，并支付承包人合理的利润。</w:t>
      </w:r>
    </w:p>
    <w:p w14:paraId="64DB863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13.5  施工期运行</w:t>
      </w:r>
    </w:p>
    <w:p w14:paraId="6AD0221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529E4E8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13.5.2  在施工期运行中发现工程或工程设备损坏或存在缺陷的，由承包人按第15.2款〔缺陷责任期〕约定进行修复。</w:t>
      </w:r>
    </w:p>
    <w:p w14:paraId="6571CC0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13.5.3 除专用合同条款另有约定外，承包人应按专用合同条款约定进行工程及工程设备试运行，负责提供试运行所需的人员、器材和必要的条件，并承担全部试运行费用。</w:t>
      </w:r>
    </w:p>
    <w:p w14:paraId="4FA4EF6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13.5.4 由于承包人的原因导致试运行失败的，承包人应采取措施保证试运行合格，并承担相应费用。</w:t>
      </w:r>
    </w:p>
    <w:p w14:paraId="55EAAB0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13.6  竣工退场</w:t>
      </w:r>
    </w:p>
    <w:p w14:paraId="4650F39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13.6.1  竣工退场</w:t>
      </w:r>
    </w:p>
    <w:p w14:paraId="189FA89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颁发工程接收证书后，承包人应按以下要求对施工现场进行清理，直至监理人检验合格为止。</w:t>
      </w:r>
    </w:p>
    <w:p w14:paraId="74EC7D5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（1）施工现场内残留的垃圾已全部清除出场；</w:t>
      </w:r>
    </w:p>
    <w:p w14:paraId="33A9EF9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（2）临时工程已拆除，场地已进行清理、平整或复原；</w:t>
      </w:r>
    </w:p>
    <w:p w14:paraId="6317910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（3）按合同约定应撤离的人员、承包人施工设备和剩余的材料，包括废弃的施工设备和材料，已按计划撤离施工现场；</w:t>
      </w:r>
    </w:p>
    <w:p w14:paraId="592DA7B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（4）施工现场周边及其附近道路、河道的施工堆积物，已全部清理；</w:t>
      </w:r>
    </w:p>
    <w:p w14:paraId="2CEF732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（5）施工现场其他场地清理工作已全部完成。</w:t>
      </w:r>
    </w:p>
    <w:p w14:paraId="32CD10C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3B6722AE">
      <w:pPr>
        <w:ind w:firstLine="480" w:firstLineChars="200"/>
        <w:rPr>
          <w:rFonts w:ascii="宋体" w:hAnsi="宋体" w:cs="宋体"/>
          <w:b/>
          <w:bCs/>
          <w:color w:val="auto"/>
          <w:sz w:val="24"/>
          <w:szCs w:val="24"/>
          <w:highlight w:val="none"/>
        </w:rPr>
      </w:pPr>
      <w:r>
        <w:rPr>
          <w:rFonts w:hint="eastAsia" w:ascii="宋体" w:hAnsi="宋体" w:cs="宋体"/>
          <w:color w:val="auto"/>
          <w:sz w:val="24"/>
          <w:szCs w:val="24"/>
          <w:highlight w:val="none"/>
        </w:rPr>
        <w:t>13.6.2</w:t>
      </w:r>
      <w:r>
        <w:rPr>
          <w:rFonts w:hint="eastAsia" w:ascii="宋体" w:hAnsi="宋体" w:cs="宋体"/>
          <w:bCs/>
          <w:color w:val="auto"/>
          <w:sz w:val="24"/>
          <w:szCs w:val="24"/>
          <w:highlight w:val="none"/>
        </w:rPr>
        <w:t>施工队伍的撤离</w:t>
      </w:r>
    </w:p>
    <w:p w14:paraId="10D0BFC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工程接收证书颁发后的56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14:paraId="1218D06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13.6.3 地表还原</w:t>
      </w:r>
    </w:p>
    <w:p w14:paraId="1864288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11C14324">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14  竣工结算</w:t>
      </w:r>
    </w:p>
    <w:p w14:paraId="1F1724F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14.1  竣工结算申请</w:t>
      </w:r>
    </w:p>
    <w:p w14:paraId="742177DB">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2614D6A9">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除专用合同条款另有约定外，竣工结算申请单应包括以下内容：</w:t>
      </w:r>
    </w:p>
    <w:p w14:paraId="35BA6F7B">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（1）竣工结算合同价格；</w:t>
      </w:r>
    </w:p>
    <w:p w14:paraId="3215D790">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（2）发包人已支付承包人的款项；</w:t>
      </w:r>
    </w:p>
    <w:p w14:paraId="03AE683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（3）应扣留的质量保证金已缴纳履约保证金的或提供其他工程质量担保方式的除外；</w:t>
      </w:r>
    </w:p>
    <w:p w14:paraId="1191E29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（4）发包人应支付承包人的合同价款。</w:t>
      </w:r>
    </w:p>
    <w:p w14:paraId="186B35C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14.2  竣工结算审核</w:t>
      </w:r>
    </w:p>
    <w:p w14:paraId="52299B6B">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除专用合同条款另有约定外，监理人应在收到竣工结算申请单后14天内完成核查并报送发包人。发包人应在收到监理人提交的经审核的竣工结算申请单后14天内完成审核，并由监理人向承包人签发经发包人签认的竣工付款证书。监理人或发包人对竣工结算申请单有异议的，有权要求承包人进行修正和提供补充资料，承包人应提交修正后的竣工结算申请单。</w:t>
      </w:r>
    </w:p>
    <w:p w14:paraId="39EF1124">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707755A6">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承包人对发包人签认的竣工付款证书有异议的，对于有异议部分应在收到发包人签认的竣工付款证书后7天内提出异议，并由合同当事人按照专用合同条款的约定进行复核，或按照第20条〔争议解决〕约定处理。对于无异议部分，发包人应签发临时竣工付款证书，并按本款第（2）项完成付款。承包人逾期未提出异议的，视为认可发包人的审核结果。</w:t>
      </w:r>
    </w:p>
    <w:p w14:paraId="0CE6A46C">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（4）除专用合同条款另有约定外，合同价款应支付至承包人的账户。</w:t>
      </w:r>
    </w:p>
    <w:p w14:paraId="1D22E44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14.3  甩项竣工协议</w:t>
      </w:r>
    </w:p>
    <w:p w14:paraId="7B3DC298">
      <w:pPr>
        <w:autoSpaceDE w:val="0"/>
        <w:autoSpaceDN w:val="0"/>
        <w:spacing w:line="360" w:lineRule="auto"/>
        <w:ind w:firstLine="470" w:firstLineChars="196"/>
        <w:rPr>
          <w:rFonts w:ascii="宋体" w:hAnsi="宋体" w:cs="宋体"/>
          <w:color w:val="auto"/>
          <w:sz w:val="24"/>
          <w:szCs w:val="24"/>
          <w:highlight w:val="none"/>
        </w:rPr>
      </w:pPr>
      <w:r>
        <w:rPr>
          <w:rFonts w:hint="eastAsia" w:ascii="宋体" w:hAnsi="宋体" w:cs="宋体"/>
          <w:color w:val="auto"/>
          <w:sz w:val="24"/>
          <w:szCs w:val="24"/>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1D7F56E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14.4  最终结清</w:t>
      </w:r>
    </w:p>
    <w:p w14:paraId="5BF24566">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14.4.1  最终结清申请单</w:t>
      </w:r>
    </w:p>
    <w:p w14:paraId="45EC339A">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（1）除专用合同条款另有约定外，承包人应在缺陷责任期终止证书颁发后7天内，按专用合同条款约定的份数向发包人提交最终结清申请单，并提供相关证明材料。</w:t>
      </w:r>
    </w:p>
    <w:p w14:paraId="11D761A9">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除专用合同条款另有约定外，最终结清申请单应列明质量保证金、应扣除的质量保证金、缺陷责任期内发生的增减费用。</w:t>
      </w:r>
    </w:p>
    <w:p w14:paraId="18A23EED">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（2）发包人对最终结清申请单内容有异议的，有权要求承包人进行修正和提供补充资料，承包人应向发包人提交修正后的最终结清申请单。</w:t>
      </w:r>
    </w:p>
    <w:p w14:paraId="7C5100B5">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14.4.2  最终结清证书和支付</w:t>
      </w:r>
    </w:p>
    <w:p w14:paraId="69A67982">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（1）除专用合同条款另有约定外，发包人应在收到承包人提交的最终结清申请单后14天内完成审批并向承包人颁发最终结清证书。</w:t>
      </w:r>
    </w:p>
    <w:p w14:paraId="5E522EBF">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1596A007">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（3）承包人对发包人颁发的最终结清证书有异议的，按第20条〔争议解决〕的约定办理。</w:t>
      </w:r>
    </w:p>
    <w:p w14:paraId="5E3666CF">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15  缺陷责任与保修</w:t>
      </w:r>
    </w:p>
    <w:p w14:paraId="513F38E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15.1  工程保修的原则</w:t>
      </w:r>
    </w:p>
    <w:p w14:paraId="3B1F7D7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在工程移交发包人后，因承包人原因产生的质量缺陷，承包人应承担质量缺陷责任和保修义务。缺陷责任期届满，承包人仍应按合同约定的工程各部位保修年限承担保修义务。</w:t>
      </w:r>
    </w:p>
    <w:p w14:paraId="09E7FA6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15.2  缺陷责任期</w:t>
      </w:r>
    </w:p>
    <w:p w14:paraId="6F32D5B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15.2.1  缺陷责任期从工程通过竣工验收之日起计算，合同当事人应在专用合同条款约定缺陷责任期的具体期限，但该期限最长不超过24个月。</w:t>
      </w:r>
    </w:p>
    <w:p w14:paraId="0DE349B8">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单位工程先于全部工程进行验收，经验收合格并交付使用的，该单位工程缺陷责任期自单位工程验收合格之日起算。因发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11EE396F">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15.2.2  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24个月。</w:t>
      </w:r>
    </w:p>
    <w:p w14:paraId="2896ED15">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15.2.3  任何一项缺陷或损坏修复后，经检查证明其影响了工程或工程设备的使用性能，承包人应重新进行合同约定的试验和试运行，试验和试运行的全部费用应由责任方承担。</w:t>
      </w:r>
    </w:p>
    <w:p w14:paraId="55E54C4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2FABEA0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15.3  质量保证金</w:t>
      </w:r>
    </w:p>
    <w:p w14:paraId="13F12E8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经合同当事人协商一致扣留质量保证金的，应在专用合同条款中予以明确。在工程项目竣工前，承包人已经提供履约担保的，发包人不得同时预留工程质量保证金</w:t>
      </w:r>
    </w:p>
    <w:p w14:paraId="0F98033B">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15.3.1  承包人提供质量保证金的方式</w:t>
      </w:r>
    </w:p>
    <w:p w14:paraId="567CF396">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承包人提供质量保证金有以下三种方式：</w:t>
      </w:r>
    </w:p>
    <w:p w14:paraId="2D1B04FF">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（1）质量保证金保函；</w:t>
      </w:r>
    </w:p>
    <w:p w14:paraId="29D76AD2">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（2）相应比例的工程款；</w:t>
      </w:r>
    </w:p>
    <w:p w14:paraId="2869B4AD">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（3）双方约定的其他方式。</w:t>
      </w:r>
    </w:p>
    <w:p w14:paraId="7EA9A68F">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除专用合同条款另有约定外，质量保证金原则上采用上述第（1）种方式。</w:t>
      </w:r>
    </w:p>
    <w:p w14:paraId="0507C34D">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15.3.2  质量保证金的扣留</w:t>
      </w:r>
    </w:p>
    <w:p w14:paraId="7B56AFC6">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质量保证金的扣留有以下三种方式：</w:t>
      </w:r>
    </w:p>
    <w:p w14:paraId="70AA24B4">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1）在支付工程进度款时逐次扣留，在此情形下，质量保证金的计算基数不包括预付款的支付、扣回以及价格调整的金额；</w:t>
      </w:r>
    </w:p>
    <w:p w14:paraId="27F3E2D3">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2）工程竣工结算时一次性扣留质量保证金；</w:t>
      </w:r>
    </w:p>
    <w:p w14:paraId="117E75A3">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3）双方约定的其他扣留方式。</w:t>
      </w:r>
    </w:p>
    <w:p w14:paraId="66807CE2">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除专用合同条款另有约定外，质量保证金的扣留原则上采用上述第（1）种方式。</w:t>
      </w:r>
    </w:p>
    <w:p w14:paraId="65CB91D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发包人累计扣留的质量保证金不得超过结算合同价格的3%，如承包人在发包人签发竣工付款证书后28天内提交质量保证金保函，发包人应同时退还扣留的作为质量保证金的工程价款。</w:t>
      </w:r>
    </w:p>
    <w:p w14:paraId="7EFB285F">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15.3.3质量保证金的退还</w:t>
      </w:r>
    </w:p>
    <w:p w14:paraId="0F11D563">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缺陷责任期内，承包人认真履行合同约定的责任，到期后，承包人可向发包人申请返还保证金。</w:t>
      </w:r>
    </w:p>
    <w:p w14:paraId="0080824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49ACADA4">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发包人和承包人对保证金预留、返还以及工程维修质量、费用有争议的，按本合同第20条约定的争议和纠纷解决程序处理。</w:t>
      </w:r>
    </w:p>
    <w:p w14:paraId="4CD7A7F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15.4  保修</w:t>
      </w:r>
    </w:p>
    <w:p w14:paraId="1EA3FB6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15.4.1  保修责任</w:t>
      </w:r>
    </w:p>
    <w:p w14:paraId="1500E32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7DB760C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发包人未经竣工验收擅自使用工程的，保修期自转移占有之日起算。</w:t>
      </w:r>
    </w:p>
    <w:p w14:paraId="026444C5">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15.4.2  修复费用</w:t>
      </w:r>
    </w:p>
    <w:p w14:paraId="4C6AF96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保修期内，修复的费用按照以下约定处理：</w:t>
      </w:r>
    </w:p>
    <w:p w14:paraId="7659FDCD">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（1）保修期内，因承包人原因造成工程的缺陷、损坏，承包人应负责修复，并承担修复的费用以及因工程的缺陷、损坏造成的人身伤害和财产损失；</w:t>
      </w:r>
    </w:p>
    <w:p w14:paraId="77689A05">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（2）保修期内，因发包人使用不当造成工程的缺陷、损坏，可以委托承包人修复，但发包人应承担修复的费用，并支付承包人合理利润；</w:t>
      </w:r>
    </w:p>
    <w:p w14:paraId="721B17AD">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（3）因其他原因造成工程的缺陷、损坏，可以委托承包人修复，发包人应承担修复的费用，并支付承包人合理的利润，因工程的缺陷、损坏造成的人身伤害和财产损失由责任方承担。</w:t>
      </w:r>
    </w:p>
    <w:p w14:paraId="466310B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15.4.3  修复通知</w:t>
      </w:r>
    </w:p>
    <w:p w14:paraId="6863147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3B85478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15.4.4  未能修复</w:t>
      </w:r>
    </w:p>
    <w:p w14:paraId="772618D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04F46AD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15.4.5  承包人出入权</w:t>
      </w:r>
    </w:p>
    <w:p w14:paraId="24747C5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2FCD7CA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16  违约</w:t>
      </w:r>
    </w:p>
    <w:p w14:paraId="3E0D7FA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16.1  发包人违约</w:t>
      </w:r>
    </w:p>
    <w:p w14:paraId="310E4929">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16.1.1  发包人违约的情形</w:t>
      </w:r>
    </w:p>
    <w:p w14:paraId="56AA88D4">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在合同履行过程中发生的下列情形，属于发包人违约：</w:t>
      </w:r>
    </w:p>
    <w:p w14:paraId="348C8060">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（1）因发包人原因未能在计划开工日期前7天内下达开工通知的；</w:t>
      </w:r>
    </w:p>
    <w:p w14:paraId="25F3244D">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（2）因发包人原因未能按合同约定支付合同价款的；</w:t>
      </w:r>
    </w:p>
    <w:p w14:paraId="763593A6">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（3）发包人违反第10.1款〔变更的范围〕第（2）项约定，自行实施被取消的工作或转由他人实施的；</w:t>
      </w:r>
    </w:p>
    <w:p w14:paraId="62E72209">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（4）发包人提供的材料、工程设备的规格、数量或质量不符合合同约定，或因发包人原因导致交货日期延误或交货地点变更等情况的；</w:t>
      </w:r>
    </w:p>
    <w:p w14:paraId="6CA08724">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（5）因发包人违反合同约定造成暂停施工的；</w:t>
      </w:r>
    </w:p>
    <w:p w14:paraId="42DE4572">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（6）发包人无正当理由没有在约定期限内发出复工指示，导致承包人无法复工的；</w:t>
      </w:r>
    </w:p>
    <w:p w14:paraId="10222DA8">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（7）发包人明确表示或者以其行为表明不履行合同主要义务的；</w:t>
      </w:r>
    </w:p>
    <w:p w14:paraId="19F0B8FE">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（8）发包人未能按照合同约定履行其他义务的。</w:t>
      </w:r>
    </w:p>
    <w:p w14:paraId="53CCFD43">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0E86E9C0">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16.1.2  发包人违约的责任</w:t>
      </w:r>
    </w:p>
    <w:p w14:paraId="45176D54">
      <w:pPr>
        <w:autoSpaceDE w:val="0"/>
        <w:autoSpaceDN w:val="0"/>
        <w:spacing w:line="360" w:lineRule="auto"/>
        <w:ind w:firstLine="472" w:firstLineChars="200"/>
        <w:rPr>
          <w:rFonts w:ascii="宋体" w:hAnsi="宋体" w:cs="宋体"/>
          <w:color w:val="auto"/>
          <w:spacing w:val="-2"/>
          <w:sz w:val="24"/>
          <w:szCs w:val="24"/>
          <w:highlight w:val="none"/>
        </w:rPr>
      </w:pPr>
      <w:r>
        <w:rPr>
          <w:rFonts w:hint="eastAsia" w:ascii="宋体" w:hAnsi="宋体" w:cs="宋体"/>
          <w:color w:val="auto"/>
          <w:spacing w:val="-2"/>
          <w:sz w:val="24"/>
          <w:szCs w:val="24"/>
          <w:highlight w:val="none"/>
        </w:rPr>
        <w:t>发包人应承担因其违约给承包人增加的费用和（或）延误的工期，并支付承包人合理的利润。此外，合同当事人可在专用合同条款中另行约定发包人违约责任的承担方式和计算方法。</w:t>
      </w:r>
    </w:p>
    <w:p w14:paraId="0EE385A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16.1.3  因发包人违约解除合同</w:t>
      </w:r>
    </w:p>
    <w:p w14:paraId="00F00A55">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7AA2A455">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16.1.4  因发包人违约解除合同后的付款</w:t>
      </w:r>
    </w:p>
    <w:p w14:paraId="608B28F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承包人按照本款约定解除合同的，发包人应在解除合同后28天内支付下列款项，并解除履约担保：</w:t>
      </w:r>
    </w:p>
    <w:p w14:paraId="096C6FE0">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（1）合同解除前所完成工作的价款；</w:t>
      </w:r>
    </w:p>
    <w:p w14:paraId="27F573B6">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（2）承包人为工程施工订购并已付款的材料、工程设备和其他物品的价款；</w:t>
      </w:r>
    </w:p>
    <w:p w14:paraId="1991B2E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（3）承包人撤离施工现场以及遣散承包人人员的款项；</w:t>
      </w:r>
    </w:p>
    <w:p w14:paraId="6B5CF9B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（4）按照合同约定在合同解除前应支付的违约金；</w:t>
      </w:r>
    </w:p>
    <w:p w14:paraId="1F32B34E">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（5）按照合同约定应当支付给承包人的其他款项；</w:t>
      </w:r>
    </w:p>
    <w:p w14:paraId="0DA9507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（6）按照合同约定应退还的质量保证金；</w:t>
      </w:r>
    </w:p>
    <w:p w14:paraId="2982DD33">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（7）因解除合同给承包人造成的损失。</w:t>
      </w:r>
    </w:p>
    <w:p w14:paraId="0A0E82F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合同当事人未能就解除合同后的结清达成一致的，按照第20条〔争议解决〕的约定处理。</w:t>
      </w:r>
    </w:p>
    <w:p w14:paraId="2CB1F5A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承包人应妥善做好已完工程和与工程有关的已购材料、工程设备的保护和移交工作，并将施工设备和人员撤出施工现场，发包人应为承包人撤出提供必要条件。</w:t>
      </w:r>
    </w:p>
    <w:p w14:paraId="74AA7CD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16.2  承包人违约</w:t>
      </w:r>
    </w:p>
    <w:p w14:paraId="1D0B0CB7">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16.2.1  承包人违约的情形</w:t>
      </w:r>
    </w:p>
    <w:p w14:paraId="43A74195">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在合同履行过程中发生的下列情形，属于承包人违约：</w:t>
      </w:r>
    </w:p>
    <w:p w14:paraId="7868C9D7">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（1）承包人违反合同约定进行转包或违法分包的；</w:t>
      </w:r>
    </w:p>
    <w:p w14:paraId="15FB2949">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（2）承包人违反合同约定采购和使用不合格的材料和工程设备的；</w:t>
      </w:r>
    </w:p>
    <w:p w14:paraId="404C2DB6">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（3）因承包人原因导致工程质量不符合合同要求的；</w:t>
      </w:r>
    </w:p>
    <w:p w14:paraId="5E212805">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（4）承包人违反第8.9款〔材料与设备专用要求〕的约定，未经批准，私自将已按照合同约定进入施工现场的材料或设备撤离施工现场的；</w:t>
      </w:r>
    </w:p>
    <w:p w14:paraId="74CE590A">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（5）承包人未能按施工进度计划及时完成合同约定的工作，造成工期延误的；</w:t>
      </w:r>
    </w:p>
    <w:p w14:paraId="2AA4BEED">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（6）承包人在缺陷责任期及保修期内，未能在合理期限对工程缺陷进行修复，或拒绝按发包人要求进行修复的；</w:t>
      </w:r>
    </w:p>
    <w:p w14:paraId="2E684AF3">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（7）承包人明确表示或者以其行为表明不履行合同主要义务的；</w:t>
      </w:r>
    </w:p>
    <w:p w14:paraId="52F60427">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（8）承包人未能按照合同约定履行其他义务的。</w:t>
      </w:r>
    </w:p>
    <w:p w14:paraId="56BD01A3">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承包人发生除本项第（7）目约定以外的其他违约情况时，监理人可向承包人发出整改通知，要求其在指定的期限内改正。</w:t>
      </w:r>
    </w:p>
    <w:p w14:paraId="42BE30DE">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16.2.2  承包人违约的责任</w:t>
      </w:r>
    </w:p>
    <w:p w14:paraId="60EF3F27">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承包人应承担因其违约行为而增加的费用和（或）延误的工期。此外，合同当事人可在专用合同条款中另行约定承包人违约责任的承担方式和计算方法。</w:t>
      </w:r>
    </w:p>
    <w:p w14:paraId="2546558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16.2.3  因承包人违约解除合同</w:t>
      </w:r>
    </w:p>
    <w:p w14:paraId="772B1006">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发包人可派员进驻施工场地，另行组织人员或委托其他承包人施工。因继续完成工程的需要，发包人有权扣留使用承包人在施工现场的材料、设备、临时工程、承包人文件和由承包人或以其名义编制的其他文件，合同当事人应在专用合同条款约定相应费用的承担方式。发包人继续使用的行为不免除或减轻承包人应承担的违约责任，也不影响发包人根据合同约定享有的索赔权利。</w:t>
      </w:r>
    </w:p>
    <w:p w14:paraId="4629771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16.2.4  因承包人违约解除合同后的处理</w:t>
      </w:r>
    </w:p>
    <w:p w14:paraId="3C8D3CB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因承包人原因导致合同解除的，则合同当事人应在合同解除后28天内完成估价、付款和清算，并按以下约定执行：</w:t>
      </w:r>
    </w:p>
    <w:p w14:paraId="740AEFFA">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（1）合同解除后，按第4.4款〔商定或确定〕商定或确定承包人实际完成工作对应的合同价款，以及承包人已提供的材料、工程设备、施工设备和临时工程等的价值；</w:t>
      </w:r>
    </w:p>
    <w:p w14:paraId="1737D566">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（2）合同解除后，承包人应支付的违约金；</w:t>
      </w:r>
    </w:p>
    <w:p w14:paraId="51CA923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（3）合同解除后，因解除合同给发包人造成的损失；</w:t>
      </w:r>
    </w:p>
    <w:p w14:paraId="62486429">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（4）合同解除后，承包人应按照发包人要求和监理人的指示完成现场的清理和撤离；</w:t>
      </w:r>
    </w:p>
    <w:p w14:paraId="7F979B05">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（5）发包人和承包人应在合同解除后进行清算，出具最终结清付款证书，结清全部款项。</w:t>
      </w:r>
    </w:p>
    <w:p w14:paraId="000C09C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03D88276">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16.2.5  采购合同权益转让</w:t>
      </w:r>
    </w:p>
    <w:p w14:paraId="7E2202F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6D15F34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16.2.6紧急情况下无能力或不愿进行抢救</w:t>
      </w:r>
    </w:p>
    <w:p w14:paraId="46D28E7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0BEA9AF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16.3  第三人造成的违约</w:t>
      </w:r>
    </w:p>
    <w:p w14:paraId="3C86737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14:paraId="2BDFE545">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17  不可抗力</w:t>
      </w:r>
    </w:p>
    <w:p w14:paraId="4932C87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17.1  不可抗力的确认</w:t>
      </w:r>
    </w:p>
    <w:p w14:paraId="06322CBA">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22F13C3E">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18F10B2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17.2  不可抗力的通知</w:t>
      </w:r>
    </w:p>
    <w:p w14:paraId="7387EB3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合同一方当事人遇到不可抗力事件，使其履行合同义务受到阻碍时，应立即通知合同另一方当事人和监理人，书面说明不可抗力和受阻碍的详细情况，并提供必要的证明。</w:t>
      </w:r>
    </w:p>
    <w:p w14:paraId="039F8598">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4D185CB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17.3  不可抗力后果的承担</w:t>
      </w:r>
    </w:p>
    <w:p w14:paraId="499650A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17.3.1  不可抗力引起的后果及造成的损失由合同当事人按照法律规定及合同约定各自承担。不可抗力发生前已完成的工程应当按照合同约定进行计量支付。</w:t>
      </w:r>
    </w:p>
    <w:p w14:paraId="04A8943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17.3.2  不可抗力导致的人员伤亡、财产损失、费用增加和（或）工期延误等后果，由合同当事人按以下原则承担：</w:t>
      </w:r>
    </w:p>
    <w:p w14:paraId="1B47E968">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（1）永久工程、已运至施工现场的材料和工程设备的损坏，以及因工程损坏造成的第三人人员伤亡和财产损失由发包人承担；</w:t>
      </w:r>
    </w:p>
    <w:p w14:paraId="39599FF7">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（2）承包人施工设备的损坏由承包人承担；</w:t>
      </w:r>
    </w:p>
    <w:p w14:paraId="1EE49190">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（3）发包人和承包人承担各自人员伤亡和财产的损失；</w:t>
      </w:r>
    </w:p>
    <w:p w14:paraId="05E7AD72">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1912F47">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（5）因不可抗力引起或将引起工期延误，发包人要求赶工的，由此增加的赶工费用由发包人承担；</w:t>
      </w:r>
    </w:p>
    <w:p w14:paraId="70816BB1">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（6）承包人在停工期间按照发包人要求照管、清理和修复工程的费用由发包人承担。</w:t>
      </w:r>
    </w:p>
    <w:p w14:paraId="732C9F5E">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不可抗力发生后，合同当事人均应采取措施尽量避免和减少损失的扩大，任何一方当事人没有采取有效措施导致损失扩大的，应对扩大的损失承担责任。</w:t>
      </w:r>
    </w:p>
    <w:p w14:paraId="17C7B00B">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因合同一方迟延履行合同义务，在迟延履行期间遭遇不可抗力的，不免除其违约责任。</w:t>
      </w:r>
    </w:p>
    <w:p w14:paraId="1B78FA3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17.4  因不可抗力解除合同</w:t>
      </w:r>
    </w:p>
    <w:p w14:paraId="6546F3A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10FDBAD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（1）合同解除前承包人已完成工作的价款；</w:t>
      </w:r>
    </w:p>
    <w:p w14:paraId="29A853A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（2）承包人为工程订购的并已交付给承包人，或承包人有责任接受交付的材料、工程设备和其他物品的价款；</w:t>
      </w:r>
    </w:p>
    <w:p w14:paraId="7374FD5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（3）发包人要求承包人退货或解除订货合同而产生的费用，或因不能退货或解除合同而产生的损失；</w:t>
      </w:r>
    </w:p>
    <w:p w14:paraId="09B9C80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（4）承包人撤离施工现场以及遣散承包人人员的费用；</w:t>
      </w:r>
    </w:p>
    <w:p w14:paraId="2DCBBE1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（5）按照合同约定在合同解除前应支付给承包人的其他款项；</w:t>
      </w:r>
    </w:p>
    <w:p w14:paraId="7904C19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（6）扣减承包人按照合同约定应向发包人支付的款项；</w:t>
      </w:r>
    </w:p>
    <w:p w14:paraId="63B555F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（7）双方商定或确定的其他款项。</w:t>
      </w:r>
    </w:p>
    <w:p w14:paraId="5E94F6B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除专用合同条款另有约定外，合同解除后，发包人应在商定或确定上述款项后28天内完成上述款项的支付。</w:t>
      </w:r>
    </w:p>
    <w:p w14:paraId="370CBE64">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18  保险</w:t>
      </w:r>
    </w:p>
    <w:p w14:paraId="4A93E2E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18.1  工程保险</w:t>
      </w:r>
    </w:p>
    <w:p w14:paraId="51D407D7">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除专用合同条款另有约定外，承包人应以发包人和承包人的共同名义向双方同意的保险人投保建筑工程一切险或安装工程一切险。</w:t>
      </w:r>
    </w:p>
    <w:p w14:paraId="21A7E0D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18.2  工伤保险</w:t>
      </w:r>
    </w:p>
    <w:p w14:paraId="6D9DDF26">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18.2.1  发包人应依照法律规定参加工伤保险，并为在施工现场的全部员工办理工伤保险，缴纳工伤保险费，并要求监理人及由发包人为履行合同聘请的第三方依法参加工伤保险。</w:t>
      </w:r>
    </w:p>
    <w:p w14:paraId="37041476">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18.2.2  承包人应依照法律规定参加工伤保险，并为其履行合同的全部员工办理工伤保险，缴纳工伤保险费，并要求分包人及由承包人为履行合同聘请的第三方依法参加工伤保险。</w:t>
      </w:r>
    </w:p>
    <w:p w14:paraId="25A361A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18.3  其他保险</w:t>
      </w:r>
    </w:p>
    <w:p w14:paraId="1F21EDB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发包人和承包人可以为其施工现场的全部人员办理意外伤害保险并支付保险费，包括其员工及为履行合同聘请的第三方的人员，具体事项由合同当事人在专用合同条款约定。</w:t>
      </w:r>
    </w:p>
    <w:p w14:paraId="4CFA070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除专用合同条款另有约定外，承包人应为其施工设备等办理财产保险。</w:t>
      </w:r>
    </w:p>
    <w:p w14:paraId="388BE3C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18.4  持续保险</w:t>
      </w:r>
    </w:p>
    <w:p w14:paraId="295C074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合同当事人应与保险人保持联系，使保险人能够随时了解工程实施中的变动，并确保按保险合同条款要求持续保险。</w:t>
      </w:r>
    </w:p>
    <w:p w14:paraId="0D0B744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18.5  保险凭证</w:t>
      </w:r>
    </w:p>
    <w:p w14:paraId="520181F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合同当事人应及时向另一方当事人提交其已投保的各项保险的凭证和保险单复印件。</w:t>
      </w:r>
    </w:p>
    <w:p w14:paraId="474418B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18.6  未按约定投保的补救</w:t>
      </w:r>
    </w:p>
    <w:p w14:paraId="6ECB3E8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18.6.1  发包人未按合同约定办理保险，或未能使保险持续有效的，则承包人可代为办理，所需费用由发包人承担。发包人未按合同约定办理保险，导致未能得到足额赔偿的，由发包人负责补足。</w:t>
      </w:r>
    </w:p>
    <w:p w14:paraId="1B2FA29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18.6.2  承包人未按合同约定办理保险，或未能使保险持续有效的，则发包人可代为办理，所需费用由承包人承担。承包人未按合同约定办理保险，导致未能得到足额赔偿的，由承包人负责补足。</w:t>
      </w:r>
    </w:p>
    <w:p w14:paraId="41D174C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18.7  通知义务</w:t>
      </w:r>
    </w:p>
    <w:p w14:paraId="5BB0C87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3C5B37A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保险事故发生时，投保人应按照保险合同规定的条件和期限及时向保险人报告。发包人和承包人应当在知道保险事故发生后及时通知对方。</w:t>
      </w:r>
    </w:p>
    <w:p w14:paraId="0000607F">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19  索赔</w:t>
      </w:r>
    </w:p>
    <w:p w14:paraId="5F4E524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19.1  承包人的索赔</w:t>
      </w:r>
    </w:p>
    <w:p w14:paraId="5DF00D27">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根据合同约定，承包人认为有权得到追加付款和（或）延长工期的，应按以下程序向发包人提出索赔：</w:t>
      </w:r>
    </w:p>
    <w:p w14:paraId="2FF11DD5">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3FC4860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（2）承包人应在发出索赔意向通知书后28天内，向监理人正式递交索赔报告；索赔报告应详细说明索赔理由以及要求追加的付款金额和（或）延长的工期，并附必要的记录和证明材料；</w:t>
      </w:r>
    </w:p>
    <w:p w14:paraId="08985F05">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（3）索赔事件具有持续影响的，承包人应按合理时间间隔继续递交延续索赔通知，说明持续影响的实际情况和记录，列出累计的追加付款金额和（或）工期延长天数；</w:t>
      </w:r>
    </w:p>
    <w:p w14:paraId="143C8C89">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（4）在索赔事件影响结束后28天内，承包人应向监理人递交最终索赔报告，说明最终要求索赔的追加付款金额和（或）延长的工期，并附必要的记录和证明材料。</w:t>
      </w:r>
    </w:p>
    <w:p w14:paraId="3E1DD4F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19.2  对承包人索赔的处理</w:t>
      </w:r>
    </w:p>
    <w:p w14:paraId="30F534E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对承包人索赔的处理如下：</w:t>
      </w:r>
    </w:p>
    <w:p w14:paraId="341FA47D">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（1）监理人应在收到索赔报告后14天内完成审查并报送发包人。监理人对索赔报告存在异议的，有权要求承包人提交全部原始记录副本；</w:t>
      </w:r>
    </w:p>
    <w:p w14:paraId="6EBC0A57">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（2）发包人应在监理人收到索赔报告或有关索赔的进一步证明材料后的28天内，由监理人向承包人出具经发包人签认的索赔处理结果。但发包人逾期答复的，不视为对承包人索赔要求的认可。</w:t>
      </w:r>
    </w:p>
    <w:p w14:paraId="03A1D974">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（3）承包人接受索赔处理结果的，索赔款项在当期进度款中进行支付；承包人不接受索赔处理结果的，按照第20条〔争议解决〕约定处理。</w:t>
      </w:r>
    </w:p>
    <w:p w14:paraId="3484995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19.3  发包人的索赔</w:t>
      </w:r>
    </w:p>
    <w:p w14:paraId="1C577EC9">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根据合同约定，发包人认为有权得到赔付金额和（或）延长缺陷责任期的，发包人或监理人均有权向承包人提出索赔。为便于纠纷的处理，发包人对于承包人的索赔，自索赔情形出现之日至工程竣工验收、结算审计完成以及保修期结束后5年内均有权实施。</w:t>
      </w:r>
    </w:p>
    <w:p w14:paraId="451F8F3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19.4  对发包人索赔的处理</w:t>
      </w:r>
    </w:p>
    <w:p w14:paraId="358C8DA5">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对发包人索赔的处理如下：</w:t>
      </w:r>
    </w:p>
    <w:p w14:paraId="13EC21E1">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（1）承包人收到发包人提交的索赔报告后，应及时审查索赔报告的内容、查验发包人证明材料；</w:t>
      </w:r>
    </w:p>
    <w:p w14:paraId="2B999C76">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（2）承包人应在收到索赔报告或有关索赔的进一步证明材料后28天内，将索赔处理结果答复发包人。如果承包人未在上述期限内作出答复的，则视为对发包人索赔要求的认可；</w:t>
      </w:r>
    </w:p>
    <w:p w14:paraId="710A941B">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（3）承包人接受索赔处理结果的，发包人可从应支付给承包人的合同价款中扣除赔付的金额或延长缺陷责任期；发包人不接受索赔处理结果的，按第20条〔争议解决〕约定处理。</w:t>
      </w:r>
    </w:p>
    <w:p w14:paraId="0F0EDC0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19.5  提出索赔的期限</w:t>
      </w:r>
    </w:p>
    <w:p w14:paraId="7F9223A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（1）承包人按第14.2款〔竣工结算审核〕约定接收竣工付款证书后，应被视为已无权再提出在工程接收证书颁发前所发生的任何索赔。</w:t>
      </w:r>
    </w:p>
    <w:p w14:paraId="731D0B3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（2）承包人按第14.4款〔最终结清〕提交的最终结清申请单中，只限于提出工程接收证书颁发后发生的索赔。提出索赔的期限自接受最终结清证书时终止。</w:t>
      </w:r>
    </w:p>
    <w:p w14:paraId="117F1D68">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20  争议解决</w:t>
      </w:r>
    </w:p>
    <w:p w14:paraId="24B611A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20.1  和解</w:t>
      </w:r>
    </w:p>
    <w:p w14:paraId="13A3C51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合同当事人可以就争议自行和解，自行和解达成协议的经双方签字并盖章后作为合同补充文件，双方均应遵照执行。</w:t>
      </w:r>
    </w:p>
    <w:p w14:paraId="07783D2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20.2  调解</w:t>
      </w:r>
    </w:p>
    <w:p w14:paraId="1B907B85">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合同当事人可以就争议请求建设行政主管部门、行业协会或其他第三方进行调解，调解达成协议的，经双方签字并盖章后作为合同补充文件，双方均应遵照执行。</w:t>
      </w:r>
    </w:p>
    <w:p w14:paraId="63433AE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20.3  争议评审</w:t>
      </w:r>
    </w:p>
    <w:p w14:paraId="7736E3CB">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合同当事人在专用合同条款中约定采取争议评审方式解决争议以及评审规则，并按下列约定执行：</w:t>
      </w:r>
    </w:p>
    <w:p w14:paraId="6E036E39">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20.3.1  争议评审小组的确定</w:t>
      </w:r>
    </w:p>
    <w:p w14:paraId="068F7FF6">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合同当事人可以共同选择一名或三名争议评审员，组成争议评审小组。除专用合同条款另有约定外，合同当事人应当自合同签订后28天内，或者争议发生后14天内，选定争议评审员。</w:t>
      </w:r>
    </w:p>
    <w:p w14:paraId="4B47C8F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5A33A72E">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除专用合同条款另有约定外，评审员报酬由发包人和承包人各承担一半。</w:t>
      </w:r>
    </w:p>
    <w:p w14:paraId="208C27AF">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20.3.2  争议评审小组的决定</w:t>
      </w:r>
    </w:p>
    <w:p w14:paraId="1E6F0BE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1E76CA0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20.3.3  争议评审小组决定的效力</w:t>
      </w:r>
    </w:p>
    <w:p w14:paraId="55080973">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争议评审小组作出的书面决定经合同当事人签字确认后，对双方具有约束力，双方应遵照执行。</w:t>
      </w:r>
    </w:p>
    <w:p w14:paraId="49570CF3">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任何一方当事人不接受争议评审小组决定或不履行争议评审小组决定的，双方可选择采用其他争议解决方式。</w:t>
      </w:r>
    </w:p>
    <w:p w14:paraId="052DC76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20.4  仲裁或诉讼</w:t>
      </w:r>
    </w:p>
    <w:p w14:paraId="2F2366AD">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因合同及合同有关事项产生的争议，合同当事人可以在专用合同条款中约定以下一种方式解决争议：</w:t>
      </w:r>
    </w:p>
    <w:p w14:paraId="5930CF6B">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（1）向约定的仲裁委员会申请仲裁；</w:t>
      </w:r>
    </w:p>
    <w:p w14:paraId="382E1A6C">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（2）向有管辖权的人民法院起诉。</w:t>
      </w:r>
    </w:p>
    <w:p w14:paraId="23B9196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20.5  争议解决条款效力</w:t>
      </w:r>
    </w:p>
    <w:p w14:paraId="4EC360B6">
      <w:pPr>
        <w:autoSpaceDE w:val="0"/>
        <w:autoSpaceDN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合同有关争议解决的条款独立存在，合同的变更、解除、终止、无效或者被撤销均不影响其效力。</w:t>
      </w:r>
    </w:p>
    <w:p w14:paraId="5D9E9688">
      <w:pPr>
        <w:autoSpaceDE w:val="0"/>
        <w:autoSpaceDN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21  其他补充</w:t>
      </w:r>
    </w:p>
    <w:p w14:paraId="1C6529E2">
      <w:pPr>
        <w:keepNext/>
        <w:keepLines/>
        <w:spacing w:before="260" w:after="260" w:line="416" w:lineRule="auto"/>
        <w:ind w:firstLine="2249" w:firstLineChars="700"/>
        <w:outlineLvl w:val="1"/>
        <w:rPr>
          <w:rFonts w:ascii="宋体" w:hAnsi="宋体" w:cs="宋体"/>
          <w:b/>
          <w:bCs/>
          <w:color w:val="auto"/>
          <w:kern w:val="0"/>
          <w:sz w:val="32"/>
          <w:szCs w:val="32"/>
          <w:highlight w:val="none"/>
        </w:rPr>
        <w:sectPr>
          <w:footerReference r:id="rId6" w:type="first"/>
          <w:footerReference r:id="rId5" w:type="default"/>
          <w:pgSz w:w="11906" w:h="16838"/>
          <w:pgMar w:top="1417" w:right="1555" w:bottom="1417" w:left="1531" w:header="851" w:footer="992" w:gutter="0"/>
          <w:pgNumType w:fmt="decimal"/>
          <w:cols w:space="0" w:num="1"/>
          <w:rtlGutter w:val="0"/>
          <w:docGrid w:type="lines" w:linePitch="312" w:charSpace="0"/>
        </w:sectPr>
      </w:pPr>
      <w:bookmarkStart w:id="4" w:name="_Toc414558337"/>
    </w:p>
    <w:bookmarkEnd w:id="4"/>
    <w:p w14:paraId="06CF0FE9">
      <w:pPr>
        <w:ind w:firstLine="2570" w:firstLineChars="800"/>
        <w:rPr>
          <w:rFonts w:hint="eastAsia"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第三部分 专用合同条款</w:t>
      </w:r>
    </w:p>
    <w:p w14:paraId="4EA43AEF">
      <w:pPr>
        <w:spacing w:line="360" w:lineRule="auto"/>
        <w:rPr>
          <w:rFonts w:ascii="宋体" w:hAnsi="宋体"/>
          <w:color w:val="auto"/>
          <w:sz w:val="24"/>
          <w:szCs w:val="24"/>
          <w:highlight w:val="none"/>
        </w:rPr>
      </w:pPr>
    </w:p>
    <w:p w14:paraId="4A397078">
      <w:pPr>
        <w:spacing w:line="360" w:lineRule="auto"/>
        <w:rPr>
          <w:rFonts w:ascii="宋体" w:hAnsi="宋体"/>
          <w:color w:val="auto"/>
          <w:sz w:val="24"/>
          <w:szCs w:val="24"/>
          <w:highlight w:val="none"/>
        </w:rPr>
      </w:pPr>
      <w:r>
        <w:rPr>
          <w:rFonts w:ascii="宋体" w:hAnsi="宋体"/>
          <w:color w:val="auto"/>
          <w:sz w:val="24"/>
          <w:szCs w:val="24"/>
          <w:highlight w:val="none"/>
        </w:rPr>
        <w:t xml:space="preserve">1  </w:t>
      </w:r>
      <w:r>
        <w:rPr>
          <w:rFonts w:hint="eastAsia" w:ascii="宋体" w:hAnsi="宋体"/>
          <w:color w:val="auto"/>
          <w:sz w:val="24"/>
          <w:szCs w:val="24"/>
          <w:highlight w:val="none"/>
        </w:rPr>
        <w:t>一般约定</w:t>
      </w:r>
    </w:p>
    <w:p w14:paraId="26DD58C8">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1.1  </w:t>
      </w:r>
      <w:r>
        <w:rPr>
          <w:rFonts w:hint="eastAsia" w:ascii="宋体" w:hAnsi="宋体"/>
          <w:color w:val="auto"/>
          <w:sz w:val="24"/>
          <w:szCs w:val="24"/>
          <w:highlight w:val="none"/>
        </w:rPr>
        <w:t>词语定义</w:t>
      </w:r>
    </w:p>
    <w:p w14:paraId="215E1396">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1.1.1</w:t>
      </w:r>
      <w:r>
        <w:rPr>
          <w:rFonts w:hint="eastAsia" w:ascii="宋体" w:hAnsi="宋体"/>
          <w:color w:val="auto"/>
          <w:sz w:val="24"/>
          <w:szCs w:val="24"/>
          <w:highlight w:val="none"/>
        </w:rPr>
        <w:t xml:space="preserve">  合同</w:t>
      </w:r>
    </w:p>
    <w:p w14:paraId="418F1BB6">
      <w:pPr>
        <w:spacing w:line="360" w:lineRule="auto"/>
        <w:rPr>
          <w:rFonts w:ascii="宋体" w:hAnsi="宋体"/>
          <w:color w:val="auto"/>
          <w:sz w:val="24"/>
          <w:szCs w:val="24"/>
          <w:highlight w:val="none"/>
        </w:rPr>
      </w:pPr>
      <w:r>
        <w:rPr>
          <w:rFonts w:ascii="宋体" w:hAnsi="宋体"/>
          <w:color w:val="auto"/>
          <w:sz w:val="24"/>
          <w:szCs w:val="24"/>
          <w:highlight w:val="none"/>
        </w:rPr>
        <w:t xml:space="preserve">    1.1.1.10</w:t>
      </w:r>
      <w:r>
        <w:rPr>
          <w:rFonts w:hint="eastAsia" w:ascii="宋体" w:hAnsi="宋体"/>
          <w:color w:val="auto"/>
          <w:sz w:val="24"/>
          <w:szCs w:val="24"/>
          <w:highlight w:val="none"/>
        </w:rPr>
        <w:t xml:space="preserve">  其他合同文件包括：</w:t>
      </w:r>
      <w:r>
        <w:rPr>
          <w:rFonts w:hint="eastAsia" w:ascii="宋体" w:hAnsi="宋体"/>
          <w:color w:val="auto"/>
          <w:sz w:val="24"/>
          <w:szCs w:val="24"/>
          <w:highlight w:val="none"/>
          <w:u w:val="single"/>
        </w:rPr>
        <w:t>招标文件（包括补充和答疑文件）；图纸</w:t>
      </w:r>
      <w:r>
        <w:rPr>
          <w:rFonts w:ascii="宋体" w:hAnsi="宋体"/>
          <w:color w:val="auto"/>
          <w:sz w:val="24"/>
          <w:szCs w:val="24"/>
          <w:highlight w:val="none"/>
          <w:u w:val="single"/>
        </w:rPr>
        <w:t>(</w:t>
      </w:r>
      <w:r>
        <w:rPr>
          <w:rFonts w:hint="eastAsia" w:ascii="宋体" w:hAnsi="宋体"/>
          <w:color w:val="auto"/>
          <w:sz w:val="24"/>
          <w:szCs w:val="24"/>
          <w:highlight w:val="none"/>
          <w:u w:val="single"/>
        </w:rPr>
        <w:t>包括招标阶段设计院关于图纸问题的回复和变更</w:t>
      </w:r>
      <w:r>
        <w:rPr>
          <w:rFonts w:ascii="宋体" w:hAnsi="宋体"/>
          <w:color w:val="auto"/>
          <w:sz w:val="24"/>
          <w:szCs w:val="24"/>
          <w:highlight w:val="none"/>
          <w:u w:val="single"/>
        </w:rPr>
        <w:t>)</w:t>
      </w:r>
      <w:r>
        <w:rPr>
          <w:rFonts w:hint="eastAsia" w:ascii="宋体" w:hAnsi="宋体"/>
          <w:color w:val="auto"/>
          <w:sz w:val="24"/>
          <w:szCs w:val="24"/>
          <w:highlight w:val="none"/>
          <w:u w:val="single"/>
        </w:rPr>
        <w:t>；投标文件（包括澄清文件或承诺函件）；合同履行中，发包人承包人有关工程的洽商、变更等书面协议或文件视为本合同的组成部分</w:t>
      </w:r>
      <w:r>
        <w:rPr>
          <w:rFonts w:hint="eastAsia" w:ascii="宋体" w:hAnsi="宋体"/>
          <w:color w:val="auto"/>
          <w:sz w:val="24"/>
          <w:szCs w:val="24"/>
          <w:highlight w:val="none"/>
        </w:rPr>
        <w:t>。</w:t>
      </w:r>
    </w:p>
    <w:p w14:paraId="0393888C">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1.1.2</w:t>
      </w:r>
      <w:r>
        <w:rPr>
          <w:rFonts w:hint="eastAsia" w:ascii="宋体" w:hAnsi="宋体"/>
          <w:color w:val="auto"/>
          <w:sz w:val="24"/>
          <w:szCs w:val="24"/>
          <w:highlight w:val="none"/>
        </w:rPr>
        <w:t xml:space="preserve">  合同当事人及其他相关方</w:t>
      </w:r>
    </w:p>
    <w:p w14:paraId="30B3668D">
      <w:pPr>
        <w:spacing w:line="360" w:lineRule="auto"/>
        <w:rPr>
          <w:rFonts w:ascii="宋体" w:hAnsi="宋体"/>
          <w:color w:val="auto"/>
          <w:sz w:val="24"/>
          <w:szCs w:val="24"/>
          <w:highlight w:val="none"/>
        </w:rPr>
      </w:pPr>
      <w:r>
        <w:rPr>
          <w:rFonts w:ascii="宋体" w:hAnsi="宋体"/>
          <w:color w:val="auto"/>
          <w:sz w:val="24"/>
          <w:szCs w:val="24"/>
          <w:highlight w:val="none"/>
        </w:rPr>
        <w:t xml:space="preserve">    1.1.2.4</w:t>
      </w:r>
      <w:r>
        <w:rPr>
          <w:rFonts w:hint="eastAsia" w:ascii="宋体" w:hAnsi="宋体"/>
          <w:color w:val="auto"/>
          <w:sz w:val="24"/>
          <w:szCs w:val="24"/>
          <w:highlight w:val="none"/>
        </w:rPr>
        <w:t xml:space="preserve">  监理人：</w:t>
      </w:r>
    </w:p>
    <w:p w14:paraId="2F69495E">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名称：</w:t>
      </w:r>
      <w:r>
        <w:rPr>
          <w:rFonts w:hint="eastAsia" w:ascii="宋体" w:hAnsi="宋体" w:cs="MingLiU_HKSCS"/>
          <w:color w:val="auto"/>
          <w:sz w:val="24"/>
          <w:szCs w:val="24"/>
          <w:highlight w:val="none"/>
          <w:u w:val="single"/>
        </w:rPr>
        <w:t xml:space="preserve"> </w:t>
      </w:r>
      <w:r>
        <w:rPr>
          <w:rFonts w:hint="eastAsia" w:ascii="宋体" w:hAnsi="宋体" w:cs="MingLiU_HKSCS"/>
          <w:color w:val="auto"/>
          <w:sz w:val="24"/>
          <w:szCs w:val="24"/>
          <w:highlight w:val="none"/>
          <w:u w:val="single"/>
          <w:lang w:eastAsia="zh-CN"/>
        </w:rPr>
        <w:t>详见《监理合同》</w:t>
      </w:r>
      <w:r>
        <w:rPr>
          <w:rFonts w:hint="eastAsia" w:ascii="宋体" w:hAnsi="宋体" w:cs="MingLiU_HKSCS"/>
          <w:color w:val="auto"/>
          <w:sz w:val="24"/>
          <w:szCs w:val="24"/>
          <w:highlight w:val="none"/>
          <w:u w:val="single"/>
        </w:rPr>
        <w:t xml:space="preserve">  </w:t>
      </w:r>
      <w:r>
        <w:rPr>
          <w:rFonts w:hint="eastAsia" w:ascii="宋体" w:hAnsi="宋体"/>
          <w:color w:val="auto"/>
          <w:sz w:val="24"/>
          <w:szCs w:val="24"/>
          <w:highlight w:val="none"/>
        </w:rPr>
        <w:t>；</w:t>
      </w:r>
    </w:p>
    <w:p w14:paraId="1A2B7C92">
      <w:pPr>
        <w:spacing w:line="360" w:lineRule="auto"/>
        <w:rPr>
          <w:rFonts w:ascii="宋体" w:hAnsi="宋体"/>
          <w:color w:val="auto"/>
          <w:sz w:val="24"/>
          <w:szCs w:val="24"/>
          <w:highlight w:val="none"/>
        </w:rPr>
      </w:pPr>
      <w:r>
        <w:rPr>
          <w:rFonts w:ascii="宋体" w:hAnsi="宋体"/>
          <w:color w:val="auto"/>
          <w:sz w:val="24"/>
          <w:szCs w:val="24"/>
          <w:highlight w:val="none"/>
        </w:rPr>
        <w:t xml:space="preserve">    1.1.2.5</w:t>
      </w:r>
      <w:r>
        <w:rPr>
          <w:rFonts w:hint="eastAsia" w:ascii="宋体" w:hAnsi="宋体"/>
          <w:color w:val="auto"/>
          <w:sz w:val="24"/>
          <w:szCs w:val="24"/>
          <w:highlight w:val="none"/>
        </w:rPr>
        <w:t xml:space="preserve">  设计人：</w:t>
      </w:r>
    </w:p>
    <w:p w14:paraId="06092BC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名称：</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u w:val="single"/>
          <w:lang w:eastAsia="zh-CN"/>
        </w:rPr>
        <w:t>详见《设计合同》</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w:t>
      </w:r>
    </w:p>
    <w:p w14:paraId="04ADECD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1.3  </w:t>
      </w:r>
      <w:r>
        <w:rPr>
          <w:rFonts w:hint="eastAsia" w:ascii="宋体" w:hAnsi="宋体"/>
          <w:color w:val="auto"/>
          <w:sz w:val="24"/>
          <w:szCs w:val="24"/>
          <w:highlight w:val="none"/>
        </w:rPr>
        <w:t>法律</w:t>
      </w:r>
    </w:p>
    <w:p w14:paraId="096241F7">
      <w:pPr>
        <w:autoSpaceDE w:val="0"/>
        <w:autoSpaceDN w:val="0"/>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适用于合同的其他规范性文件：</w:t>
      </w:r>
      <w:r>
        <w:rPr>
          <w:rFonts w:hint="eastAsia" w:ascii="宋体" w:hAnsi="宋体"/>
          <w:color w:val="auto"/>
          <w:sz w:val="24"/>
          <w:szCs w:val="24"/>
          <w:highlight w:val="none"/>
          <w:u w:val="single"/>
        </w:rPr>
        <w:t>《中华人民共和国招标投标法》《中华人民共和国招标投标法实施条例》</w:t>
      </w:r>
      <w:r>
        <w:rPr>
          <w:rFonts w:hint="eastAsia" w:ascii="宋体" w:hAnsi="宋体"/>
          <w:color w:val="auto"/>
          <w:sz w:val="24"/>
          <w:szCs w:val="24"/>
          <w:highlight w:val="none"/>
          <w:u w:val="single"/>
          <w:lang w:eastAsia="zh-CN"/>
        </w:rPr>
        <w:t>《</w:t>
      </w:r>
      <w:r>
        <w:rPr>
          <w:rFonts w:hint="eastAsia" w:ascii="宋体" w:hAnsi="宋体"/>
          <w:color w:val="auto"/>
          <w:sz w:val="24"/>
          <w:szCs w:val="24"/>
          <w:highlight w:val="none"/>
          <w:u w:val="single"/>
        </w:rPr>
        <w:t>中华人民共和国</w:t>
      </w:r>
      <w:r>
        <w:rPr>
          <w:rFonts w:hint="eastAsia" w:ascii="宋体" w:hAnsi="宋体"/>
          <w:color w:val="auto"/>
          <w:sz w:val="24"/>
          <w:szCs w:val="24"/>
          <w:highlight w:val="none"/>
          <w:u w:val="single"/>
          <w:lang w:eastAsia="zh-CN"/>
        </w:rPr>
        <w:t>政府采购法》《</w:t>
      </w:r>
      <w:r>
        <w:rPr>
          <w:rFonts w:hint="eastAsia" w:ascii="宋体" w:hAnsi="宋体"/>
          <w:color w:val="auto"/>
          <w:sz w:val="24"/>
          <w:szCs w:val="24"/>
          <w:highlight w:val="none"/>
          <w:u w:val="single"/>
        </w:rPr>
        <w:t>中华人民共和国</w:t>
      </w:r>
      <w:r>
        <w:rPr>
          <w:rFonts w:hint="eastAsia" w:ascii="宋体" w:hAnsi="宋体"/>
          <w:color w:val="auto"/>
          <w:sz w:val="24"/>
          <w:szCs w:val="24"/>
          <w:highlight w:val="none"/>
          <w:u w:val="single"/>
          <w:lang w:eastAsia="zh-CN"/>
        </w:rPr>
        <w:t>政府采购法实施条例》</w:t>
      </w:r>
      <w:r>
        <w:rPr>
          <w:rFonts w:hint="eastAsia" w:ascii="宋体" w:hAnsi="宋体"/>
          <w:color w:val="auto"/>
          <w:sz w:val="24"/>
          <w:szCs w:val="24"/>
          <w:highlight w:val="none"/>
          <w:u w:val="single"/>
        </w:rPr>
        <w:t>《中华人民共和国民法典》《中华人民共和国建筑法》《建设工程质量管理条例》《建设工程施工发包与承包计价管理办法》及国家和地方相关法律法规</w:t>
      </w:r>
      <w:r>
        <w:rPr>
          <w:rFonts w:hint="eastAsia" w:ascii="宋体" w:hAnsi="宋体"/>
          <w:color w:val="auto"/>
          <w:sz w:val="24"/>
          <w:szCs w:val="24"/>
          <w:highlight w:val="none"/>
        </w:rPr>
        <w:t>。</w:t>
      </w:r>
    </w:p>
    <w:p w14:paraId="21B4B59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1.4  </w:t>
      </w:r>
      <w:r>
        <w:rPr>
          <w:rFonts w:hint="eastAsia" w:ascii="宋体" w:hAnsi="宋体"/>
          <w:color w:val="auto"/>
          <w:sz w:val="24"/>
          <w:szCs w:val="24"/>
          <w:highlight w:val="none"/>
        </w:rPr>
        <w:t>标准和规范</w:t>
      </w:r>
    </w:p>
    <w:p w14:paraId="0DD7B9C1">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1.4.1</w:t>
      </w:r>
      <w:r>
        <w:rPr>
          <w:rFonts w:hint="eastAsia" w:ascii="宋体" w:hAnsi="宋体"/>
          <w:color w:val="auto"/>
          <w:sz w:val="24"/>
          <w:szCs w:val="24"/>
          <w:highlight w:val="none"/>
        </w:rPr>
        <w:t xml:space="preserve">  适用于工程的标准规范包括：</w:t>
      </w:r>
      <w:r>
        <w:rPr>
          <w:rFonts w:hint="eastAsia" w:ascii="宋体" w:hAnsi="宋体"/>
          <w:color w:val="auto"/>
          <w:sz w:val="24"/>
          <w:szCs w:val="24"/>
          <w:highlight w:val="none"/>
          <w:u w:val="single"/>
        </w:rPr>
        <w:t>执行招标文件中所列标准、规范及国家建设部、内蒙古自治区现行有效的标准、规范，《工程建设标准强制性条文》（房屋建筑部分）以及设计文件所依据标准规范，明示，引用，套用的标准和规范，设计文件未明确的，适用现行国家或行业标准</w:t>
      </w:r>
      <w:r>
        <w:rPr>
          <w:rFonts w:ascii="宋体" w:hAnsi="宋体"/>
          <w:color w:val="auto"/>
          <w:sz w:val="24"/>
          <w:szCs w:val="24"/>
          <w:highlight w:val="none"/>
          <w:u w:val="single"/>
        </w:rPr>
        <w:t>(</w:t>
      </w:r>
      <w:r>
        <w:rPr>
          <w:rFonts w:hint="eastAsia" w:ascii="宋体" w:hAnsi="宋体"/>
          <w:color w:val="auto"/>
          <w:sz w:val="24"/>
          <w:szCs w:val="24"/>
          <w:highlight w:val="none"/>
          <w:u w:val="single"/>
        </w:rPr>
        <w:t>规范</w:t>
      </w:r>
      <w:r>
        <w:rPr>
          <w:rFonts w:ascii="宋体" w:hAnsi="宋体"/>
          <w:color w:val="auto"/>
          <w:sz w:val="24"/>
          <w:szCs w:val="24"/>
          <w:highlight w:val="none"/>
          <w:u w:val="single"/>
        </w:rPr>
        <w:t>)</w:t>
      </w:r>
      <w:r>
        <w:rPr>
          <w:rFonts w:hint="eastAsia" w:ascii="宋体" w:hAnsi="宋体"/>
          <w:color w:val="auto"/>
          <w:sz w:val="24"/>
          <w:szCs w:val="24"/>
          <w:highlight w:val="none"/>
          <w:u w:val="single"/>
        </w:rPr>
        <w:t>如遇国家实行新标准，则以新标准为准</w:t>
      </w:r>
      <w:r>
        <w:rPr>
          <w:rFonts w:hint="eastAsia" w:ascii="宋体" w:hAnsi="宋体"/>
          <w:color w:val="auto"/>
          <w:sz w:val="24"/>
          <w:szCs w:val="24"/>
          <w:highlight w:val="none"/>
        </w:rPr>
        <w:t>。</w:t>
      </w:r>
    </w:p>
    <w:p w14:paraId="0E685AA1">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1.4.2</w:t>
      </w:r>
      <w:r>
        <w:rPr>
          <w:rFonts w:hint="eastAsia" w:ascii="宋体" w:hAnsi="宋体"/>
          <w:color w:val="auto"/>
          <w:sz w:val="24"/>
          <w:szCs w:val="24"/>
          <w:highlight w:val="none"/>
        </w:rPr>
        <w:t xml:space="preserve">  发包人提供国外标准、规范的名称：</w:t>
      </w:r>
      <w:r>
        <w:rPr>
          <w:rFonts w:hint="eastAsia" w:ascii="宋体" w:hAnsi="宋体"/>
          <w:color w:val="auto"/>
          <w:sz w:val="24"/>
          <w:szCs w:val="24"/>
          <w:highlight w:val="none"/>
          <w:u w:val="single"/>
        </w:rPr>
        <w:t>无</w:t>
      </w:r>
      <w:r>
        <w:rPr>
          <w:rFonts w:hint="eastAsia" w:ascii="宋体" w:hAnsi="宋体"/>
          <w:color w:val="auto"/>
          <w:sz w:val="24"/>
          <w:szCs w:val="24"/>
          <w:highlight w:val="none"/>
        </w:rPr>
        <w:t>。</w:t>
      </w:r>
    </w:p>
    <w:p w14:paraId="0290CC8C">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发包人提供国外标准、规范的份数：</w:t>
      </w:r>
      <w:r>
        <w:rPr>
          <w:rFonts w:hint="eastAsia" w:ascii="宋体" w:hAnsi="宋体" w:cs="MingLiU_HKSCS"/>
          <w:color w:val="auto"/>
          <w:sz w:val="24"/>
          <w:szCs w:val="24"/>
          <w:highlight w:val="none"/>
          <w:u w:val="single"/>
        </w:rPr>
        <w:t xml:space="preserve">  </w:t>
      </w:r>
      <w:r>
        <w:rPr>
          <w:rFonts w:hint="eastAsia" w:ascii="宋体" w:hAnsi="宋体"/>
          <w:color w:val="auto"/>
          <w:sz w:val="24"/>
          <w:szCs w:val="24"/>
          <w:highlight w:val="none"/>
          <w:u w:val="single"/>
        </w:rPr>
        <w:t>无</w:t>
      </w:r>
      <w:r>
        <w:rPr>
          <w:rFonts w:hint="eastAsia" w:ascii="宋体" w:hAnsi="宋体" w:cs="MingLiU_HKSCS"/>
          <w:color w:val="auto"/>
          <w:sz w:val="24"/>
          <w:szCs w:val="24"/>
          <w:highlight w:val="none"/>
          <w:u w:val="single"/>
        </w:rPr>
        <w:t xml:space="preserve">   </w:t>
      </w:r>
      <w:r>
        <w:rPr>
          <w:rFonts w:hint="eastAsia" w:ascii="宋体" w:hAnsi="宋体"/>
          <w:color w:val="auto"/>
          <w:sz w:val="24"/>
          <w:szCs w:val="24"/>
          <w:highlight w:val="none"/>
        </w:rPr>
        <w:t>；</w:t>
      </w:r>
    </w:p>
    <w:p w14:paraId="0BF3C80B">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发包人提供国外标准、规范的名称：</w:t>
      </w:r>
      <w:r>
        <w:rPr>
          <w:rFonts w:hint="eastAsia" w:ascii="宋体" w:hAnsi="宋体" w:cs="MingLiU_HKSCS"/>
          <w:color w:val="auto"/>
          <w:sz w:val="24"/>
          <w:szCs w:val="24"/>
          <w:highlight w:val="none"/>
          <w:u w:val="single"/>
        </w:rPr>
        <w:t xml:space="preserve">  </w:t>
      </w:r>
      <w:r>
        <w:rPr>
          <w:rFonts w:hint="eastAsia" w:ascii="宋体" w:hAnsi="宋体"/>
          <w:color w:val="auto"/>
          <w:sz w:val="24"/>
          <w:szCs w:val="24"/>
          <w:highlight w:val="none"/>
          <w:u w:val="single"/>
        </w:rPr>
        <w:t>无</w:t>
      </w:r>
      <w:r>
        <w:rPr>
          <w:rFonts w:hint="eastAsia" w:ascii="宋体" w:hAnsi="宋体" w:cs="MingLiU_HKSCS"/>
          <w:color w:val="auto"/>
          <w:sz w:val="24"/>
          <w:szCs w:val="24"/>
          <w:highlight w:val="none"/>
          <w:u w:val="single"/>
        </w:rPr>
        <w:t xml:space="preserve">  </w:t>
      </w:r>
      <w:r>
        <w:rPr>
          <w:rFonts w:hint="eastAsia" w:ascii="宋体" w:hAnsi="宋体"/>
          <w:color w:val="auto"/>
          <w:sz w:val="24"/>
          <w:szCs w:val="24"/>
          <w:highlight w:val="none"/>
        </w:rPr>
        <w:t>。</w:t>
      </w:r>
    </w:p>
    <w:p w14:paraId="52B00021">
      <w:pPr>
        <w:spacing w:line="360" w:lineRule="auto"/>
        <w:rPr>
          <w:rFonts w:ascii="宋体" w:hAnsi="宋体"/>
          <w:color w:val="auto"/>
          <w:sz w:val="24"/>
          <w:szCs w:val="24"/>
          <w:highlight w:val="none"/>
        </w:rPr>
      </w:pPr>
      <w:r>
        <w:rPr>
          <w:rFonts w:ascii="宋体" w:hAnsi="宋体"/>
          <w:color w:val="auto"/>
          <w:sz w:val="24"/>
          <w:szCs w:val="24"/>
          <w:highlight w:val="none"/>
        </w:rPr>
        <w:t xml:space="preserve">    1.4.3</w:t>
      </w:r>
      <w:r>
        <w:rPr>
          <w:rFonts w:hint="eastAsia" w:ascii="宋体" w:hAnsi="宋体"/>
          <w:color w:val="auto"/>
          <w:sz w:val="24"/>
          <w:szCs w:val="24"/>
          <w:highlight w:val="none"/>
        </w:rPr>
        <w:t xml:space="preserve">  发包人对工程的技术标准和功能要求的特殊要求：</w:t>
      </w:r>
      <w:r>
        <w:rPr>
          <w:rFonts w:hint="eastAsia" w:ascii="宋体" w:hAnsi="宋体" w:cs="MingLiU_HKSCS"/>
          <w:color w:val="auto"/>
          <w:sz w:val="24"/>
          <w:szCs w:val="24"/>
          <w:highlight w:val="none"/>
          <w:u w:val="single"/>
        </w:rPr>
        <w:t xml:space="preserve"> 按发包人的要求执行 </w:t>
      </w:r>
      <w:r>
        <w:rPr>
          <w:rFonts w:hint="eastAsia" w:ascii="宋体" w:hAnsi="宋体"/>
          <w:color w:val="auto"/>
          <w:sz w:val="24"/>
          <w:szCs w:val="24"/>
          <w:highlight w:val="none"/>
        </w:rPr>
        <w:t>。</w:t>
      </w:r>
    </w:p>
    <w:p w14:paraId="64A3A7A3">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1.5  </w:t>
      </w:r>
      <w:r>
        <w:rPr>
          <w:rFonts w:hint="eastAsia" w:ascii="宋体" w:hAnsi="宋体"/>
          <w:color w:val="auto"/>
          <w:sz w:val="24"/>
          <w:szCs w:val="24"/>
          <w:highlight w:val="none"/>
        </w:rPr>
        <w:t>合同文件的优先顺序</w:t>
      </w:r>
    </w:p>
    <w:p w14:paraId="6C2455BC">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合同文件组成及优先顺序为：</w:t>
      </w:r>
    </w:p>
    <w:p w14:paraId="6EB827E3">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（1）合同协议书</w:t>
      </w:r>
    </w:p>
    <w:p w14:paraId="25C3FB9B">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（2）中标通知书；</w:t>
      </w:r>
    </w:p>
    <w:p w14:paraId="187332C6">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（3）投标函及其附录；</w:t>
      </w:r>
    </w:p>
    <w:p w14:paraId="7A3721E5">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（4）专用合同条款及其附件；</w:t>
      </w:r>
    </w:p>
    <w:p w14:paraId="7B02AF21">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（5）通用合同条款；</w:t>
      </w:r>
    </w:p>
    <w:p w14:paraId="60040951">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（6）标准规范及有关技术文件；</w:t>
      </w:r>
    </w:p>
    <w:p w14:paraId="1689DFB3">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（7）图纸</w:t>
      </w:r>
      <w:r>
        <w:rPr>
          <w:rFonts w:ascii="宋体" w:hAnsi="宋体"/>
          <w:color w:val="auto"/>
          <w:sz w:val="24"/>
          <w:szCs w:val="24"/>
          <w:highlight w:val="none"/>
        </w:rPr>
        <w:t>(</w:t>
      </w:r>
      <w:r>
        <w:rPr>
          <w:rFonts w:hint="eastAsia" w:ascii="宋体" w:hAnsi="宋体"/>
          <w:color w:val="auto"/>
          <w:sz w:val="24"/>
          <w:szCs w:val="24"/>
          <w:highlight w:val="none"/>
        </w:rPr>
        <w:t>包括招标阶段设计院关于图纸问题的回复和变更</w:t>
      </w:r>
      <w:r>
        <w:rPr>
          <w:rFonts w:ascii="宋体" w:hAnsi="宋体"/>
          <w:color w:val="auto"/>
          <w:sz w:val="24"/>
          <w:szCs w:val="24"/>
          <w:highlight w:val="none"/>
        </w:rPr>
        <w:t>)</w:t>
      </w:r>
      <w:r>
        <w:rPr>
          <w:rFonts w:hint="eastAsia" w:ascii="宋体" w:hAnsi="宋体"/>
          <w:color w:val="auto"/>
          <w:sz w:val="24"/>
          <w:szCs w:val="24"/>
          <w:highlight w:val="none"/>
        </w:rPr>
        <w:t>；</w:t>
      </w:r>
    </w:p>
    <w:p w14:paraId="50A89320">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（8）招标文件（包括补充和答疑文件）；</w:t>
      </w:r>
    </w:p>
    <w:p w14:paraId="2BB74E69">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（9）已标价工程量清单或预算书（包括澄清文件或承诺函件）；</w:t>
      </w:r>
    </w:p>
    <w:p w14:paraId="00DE4038">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（10）其他合同文件。</w:t>
      </w:r>
    </w:p>
    <w:p w14:paraId="769D3CA8">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图纸与技术标准和要求之间有矛盾或者不一致的，以其中要求较严格的标准为准。</w:t>
      </w:r>
    </w:p>
    <w:p w14:paraId="46E64AD5">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1.6  </w:t>
      </w:r>
      <w:r>
        <w:rPr>
          <w:rFonts w:hint="eastAsia" w:ascii="宋体" w:hAnsi="宋体"/>
          <w:color w:val="auto"/>
          <w:sz w:val="24"/>
          <w:szCs w:val="24"/>
          <w:highlight w:val="none"/>
        </w:rPr>
        <w:t>图纸和承包人文件</w:t>
      </w:r>
    </w:p>
    <w:p w14:paraId="72011B2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1.6.1</w:t>
      </w:r>
      <w:r>
        <w:rPr>
          <w:rFonts w:hint="eastAsia" w:ascii="宋体" w:hAnsi="宋体"/>
          <w:color w:val="auto"/>
          <w:sz w:val="24"/>
          <w:szCs w:val="24"/>
          <w:highlight w:val="none"/>
        </w:rPr>
        <w:t xml:space="preserve">  图纸的提供</w:t>
      </w:r>
    </w:p>
    <w:p w14:paraId="6DC39DE7">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发包人向承包人提供图纸的期限：</w:t>
      </w:r>
      <w:r>
        <w:rPr>
          <w:rFonts w:hint="eastAsia" w:ascii="宋体" w:hAnsi="宋体"/>
          <w:color w:val="auto"/>
          <w:sz w:val="24"/>
          <w:szCs w:val="24"/>
          <w:highlight w:val="none"/>
          <w:u w:val="single"/>
        </w:rPr>
        <w:t>发包人在工程开工前7日内向承包人提供图纸</w:t>
      </w:r>
      <w:r>
        <w:rPr>
          <w:rFonts w:hint="eastAsia" w:ascii="宋体" w:hAnsi="宋体"/>
          <w:color w:val="auto"/>
          <w:sz w:val="24"/>
          <w:szCs w:val="24"/>
          <w:highlight w:val="none"/>
        </w:rPr>
        <w:t>；</w:t>
      </w:r>
    </w:p>
    <w:p w14:paraId="0328A83B">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发包人向承包人提供图纸的数量：</w:t>
      </w:r>
      <w:r>
        <w:rPr>
          <w:rFonts w:hint="eastAsia" w:ascii="宋体" w:hAnsi="宋体"/>
          <w:color w:val="auto"/>
          <w:sz w:val="24"/>
          <w:szCs w:val="24"/>
          <w:highlight w:val="none"/>
          <w:u w:val="single"/>
        </w:rPr>
        <w:t>肆套，承包人需要增加图纸套数的，发包人可以代为复制，复制费用由承包人承担</w:t>
      </w:r>
      <w:r>
        <w:rPr>
          <w:rFonts w:hint="eastAsia" w:ascii="宋体" w:hAnsi="宋体"/>
          <w:color w:val="auto"/>
          <w:sz w:val="24"/>
          <w:szCs w:val="24"/>
          <w:highlight w:val="none"/>
        </w:rPr>
        <w:t>；</w:t>
      </w:r>
    </w:p>
    <w:p w14:paraId="1DA6A6B5">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发包人向承包人提供图纸的内容：</w:t>
      </w:r>
      <w:r>
        <w:rPr>
          <w:rFonts w:hint="eastAsia" w:ascii="宋体" w:hAnsi="宋体"/>
          <w:color w:val="auto"/>
          <w:sz w:val="24"/>
          <w:szCs w:val="24"/>
          <w:highlight w:val="none"/>
          <w:u w:val="single"/>
        </w:rPr>
        <w:t>全套施工图纸</w:t>
      </w:r>
      <w:r>
        <w:rPr>
          <w:rFonts w:hint="eastAsia" w:ascii="宋体" w:hAnsi="宋体"/>
          <w:color w:val="auto"/>
          <w:sz w:val="24"/>
          <w:szCs w:val="24"/>
          <w:highlight w:val="none"/>
        </w:rPr>
        <w:t>；</w:t>
      </w:r>
    </w:p>
    <w:p w14:paraId="532EA4E6">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若承包人认为发包人未能及时或按本合同的约定向承包人提供图纸、资料，承包人须在情形发生之日起2日内以书面形式向发包人提出履行要求；逾期，承包人未提出该等要求，则视为发包人已经完全按照本合同的约定履行前述该等义务；此后，承包人不得再以此为由向发包人主张任何责任或作为承包人未能如约履行本合同的任何抗辩理由。</w:t>
      </w:r>
    </w:p>
    <w:p w14:paraId="546B466C">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1.6.4</w:t>
      </w:r>
      <w:r>
        <w:rPr>
          <w:rFonts w:hint="eastAsia" w:ascii="宋体" w:hAnsi="宋体"/>
          <w:color w:val="auto"/>
          <w:sz w:val="24"/>
          <w:szCs w:val="24"/>
          <w:highlight w:val="none"/>
        </w:rPr>
        <w:t xml:space="preserve">  承包人文件</w:t>
      </w:r>
    </w:p>
    <w:p w14:paraId="7C57ABC4">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需要由承包人提供的文件，包括：</w:t>
      </w:r>
      <w:r>
        <w:rPr>
          <w:rFonts w:hint="eastAsia" w:ascii="宋体" w:hAnsi="宋体"/>
          <w:color w:val="auto"/>
          <w:sz w:val="24"/>
          <w:szCs w:val="24"/>
          <w:highlight w:val="none"/>
          <w:u w:val="single"/>
        </w:rPr>
        <w:t>但不限于</w:t>
      </w:r>
      <w:r>
        <w:rPr>
          <w:rFonts w:hint="eastAsia" w:ascii="宋体" w:hAnsi="宋体" w:cs="宋体"/>
          <w:color w:val="auto"/>
          <w:sz w:val="24"/>
          <w:szCs w:val="24"/>
          <w:highlight w:val="none"/>
          <w:u w:val="single"/>
        </w:rPr>
        <w:t>施工组织设计、工程进度产值报表、现场签证、</w:t>
      </w:r>
      <w:r>
        <w:rPr>
          <w:rFonts w:hint="eastAsia" w:ascii="宋体" w:hAnsi="宋体"/>
          <w:color w:val="auto"/>
          <w:sz w:val="24"/>
          <w:szCs w:val="24"/>
          <w:highlight w:val="none"/>
          <w:u w:val="single"/>
        </w:rPr>
        <w:t>竣工图、竣工资料、各分项工程中有需要深化的设计图，包括必要的加工图和大样图等。承包人应按照发包人在施工过程中要求的数量向监理人或参建单位需要提供的相关文件、承包人文件、变更以及其他根据合同收发的往来信函等</w:t>
      </w:r>
      <w:r>
        <w:rPr>
          <w:rFonts w:hint="eastAsia" w:ascii="宋体" w:hAnsi="宋体"/>
          <w:color w:val="auto"/>
          <w:sz w:val="24"/>
          <w:szCs w:val="24"/>
          <w:highlight w:val="none"/>
        </w:rPr>
        <w:t>；</w:t>
      </w:r>
    </w:p>
    <w:p w14:paraId="6EC4EE5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u w:val="single"/>
        </w:rPr>
        <w:t>本项约定应由承包人提供的文件，经发包人确认后可作为合同计量与支付的依据文件</w:t>
      </w:r>
      <w:r>
        <w:rPr>
          <w:rFonts w:hint="eastAsia" w:ascii="宋体" w:hAnsi="宋体"/>
          <w:color w:val="auto"/>
          <w:sz w:val="24"/>
          <w:szCs w:val="24"/>
          <w:highlight w:val="none"/>
        </w:rPr>
        <w:t>。</w:t>
      </w:r>
    </w:p>
    <w:p w14:paraId="7850A0A6">
      <w:pPr>
        <w:spacing w:line="360" w:lineRule="auto"/>
        <w:ind w:firstLine="480" w:firstLineChars="200"/>
        <w:rPr>
          <w:rFonts w:hint="eastAsia" w:ascii="宋体" w:hAnsi="宋体" w:cs="宋体"/>
          <w:color w:val="auto"/>
          <w:sz w:val="24"/>
          <w:szCs w:val="24"/>
          <w:highlight w:val="none"/>
          <w:u w:val="single"/>
        </w:rPr>
      </w:pPr>
      <w:r>
        <w:rPr>
          <w:rFonts w:hint="eastAsia" w:ascii="宋体" w:hAnsi="宋体"/>
          <w:color w:val="auto"/>
          <w:sz w:val="24"/>
          <w:szCs w:val="24"/>
          <w:highlight w:val="none"/>
        </w:rPr>
        <w:t>承包人提供的文件的期限为：</w:t>
      </w:r>
      <w:r>
        <w:rPr>
          <w:rFonts w:hint="eastAsia" w:ascii="宋体" w:hAnsi="宋体" w:cs="宋体"/>
          <w:color w:val="auto"/>
          <w:sz w:val="24"/>
          <w:szCs w:val="24"/>
          <w:highlight w:val="none"/>
          <w:u w:val="single"/>
        </w:rPr>
        <w:t>施工组织设计在合同签订后7日内需经监理单位审核后报发包人审批，审批通过后方可施工。进度产值报表每月3日上报发包人，现场签证在工程变更前7天承包人将变更联系单送达发包人；竣工图要在竣工前15日内向发包人提供；承包人需在签订合同后30天内将需要深化项目的设计图纸完善</w:t>
      </w:r>
      <w:r>
        <w:rPr>
          <w:rFonts w:hint="eastAsia" w:ascii="宋体" w:hAnsi="宋体" w:cs="宋体"/>
          <w:color w:val="auto"/>
          <w:sz w:val="24"/>
          <w:szCs w:val="24"/>
          <w:highlight w:val="none"/>
          <w:u w:val="single"/>
          <w:lang w:eastAsia="zh-CN"/>
        </w:rPr>
        <w:t>，</w:t>
      </w:r>
      <w:r>
        <w:rPr>
          <w:rFonts w:hint="eastAsia" w:ascii="宋体" w:hAnsi="宋体" w:cs="宋体"/>
          <w:color w:val="auto"/>
          <w:sz w:val="24"/>
          <w:szCs w:val="24"/>
          <w:highlight w:val="none"/>
          <w:u w:val="single"/>
        </w:rPr>
        <w:t>其设计费用已纳入合同价。</w:t>
      </w:r>
    </w:p>
    <w:p w14:paraId="00F7A77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承包人提供的文件的数量为：</w:t>
      </w:r>
      <w:r>
        <w:rPr>
          <w:rFonts w:hint="eastAsia" w:ascii="宋体" w:hAnsi="宋体"/>
          <w:color w:val="auto"/>
          <w:sz w:val="24"/>
          <w:szCs w:val="24"/>
          <w:highlight w:val="none"/>
          <w:u w:val="single"/>
        </w:rPr>
        <w:t>竣工图纸提供4套蓝图；各分项工程中有需要深化的设计图至少向发包人提供8套蓝图（装订成A4图册）及电子版，其他按发包人现场要求提供</w:t>
      </w:r>
      <w:r>
        <w:rPr>
          <w:rFonts w:hint="eastAsia" w:ascii="宋体" w:hAnsi="宋体"/>
          <w:color w:val="auto"/>
          <w:sz w:val="24"/>
          <w:szCs w:val="24"/>
          <w:highlight w:val="none"/>
        </w:rPr>
        <w:t>；</w:t>
      </w:r>
    </w:p>
    <w:p w14:paraId="61DC18C7">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承包人提供的文件的形式为：</w:t>
      </w:r>
      <w:r>
        <w:rPr>
          <w:rFonts w:hint="eastAsia" w:ascii="宋体" w:hAnsi="宋体"/>
          <w:color w:val="auto"/>
          <w:sz w:val="24"/>
          <w:szCs w:val="24"/>
          <w:highlight w:val="none"/>
          <w:u w:val="single"/>
        </w:rPr>
        <w:t>按发包人要求执行</w:t>
      </w:r>
      <w:r>
        <w:rPr>
          <w:rFonts w:hint="eastAsia" w:ascii="宋体" w:hAnsi="宋体"/>
          <w:color w:val="auto"/>
          <w:sz w:val="24"/>
          <w:szCs w:val="24"/>
          <w:highlight w:val="none"/>
        </w:rPr>
        <w:t>；</w:t>
      </w:r>
    </w:p>
    <w:p w14:paraId="051AE8E5">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发包人审批承包人文件的期限：</w:t>
      </w:r>
      <w:r>
        <w:rPr>
          <w:rFonts w:hint="eastAsia" w:ascii="宋体" w:hAnsi="宋体"/>
          <w:color w:val="auto"/>
          <w:sz w:val="24"/>
          <w:szCs w:val="24"/>
          <w:highlight w:val="none"/>
          <w:u w:val="single"/>
        </w:rPr>
        <w:t>按发包人要求执行</w:t>
      </w:r>
      <w:r>
        <w:rPr>
          <w:rFonts w:hint="eastAsia" w:ascii="宋体" w:hAnsi="宋体"/>
          <w:color w:val="auto"/>
          <w:sz w:val="24"/>
          <w:szCs w:val="24"/>
          <w:highlight w:val="none"/>
        </w:rPr>
        <w:t>。</w:t>
      </w:r>
    </w:p>
    <w:p w14:paraId="2FBD9DE5">
      <w:pPr>
        <w:spacing w:line="360" w:lineRule="auto"/>
        <w:ind w:left="239" w:leftChars="114" w:firstLine="240" w:firstLineChars="100"/>
        <w:rPr>
          <w:rFonts w:ascii="宋体" w:hAnsi="宋体"/>
          <w:b/>
          <w:bCs/>
          <w:color w:val="auto"/>
          <w:sz w:val="24"/>
          <w:szCs w:val="24"/>
          <w:highlight w:val="none"/>
          <w:u w:val="single"/>
        </w:rPr>
      </w:pPr>
      <w:r>
        <w:rPr>
          <w:rFonts w:hint="eastAsia" w:ascii="宋体" w:hAnsi="宋体"/>
          <w:color w:val="auto"/>
          <w:sz w:val="24"/>
          <w:szCs w:val="24"/>
          <w:highlight w:val="none"/>
        </w:rPr>
        <w:t>其他约定：</w:t>
      </w:r>
      <w:r>
        <w:rPr>
          <w:rFonts w:hint="eastAsia" w:ascii="宋体" w:hAnsi="宋体"/>
          <w:color w:val="auto"/>
          <w:sz w:val="24"/>
          <w:szCs w:val="24"/>
          <w:highlight w:val="none"/>
          <w:u w:val="single"/>
        </w:rPr>
        <w:t>各分项工程中有需要深化的设计图必须委托有资质的单位设计且必须经过本工程的总设计方及发包方审核签字后方可用于施工，并作为结算依据。</w:t>
      </w:r>
      <w:r>
        <w:rPr>
          <w:rFonts w:hint="eastAsia" w:ascii="宋体" w:hAnsi="宋体"/>
          <w:b/>
          <w:bCs/>
          <w:color w:val="auto"/>
          <w:sz w:val="24"/>
          <w:szCs w:val="24"/>
          <w:highlight w:val="none"/>
          <w:u w:val="single"/>
        </w:rPr>
        <w:t>承包人必须在工程实施前核对各专业图纸，如按单一专业图纸施工，造成返工的费用全部由承包人承担。对较重大的问题一次性提出，如今后仍有较大问题</w:t>
      </w:r>
      <w:r>
        <w:rPr>
          <w:rFonts w:hint="eastAsia" w:ascii="宋体" w:hAnsi="宋体"/>
          <w:b/>
          <w:bCs/>
          <w:color w:val="auto"/>
          <w:sz w:val="24"/>
          <w:szCs w:val="24"/>
          <w:highlight w:val="none"/>
          <w:u w:val="single"/>
          <w:lang w:eastAsia="zh-CN"/>
        </w:rPr>
        <w:t>发包人</w:t>
      </w:r>
      <w:r>
        <w:rPr>
          <w:rFonts w:hint="eastAsia" w:ascii="宋体" w:hAnsi="宋体"/>
          <w:b/>
          <w:bCs/>
          <w:color w:val="auto"/>
          <w:sz w:val="24"/>
          <w:szCs w:val="24"/>
          <w:highlight w:val="none"/>
          <w:u w:val="single"/>
        </w:rPr>
        <w:t>不再组织图纸交底，由</w:t>
      </w:r>
      <w:r>
        <w:rPr>
          <w:rFonts w:hint="eastAsia" w:ascii="宋体" w:hAnsi="宋体"/>
          <w:b/>
          <w:bCs/>
          <w:color w:val="auto"/>
          <w:sz w:val="24"/>
          <w:szCs w:val="24"/>
          <w:highlight w:val="none"/>
          <w:u w:val="single"/>
          <w:lang w:eastAsia="zh-CN"/>
        </w:rPr>
        <w:t>承包人</w:t>
      </w:r>
      <w:r>
        <w:rPr>
          <w:rFonts w:hint="eastAsia" w:ascii="宋体" w:hAnsi="宋体"/>
          <w:b/>
          <w:bCs/>
          <w:color w:val="auto"/>
          <w:sz w:val="24"/>
          <w:szCs w:val="24"/>
          <w:highlight w:val="none"/>
          <w:u w:val="single"/>
        </w:rPr>
        <w:t>自行组织解决。</w:t>
      </w:r>
    </w:p>
    <w:p w14:paraId="2891F0DD">
      <w:pPr>
        <w:spacing w:line="360" w:lineRule="auto"/>
        <w:ind w:firstLine="482" w:firstLineChars="200"/>
        <w:rPr>
          <w:rFonts w:ascii="宋体" w:hAnsi="宋体"/>
          <w:b/>
          <w:bCs/>
          <w:color w:val="auto"/>
          <w:sz w:val="24"/>
          <w:szCs w:val="24"/>
          <w:highlight w:val="none"/>
        </w:rPr>
      </w:pPr>
      <w:r>
        <w:rPr>
          <w:rFonts w:hint="eastAsia" w:ascii="宋体" w:hAnsi="宋体"/>
          <w:b/>
          <w:bCs/>
          <w:color w:val="auto"/>
          <w:sz w:val="24"/>
          <w:szCs w:val="24"/>
          <w:highlight w:val="none"/>
        </w:rPr>
        <w:t>以上描述未说明的部分一律按照发包人的要求执行。</w:t>
      </w:r>
    </w:p>
    <w:p w14:paraId="5F87A68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1.6.5</w:t>
      </w:r>
      <w:r>
        <w:rPr>
          <w:rFonts w:hint="eastAsia" w:ascii="宋体" w:hAnsi="宋体"/>
          <w:color w:val="auto"/>
          <w:sz w:val="24"/>
          <w:szCs w:val="24"/>
          <w:highlight w:val="none"/>
        </w:rPr>
        <w:t xml:space="preserve">  现场图纸准备</w:t>
      </w:r>
    </w:p>
    <w:p w14:paraId="1DB2CBFE">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关于现场图纸准备的约定：</w:t>
      </w:r>
      <w:r>
        <w:rPr>
          <w:rFonts w:hint="eastAsia" w:ascii="宋体" w:hAnsi="宋体"/>
          <w:color w:val="auto"/>
          <w:sz w:val="24"/>
          <w:szCs w:val="24"/>
          <w:highlight w:val="none"/>
          <w:u w:val="single"/>
        </w:rPr>
        <w:t>承包人应在施工现场另外保存一套完整的图纸和承包人文件，供发包人、监理人及有关人员进行工程检查时使用。</w:t>
      </w:r>
    </w:p>
    <w:p w14:paraId="40BDBAB0">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1.7  </w:t>
      </w:r>
      <w:r>
        <w:rPr>
          <w:rFonts w:hint="eastAsia" w:ascii="宋体" w:hAnsi="宋体"/>
          <w:color w:val="auto"/>
          <w:sz w:val="24"/>
          <w:szCs w:val="24"/>
          <w:highlight w:val="none"/>
        </w:rPr>
        <w:t>联络</w:t>
      </w:r>
    </w:p>
    <w:p w14:paraId="53B8ED04">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1.7.1</w:t>
      </w:r>
      <w:r>
        <w:rPr>
          <w:rFonts w:hint="eastAsia" w:ascii="宋体" w:hAnsi="宋体"/>
          <w:color w:val="auto"/>
          <w:sz w:val="24"/>
          <w:szCs w:val="24"/>
          <w:highlight w:val="none"/>
        </w:rPr>
        <w:t xml:space="preserve">  发包人和承包人应当在</w:t>
      </w:r>
      <w:r>
        <w:rPr>
          <w:rFonts w:hint="eastAsia" w:ascii="宋体" w:hAnsi="宋体"/>
          <w:color w:val="auto"/>
          <w:sz w:val="24"/>
          <w:szCs w:val="24"/>
          <w:highlight w:val="none"/>
          <w:u w:val="single"/>
        </w:rPr>
        <w:t>14</w:t>
      </w:r>
      <w:r>
        <w:rPr>
          <w:rFonts w:hint="eastAsia" w:ascii="宋体" w:hAnsi="宋体"/>
          <w:color w:val="auto"/>
          <w:sz w:val="24"/>
          <w:szCs w:val="24"/>
          <w:highlight w:val="none"/>
        </w:rPr>
        <w:t>天内将与合同有关的通知、批准、证明、证书、指示、指令、要求、请求、同意、意见、确定和决定等书面函件送达对方当事人。</w:t>
      </w:r>
    </w:p>
    <w:p w14:paraId="3A5E23B9">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1.7.2</w:t>
      </w:r>
      <w:r>
        <w:rPr>
          <w:rFonts w:hint="eastAsia" w:ascii="宋体" w:hAnsi="宋体"/>
          <w:color w:val="auto"/>
          <w:sz w:val="24"/>
          <w:szCs w:val="24"/>
          <w:highlight w:val="none"/>
        </w:rPr>
        <w:t xml:space="preserve">  发包人接收文件的地点：</w:t>
      </w:r>
      <w:r>
        <w:rPr>
          <w:rFonts w:hint="eastAsia" w:ascii="宋体" w:hAnsi="宋体"/>
          <w:color w:val="auto"/>
          <w:sz w:val="24"/>
          <w:szCs w:val="24"/>
          <w:highlight w:val="none"/>
          <w:u w:val="single"/>
        </w:rPr>
        <w:t>鄂尔多斯市康巴什区鄂尔多斯市政府投资项目代建中心办公楼</w:t>
      </w:r>
      <w:r>
        <w:rPr>
          <w:rFonts w:hint="eastAsia" w:ascii="宋体" w:hAnsi="宋体"/>
          <w:color w:val="auto"/>
          <w:sz w:val="24"/>
          <w:szCs w:val="24"/>
          <w:highlight w:val="none"/>
        </w:rPr>
        <w:t>；</w:t>
      </w:r>
    </w:p>
    <w:p w14:paraId="3F2EBA47">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发包人指定的接收人为：</w:t>
      </w:r>
      <w:r>
        <w:rPr>
          <w:rFonts w:hint="eastAsia" w:ascii="宋体" w:hAnsi="宋体" w:cs="MingLiU_HKSCS"/>
          <w:color w:val="auto"/>
          <w:sz w:val="24"/>
          <w:szCs w:val="24"/>
          <w:highlight w:val="none"/>
          <w:u w:val="single"/>
        </w:rPr>
        <w:t xml:space="preserve"> </w:t>
      </w:r>
      <w:r>
        <w:rPr>
          <w:rFonts w:hint="eastAsia" w:ascii="宋体" w:hAnsi="宋体" w:cs="MingLiU_HKSCS"/>
          <w:color w:val="auto"/>
          <w:sz w:val="24"/>
          <w:szCs w:val="24"/>
          <w:highlight w:val="none"/>
          <w:u w:val="single"/>
          <w:lang w:val="en-US" w:eastAsia="zh-CN"/>
        </w:rPr>
        <w:t>王时铭</w:t>
      </w:r>
      <w:r>
        <w:rPr>
          <w:rFonts w:hint="eastAsia" w:ascii="宋体" w:hAnsi="宋体"/>
          <w:color w:val="auto"/>
          <w:sz w:val="24"/>
          <w:szCs w:val="24"/>
          <w:highlight w:val="none"/>
        </w:rPr>
        <w:t>；</w:t>
      </w:r>
    </w:p>
    <w:p w14:paraId="19DE0012">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承包人接收文件的地点：</w:t>
      </w:r>
      <w:r>
        <w:rPr>
          <w:rFonts w:hint="eastAsia" w:ascii="宋体" w:hAnsi="宋体"/>
          <w:color w:val="auto"/>
          <w:sz w:val="24"/>
          <w:szCs w:val="24"/>
          <w:highlight w:val="none"/>
          <w:u w:val="single"/>
        </w:rPr>
        <w:t>施工现场承包人办公地点</w:t>
      </w:r>
      <w:r>
        <w:rPr>
          <w:rFonts w:hint="eastAsia" w:ascii="宋体" w:hAnsi="宋体"/>
          <w:color w:val="auto"/>
          <w:sz w:val="24"/>
          <w:szCs w:val="24"/>
          <w:highlight w:val="none"/>
        </w:rPr>
        <w:t>；</w:t>
      </w:r>
    </w:p>
    <w:p w14:paraId="7D4D558D">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承包人指定的接收人为：</w:t>
      </w:r>
      <w:r>
        <w:rPr>
          <w:rFonts w:hint="eastAsia" w:ascii="宋体" w:hAnsi="宋体"/>
          <w:color w:val="auto"/>
          <w:sz w:val="24"/>
          <w:szCs w:val="24"/>
          <w:highlight w:val="none"/>
          <w:u w:val="single"/>
        </w:rPr>
        <w:t>合同协议书中载明的承包人项目经理本人</w:t>
      </w:r>
      <w:r>
        <w:rPr>
          <w:rFonts w:hint="eastAsia" w:ascii="宋体" w:hAnsi="宋体"/>
          <w:color w:val="auto"/>
          <w:sz w:val="24"/>
          <w:szCs w:val="24"/>
          <w:highlight w:val="none"/>
        </w:rPr>
        <w:t>；</w:t>
      </w:r>
    </w:p>
    <w:p w14:paraId="263F9C95">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监理人接收文件的地点：</w:t>
      </w:r>
      <w:r>
        <w:rPr>
          <w:rFonts w:hint="eastAsia" w:ascii="宋体" w:hAnsi="宋体"/>
          <w:color w:val="auto"/>
          <w:sz w:val="24"/>
          <w:szCs w:val="24"/>
          <w:highlight w:val="none"/>
          <w:u w:val="single"/>
        </w:rPr>
        <w:t>工地现场监理办公室</w:t>
      </w:r>
      <w:r>
        <w:rPr>
          <w:rFonts w:hint="eastAsia" w:ascii="宋体" w:hAnsi="宋体"/>
          <w:color w:val="auto"/>
          <w:sz w:val="24"/>
          <w:szCs w:val="24"/>
          <w:highlight w:val="none"/>
        </w:rPr>
        <w:t>；</w:t>
      </w:r>
    </w:p>
    <w:p w14:paraId="500793E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监理人指定的接收人为：</w:t>
      </w:r>
      <w:r>
        <w:rPr>
          <w:rFonts w:hint="eastAsia" w:ascii="宋体" w:hAnsi="宋体"/>
          <w:color w:val="auto"/>
          <w:sz w:val="24"/>
          <w:szCs w:val="24"/>
          <w:highlight w:val="none"/>
          <w:u w:val="single"/>
        </w:rPr>
        <w:t>总监理工程师</w:t>
      </w:r>
      <w:r>
        <w:rPr>
          <w:rFonts w:hint="eastAsia" w:ascii="宋体" w:hAnsi="宋体"/>
          <w:color w:val="auto"/>
          <w:sz w:val="24"/>
          <w:szCs w:val="24"/>
          <w:highlight w:val="none"/>
        </w:rPr>
        <w:t>。</w:t>
      </w:r>
    </w:p>
    <w:p w14:paraId="7A030F57">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1.7.3 承包人应当确保其指定的接收人在法定的和(或)符合合同约定的工作时间内始终工作在指定的接收地点，指定接收人离开工作岗位而无法及时签收来往信函构成拒不签收。</w:t>
      </w:r>
    </w:p>
    <w:p w14:paraId="18D606DD">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应当及时签收发包人或监理人送达其指定接收地点的来往信函，拒不签收的，送达信函的一方可以采用挂号或者公证方式送达，由此所造成的直接的和间接的费用增加(包括被迫采用特殊送达方式所发生的费用)和(或)延误的工期由承包人承担。</w:t>
      </w:r>
    </w:p>
    <w:p w14:paraId="22DDD7DC">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1.10  </w:t>
      </w:r>
      <w:r>
        <w:rPr>
          <w:rFonts w:hint="eastAsia" w:ascii="宋体" w:hAnsi="宋体"/>
          <w:color w:val="auto"/>
          <w:sz w:val="24"/>
          <w:szCs w:val="24"/>
          <w:highlight w:val="none"/>
        </w:rPr>
        <w:t>交通运输</w:t>
      </w:r>
    </w:p>
    <w:p w14:paraId="0B80E4D4">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1.10.1</w:t>
      </w:r>
      <w:r>
        <w:rPr>
          <w:rFonts w:hint="eastAsia" w:ascii="宋体" w:hAnsi="宋体"/>
          <w:color w:val="auto"/>
          <w:sz w:val="24"/>
          <w:szCs w:val="24"/>
          <w:highlight w:val="none"/>
        </w:rPr>
        <w:t xml:space="preserve">  出入现场的权利</w:t>
      </w:r>
    </w:p>
    <w:p w14:paraId="37DADDE1">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关于出入现场的权利的约定：</w:t>
      </w:r>
      <w:r>
        <w:rPr>
          <w:rFonts w:hint="eastAsia" w:ascii="宋体" w:hAnsi="宋体"/>
          <w:color w:val="auto"/>
          <w:sz w:val="24"/>
          <w:szCs w:val="24"/>
          <w:highlight w:val="none"/>
          <w:u w:val="single"/>
        </w:rPr>
        <w:t>执行通用条款</w:t>
      </w:r>
      <w:r>
        <w:rPr>
          <w:rFonts w:hint="eastAsia" w:ascii="宋体" w:hAnsi="宋体"/>
          <w:color w:val="auto"/>
          <w:sz w:val="24"/>
          <w:szCs w:val="24"/>
          <w:highlight w:val="none"/>
        </w:rPr>
        <w:t>。</w:t>
      </w:r>
    </w:p>
    <w:p w14:paraId="72B9443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1.10.3</w:t>
      </w:r>
      <w:r>
        <w:rPr>
          <w:rFonts w:hint="eastAsia" w:ascii="宋体" w:hAnsi="宋体"/>
          <w:color w:val="auto"/>
          <w:sz w:val="24"/>
          <w:szCs w:val="24"/>
          <w:highlight w:val="none"/>
        </w:rPr>
        <w:t xml:space="preserve">  场内交通</w:t>
      </w:r>
    </w:p>
    <w:p w14:paraId="5F1FD15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施工所需的场内临时道路和交通设施的修建、维护、养护和管理人：</w:t>
      </w:r>
      <w:r>
        <w:rPr>
          <w:rFonts w:hint="eastAsia" w:ascii="宋体" w:hAnsi="宋体"/>
          <w:color w:val="auto"/>
          <w:sz w:val="24"/>
          <w:szCs w:val="24"/>
          <w:highlight w:val="none"/>
          <w:u w:val="single"/>
        </w:rPr>
        <w:t xml:space="preserve"> 承包人 </w:t>
      </w:r>
      <w:r>
        <w:rPr>
          <w:rFonts w:hint="eastAsia" w:ascii="宋体" w:hAnsi="宋体"/>
          <w:color w:val="auto"/>
          <w:sz w:val="24"/>
          <w:szCs w:val="24"/>
          <w:highlight w:val="none"/>
        </w:rPr>
        <w:t>，相关费用由</w:t>
      </w:r>
      <w:r>
        <w:rPr>
          <w:rFonts w:hint="eastAsia" w:ascii="宋体" w:hAnsi="宋体"/>
          <w:color w:val="auto"/>
          <w:sz w:val="24"/>
          <w:szCs w:val="24"/>
          <w:highlight w:val="none"/>
          <w:u w:val="single"/>
        </w:rPr>
        <w:t xml:space="preserve">  承包人  </w:t>
      </w:r>
      <w:r>
        <w:rPr>
          <w:rFonts w:hint="eastAsia" w:ascii="宋体" w:hAnsi="宋体"/>
          <w:color w:val="auto"/>
          <w:sz w:val="24"/>
          <w:szCs w:val="24"/>
          <w:highlight w:val="none"/>
        </w:rPr>
        <w:t>承担。</w:t>
      </w:r>
    </w:p>
    <w:p w14:paraId="697F7A12">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发包人和监理人有权无偿使用承包人修建的临时道路和交通设施，不需要交纳任何费用。</w:t>
      </w:r>
    </w:p>
    <w:p w14:paraId="39EECED1">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关于场外交通和场内交通的边界的约定：</w:t>
      </w:r>
      <w:r>
        <w:rPr>
          <w:rFonts w:hint="eastAsia" w:ascii="宋体" w:hAnsi="宋体"/>
          <w:color w:val="auto"/>
          <w:sz w:val="24"/>
          <w:szCs w:val="24"/>
          <w:highlight w:val="none"/>
          <w:u w:val="single"/>
        </w:rPr>
        <w:t>以</w:t>
      </w:r>
      <w:r>
        <w:rPr>
          <w:rFonts w:hint="eastAsia" w:ascii="宋体" w:hAnsi="宋体"/>
          <w:color w:val="auto"/>
          <w:sz w:val="24"/>
          <w:szCs w:val="24"/>
          <w:highlight w:val="none"/>
          <w:u w:val="single"/>
          <w:lang w:val="en-US" w:eastAsia="zh-CN"/>
        </w:rPr>
        <w:t>用地红线</w:t>
      </w:r>
      <w:r>
        <w:rPr>
          <w:rFonts w:hint="eastAsia" w:ascii="宋体" w:hAnsi="宋体"/>
          <w:color w:val="auto"/>
          <w:sz w:val="24"/>
          <w:szCs w:val="24"/>
          <w:highlight w:val="none"/>
          <w:u w:val="single"/>
        </w:rPr>
        <w:t>为界，</w:t>
      </w:r>
      <w:r>
        <w:rPr>
          <w:rFonts w:hint="eastAsia" w:ascii="宋体" w:hAnsi="宋体"/>
          <w:color w:val="auto"/>
          <w:sz w:val="24"/>
          <w:szCs w:val="24"/>
          <w:highlight w:val="none"/>
          <w:u w:val="single"/>
          <w:lang w:val="en-US" w:eastAsia="zh-CN"/>
        </w:rPr>
        <w:t>红线</w:t>
      </w:r>
      <w:r>
        <w:rPr>
          <w:rFonts w:hint="eastAsia" w:ascii="宋体" w:hAnsi="宋体"/>
          <w:color w:val="auto"/>
          <w:sz w:val="24"/>
          <w:szCs w:val="24"/>
          <w:highlight w:val="none"/>
          <w:u w:val="single"/>
        </w:rPr>
        <w:t>以内为场内，</w:t>
      </w:r>
      <w:r>
        <w:rPr>
          <w:rFonts w:hint="eastAsia" w:ascii="宋体" w:hAnsi="宋体"/>
          <w:color w:val="auto"/>
          <w:sz w:val="24"/>
          <w:szCs w:val="24"/>
          <w:highlight w:val="none"/>
          <w:u w:val="single"/>
          <w:lang w:val="en-US" w:eastAsia="zh-CN"/>
        </w:rPr>
        <w:t>红线</w:t>
      </w:r>
      <w:r>
        <w:rPr>
          <w:rFonts w:hint="eastAsia" w:ascii="宋体" w:hAnsi="宋体"/>
          <w:color w:val="auto"/>
          <w:sz w:val="24"/>
          <w:szCs w:val="24"/>
          <w:highlight w:val="none"/>
          <w:u w:val="single"/>
        </w:rPr>
        <w:t>以外为场外，由承包人解决</w:t>
      </w:r>
      <w:r>
        <w:rPr>
          <w:rFonts w:hint="eastAsia" w:ascii="宋体" w:hAnsi="宋体"/>
          <w:color w:val="auto"/>
          <w:sz w:val="24"/>
          <w:szCs w:val="24"/>
          <w:highlight w:val="none"/>
        </w:rPr>
        <w:t>。</w:t>
      </w:r>
    </w:p>
    <w:p w14:paraId="0A4DC277">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关于发包人向承包人免费提供满足工程施工需要的场内道路和交通设施的约定：</w:t>
      </w:r>
      <w:r>
        <w:rPr>
          <w:rFonts w:hint="eastAsia" w:ascii="宋体" w:hAnsi="宋体"/>
          <w:color w:val="auto"/>
          <w:sz w:val="24"/>
          <w:szCs w:val="24"/>
          <w:highlight w:val="none"/>
          <w:u w:val="single"/>
        </w:rPr>
        <w:t>无</w:t>
      </w:r>
      <w:r>
        <w:rPr>
          <w:rFonts w:hint="eastAsia" w:ascii="宋体" w:hAnsi="宋体"/>
          <w:color w:val="auto"/>
          <w:sz w:val="24"/>
          <w:szCs w:val="24"/>
          <w:highlight w:val="none"/>
        </w:rPr>
        <w:t>。</w:t>
      </w:r>
    </w:p>
    <w:p w14:paraId="5C8714BD">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1.10.4</w:t>
      </w:r>
      <w:r>
        <w:rPr>
          <w:rFonts w:hint="eastAsia" w:ascii="宋体" w:hAnsi="宋体"/>
          <w:color w:val="auto"/>
          <w:sz w:val="24"/>
          <w:szCs w:val="24"/>
          <w:highlight w:val="none"/>
        </w:rPr>
        <w:t xml:space="preserve">  超大件和超重件的运输</w:t>
      </w:r>
    </w:p>
    <w:p w14:paraId="6EEFAD02">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运输超大件或超重件所需的道路和桥梁临时加固改造费用和其他有关费用由</w:t>
      </w:r>
      <w:r>
        <w:rPr>
          <w:rFonts w:hint="eastAsia" w:ascii="宋体" w:hAnsi="宋体"/>
          <w:color w:val="auto"/>
          <w:sz w:val="24"/>
          <w:szCs w:val="24"/>
          <w:highlight w:val="none"/>
          <w:u w:val="single"/>
        </w:rPr>
        <w:t>承包人</w:t>
      </w:r>
      <w:r>
        <w:rPr>
          <w:rFonts w:hint="eastAsia" w:ascii="宋体" w:hAnsi="宋体"/>
          <w:color w:val="auto"/>
          <w:sz w:val="24"/>
          <w:szCs w:val="24"/>
          <w:highlight w:val="none"/>
        </w:rPr>
        <w:t>承担。</w:t>
      </w:r>
    </w:p>
    <w:p w14:paraId="3860A857">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1.11  </w:t>
      </w:r>
      <w:r>
        <w:rPr>
          <w:rFonts w:hint="eastAsia" w:ascii="宋体" w:hAnsi="宋体"/>
          <w:color w:val="auto"/>
          <w:sz w:val="24"/>
          <w:szCs w:val="24"/>
          <w:highlight w:val="none"/>
        </w:rPr>
        <w:t>知识产权</w:t>
      </w:r>
    </w:p>
    <w:p w14:paraId="372F657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1.11.1</w:t>
      </w:r>
      <w:r>
        <w:rPr>
          <w:rFonts w:hint="eastAsia" w:ascii="宋体" w:hAnsi="宋体"/>
          <w:color w:val="auto"/>
          <w:sz w:val="24"/>
          <w:szCs w:val="24"/>
          <w:highlight w:val="none"/>
        </w:rPr>
        <w:t xml:space="preserve">  关于发包人提供给承包人的图纸、发包人为实施工程自行编制或委托编制的技术规范以及反映发包人关于合同要求或其他类似性质的文件的著作权的归属：</w:t>
      </w:r>
      <w:r>
        <w:rPr>
          <w:rFonts w:hint="eastAsia" w:ascii="宋体" w:hAnsi="宋体"/>
          <w:color w:val="auto"/>
          <w:sz w:val="24"/>
          <w:szCs w:val="24"/>
          <w:highlight w:val="none"/>
          <w:u w:val="single"/>
        </w:rPr>
        <w:t>执行通用条款</w:t>
      </w:r>
      <w:r>
        <w:rPr>
          <w:rFonts w:hint="eastAsia" w:ascii="宋体" w:hAnsi="宋体"/>
          <w:color w:val="auto"/>
          <w:sz w:val="24"/>
          <w:szCs w:val="24"/>
          <w:highlight w:val="none"/>
        </w:rPr>
        <w:t>；</w:t>
      </w:r>
    </w:p>
    <w:p w14:paraId="7DA9041B">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关于发包人提供的上述文件的使用限制的要求：</w:t>
      </w:r>
      <w:r>
        <w:rPr>
          <w:rFonts w:hint="eastAsia" w:ascii="宋体" w:hAnsi="宋体"/>
          <w:color w:val="auto"/>
          <w:sz w:val="24"/>
          <w:szCs w:val="24"/>
          <w:highlight w:val="none"/>
          <w:u w:val="single"/>
        </w:rPr>
        <w:t>施工期间</w:t>
      </w:r>
      <w:r>
        <w:rPr>
          <w:rFonts w:hint="eastAsia" w:ascii="宋体" w:hAnsi="宋体"/>
          <w:color w:val="auto"/>
          <w:sz w:val="24"/>
          <w:szCs w:val="24"/>
          <w:highlight w:val="none"/>
        </w:rPr>
        <w:t>。</w:t>
      </w:r>
    </w:p>
    <w:p w14:paraId="51632C40">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1.11.2</w:t>
      </w:r>
      <w:r>
        <w:rPr>
          <w:rFonts w:hint="eastAsia" w:ascii="宋体" w:hAnsi="宋体"/>
          <w:color w:val="auto"/>
          <w:sz w:val="24"/>
          <w:szCs w:val="24"/>
          <w:highlight w:val="none"/>
        </w:rPr>
        <w:t xml:space="preserve">  关于承包人为实施工程所编制文件的著作权的归属：</w:t>
      </w:r>
      <w:r>
        <w:rPr>
          <w:rFonts w:hint="eastAsia" w:ascii="宋体" w:hAnsi="宋体"/>
          <w:color w:val="auto"/>
          <w:sz w:val="24"/>
          <w:szCs w:val="24"/>
          <w:highlight w:val="none"/>
          <w:u w:val="single"/>
        </w:rPr>
        <w:t>执行通用条款</w:t>
      </w:r>
      <w:r>
        <w:rPr>
          <w:rFonts w:hint="eastAsia" w:ascii="宋体" w:hAnsi="宋体"/>
          <w:color w:val="auto"/>
          <w:sz w:val="24"/>
          <w:szCs w:val="24"/>
          <w:highlight w:val="none"/>
        </w:rPr>
        <w:t>；</w:t>
      </w:r>
    </w:p>
    <w:p w14:paraId="54B6F265">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关于承包人提供的上述文件的使用限制的要求：</w:t>
      </w:r>
      <w:r>
        <w:rPr>
          <w:rFonts w:hint="eastAsia" w:ascii="宋体" w:hAnsi="宋体"/>
          <w:color w:val="auto"/>
          <w:sz w:val="24"/>
          <w:szCs w:val="24"/>
          <w:highlight w:val="none"/>
          <w:u w:val="single"/>
        </w:rPr>
        <w:t>施工期间</w:t>
      </w:r>
      <w:r>
        <w:rPr>
          <w:rFonts w:hint="eastAsia" w:ascii="宋体" w:hAnsi="宋体"/>
          <w:color w:val="auto"/>
          <w:sz w:val="24"/>
          <w:szCs w:val="24"/>
          <w:highlight w:val="none"/>
        </w:rPr>
        <w:t>。</w:t>
      </w:r>
    </w:p>
    <w:p w14:paraId="6BB425F6">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1.11.4</w:t>
      </w:r>
      <w:r>
        <w:rPr>
          <w:rFonts w:hint="eastAsia" w:ascii="宋体" w:hAnsi="宋体"/>
          <w:color w:val="auto"/>
          <w:sz w:val="24"/>
          <w:szCs w:val="24"/>
          <w:highlight w:val="none"/>
        </w:rPr>
        <w:t xml:space="preserve">  承包人在施工过程中所采用的专利、专有技术、技术秘密的使用费的承担方式：</w:t>
      </w:r>
      <w:r>
        <w:rPr>
          <w:rFonts w:hint="eastAsia" w:ascii="宋体" w:hAnsi="宋体"/>
          <w:color w:val="auto"/>
          <w:sz w:val="24"/>
          <w:szCs w:val="24"/>
          <w:highlight w:val="none"/>
          <w:u w:val="single"/>
        </w:rPr>
        <w:t>承包人承担</w:t>
      </w:r>
      <w:r>
        <w:rPr>
          <w:rFonts w:hint="eastAsia" w:ascii="宋体" w:hAnsi="宋体"/>
          <w:color w:val="auto"/>
          <w:sz w:val="24"/>
          <w:szCs w:val="24"/>
          <w:highlight w:val="none"/>
        </w:rPr>
        <w:t>。</w:t>
      </w:r>
    </w:p>
    <w:p w14:paraId="6BB82E3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1.13  工程量清单错误的修正</w:t>
      </w:r>
    </w:p>
    <w:p w14:paraId="40881B4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出现工程量清单错误时，是否调整合同价格：</w:t>
      </w:r>
      <w:r>
        <w:rPr>
          <w:rFonts w:hint="eastAsia" w:ascii="宋体" w:hAnsi="宋体" w:cs="宋体"/>
          <w:color w:val="auto"/>
          <w:sz w:val="24"/>
          <w:szCs w:val="24"/>
          <w:highlight w:val="none"/>
          <w:u w:val="single"/>
        </w:rPr>
        <w:t>执行专用条款第11条第三种方式</w:t>
      </w:r>
      <w:r>
        <w:rPr>
          <w:rFonts w:hint="eastAsia" w:ascii="宋体" w:hAnsi="宋体" w:cs="宋体"/>
          <w:color w:val="auto"/>
          <w:sz w:val="24"/>
          <w:szCs w:val="24"/>
          <w:highlight w:val="none"/>
        </w:rPr>
        <w:t>。</w:t>
      </w:r>
    </w:p>
    <w:p w14:paraId="1792E798">
      <w:pPr>
        <w:spacing w:line="360" w:lineRule="auto"/>
        <w:rPr>
          <w:rFonts w:ascii="宋体" w:hAnsi="宋体"/>
          <w:color w:val="auto"/>
          <w:sz w:val="24"/>
          <w:szCs w:val="24"/>
          <w:highlight w:val="none"/>
        </w:rPr>
      </w:pPr>
      <w:r>
        <w:rPr>
          <w:rFonts w:ascii="宋体" w:hAnsi="宋体"/>
          <w:color w:val="auto"/>
          <w:sz w:val="24"/>
          <w:szCs w:val="24"/>
          <w:highlight w:val="none"/>
        </w:rPr>
        <w:t xml:space="preserve">2  </w:t>
      </w:r>
      <w:r>
        <w:rPr>
          <w:rFonts w:hint="eastAsia" w:ascii="宋体" w:hAnsi="宋体"/>
          <w:color w:val="auto"/>
          <w:sz w:val="24"/>
          <w:szCs w:val="24"/>
          <w:highlight w:val="none"/>
        </w:rPr>
        <w:t>发包人</w:t>
      </w:r>
    </w:p>
    <w:p w14:paraId="3606F738">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2.2  </w:t>
      </w:r>
      <w:r>
        <w:rPr>
          <w:rFonts w:hint="eastAsia" w:ascii="宋体" w:hAnsi="宋体"/>
          <w:color w:val="auto"/>
          <w:sz w:val="24"/>
          <w:szCs w:val="24"/>
          <w:highlight w:val="none"/>
        </w:rPr>
        <w:t>发包人代表</w:t>
      </w:r>
    </w:p>
    <w:p w14:paraId="3745C939">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发包人代表：</w:t>
      </w:r>
    </w:p>
    <w:p w14:paraId="7B01FF50">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姓名：</w:t>
      </w:r>
      <w:r>
        <w:rPr>
          <w:rFonts w:hint="eastAsia" w:ascii="宋体" w:hAnsi="宋体" w:cs="MingLiU_HKSCS"/>
          <w:color w:val="auto"/>
          <w:sz w:val="24"/>
          <w:szCs w:val="24"/>
          <w:highlight w:val="none"/>
          <w:u w:val="single"/>
          <w:lang w:val="en-US" w:eastAsia="zh-CN"/>
        </w:rPr>
        <w:t xml:space="preserve">     </w:t>
      </w:r>
      <w:r>
        <w:rPr>
          <w:rFonts w:hint="eastAsia" w:ascii="宋体" w:hAnsi="宋体"/>
          <w:color w:val="auto"/>
          <w:sz w:val="24"/>
          <w:szCs w:val="24"/>
          <w:highlight w:val="none"/>
        </w:rPr>
        <w:t>；</w:t>
      </w:r>
    </w:p>
    <w:p w14:paraId="4DA286E5">
      <w:pPr>
        <w:spacing w:line="360" w:lineRule="auto"/>
        <w:ind w:firstLine="480" w:firstLineChars="200"/>
        <w:rPr>
          <w:rFonts w:ascii="宋体" w:hAnsi="宋体"/>
          <w:bCs/>
          <w:color w:val="auto"/>
          <w:sz w:val="24"/>
          <w:szCs w:val="24"/>
          <w:highlight w:val="none"/>
        </w:rPr>
      </w:pPr>
      <w:r>
        <w:rPr>
          <w:rFonts w:hint="eastAsia" w:ascii="宋体" w:hAnsi="宋体"/>
          <w:color w:val="auto"/>
          <w:sz w:val="24"/>
          <w:szCs w:val="24"/>
          <w:highlight w:val="none"/>
        </w:rPr>
        <w:t>职务：</w:t>
      </w:r>
      <w:r>
        <w:rPr>
          <w:rFonts w:hint="eastAsia" w:ascii="宋体" w:hAnsi="宋体"/>
          <w:bCs/>
          <w:color w:val="auto"/>
          <w:sz w:val="24"/>
          <w:szCs w:val="24"/>
          <w:highlight w:val="none"/>
          <w:u w:val="single"/>
        </w:rPr>
        <w:t>项目组长</w:t>
      </w:r>
      <w:r>
        <w:rPr>
          <w:rFonts w:hint="eastAsia" w:ascii="宋体" w:hAnsi="宋体" w:cs="MingLiU_HKSCS"/>
          <w:bCs/>
          <w:color w:val="auto"/>
          <w:sz w:val="24"/>
          <w:szCs w:val="24"/>
          <w:highlight w:val="none"/>
          <w:u w:val="single"/>
        </w:rPr>
        <w:t xml:space="preserve"> </w:t>
      </w:r>
      <w:r>
        <w:rPr>
          <w:rFonts w:hint="eastAsia" w:ascii="宋体" w:hAnsi="宋体"/>
          <w:bCs/>
          <w:color w:val="auto"/>
          <w:sz w:val="24"/>
          <w:szCs w:val="24"/>
          <w:highlight w:val="none"/>
        </w:rPr>
        <w:t>；</w:t>
      </w:r>
    </w:p>
    <w:p w14:paraId="5DDBDF9C">
      <w:pPr>
        <w:spacing w:line="360" w:lineRule="auto"/>
        <w:ind w:firstLine="480" w:firstLineChars="200"/>
        <w:rPr>
          <w:rFonts w:ascii="宋体" w:hAnsi="宋体"/>
          <w:bCs/>
          <w:color w:val="auto"/>
          <w:sz w:val="24"/>
          <w:szCs w:val="24"/>
          <w:highlight w:val="none"/>
        </w:rPr>
      </w:pPr>
      <w:r>
        <w:rPr>
          <w:rFonts w:hint="eastAsia" w:ascii="宋体" w:hAnsi="宋体"/>
          <w:bCs/>
          <w:color w:val="auto"/>
          <w:sz w:val="24"/>
          <w:szCs w:val="24"/>
          <w:highlight w:val="none"/>
        </w:rPr>
        <w:t>联系电话：</w:t>
      </w:r>
      <w:r>
        <w:rPr>
          <w:rFonts w:hint="eastAsia" w:ascii="宋体" w:hAnsi="宋体"/>
          <w:bCs/>
          <w:color w:val="auto"/>
          <w:sz w:val="24"/>
          <w:szCs w:val="24"/>
          <w:highlight w:val="none"/>
          <w:u w:val="single"/>
          <w:lang w:val="en-US" w:eastAsia="zh-CN"/>
        </w:rPr>
        <w:t xml:space="preserve">     </w:t>
      </w:r>
      <w:r>
        <w:rPr>
          <w:rFonts w:hint="eastAsia" w:ascii="宋体" w:hAnsi="宋体"/>
          <w:bCs/>
          <w:color w:val="auto"/>
          <w:sz w:val="24"/>
          <w:szCs w:val="24"/>
          <w:highlight w:val="none"/>
        </w:rPr>
        <w:t>；</w:t>
      </w:r>
    </w:p>
    <w:p w14:paraId="3829973B">
      <w:pPr>
        <w:spacing w:line="360" w:lineRule="auto"/>
        <w:ind w:firstLine="480" w:firstLineChars="200"/>
        <w:rPr>
          <w:rFonts w:ascii="宋体" w:hAnsi="宋体"/>
          <w:bCs/>
          <w:color w:val="auto"/>
          <w:sz w:val="24"/>
          <w:szCs w:val="24"/>
          <w:highlight w:val="none"/>
        </w:rPr>
      </w:pPr>
      <w:r>
        <w:rPr>
          <w:rFonts w:hint="eastAsia" w:ascii="宋体" w:hAnsi="宋体"/>
          <w:bCs/>
          <w:color w:val="auto"/>
          <w:sz w:val="24"/>
          <w:szCs w:val="24"/>
          <w:highlight w:val="none"/>
        </w:rPr>
        <w:t>电子信箱：</w:t>
      </w:r>
      <w:r>
        <w:rPr>
          <w:color w:val="auto"/>
          <w:highlight w:val="none"/>
        </w:rPr>
        <w:fldChar w:fldCharType="begin"/>
      </w:r>
      <w:r>
        <w:rPr>
          <w:color w:val="auto"/>
          <w:highlight w:val="none"/>
        </w:rPr>
        <w:instrText xml:space="preserve"> HYPERLINK "mailto:jjbgcglk@126.com" </w:instrText>
      </w:r>
      <w:r>
        <w:rPr>
          <w:color w:val="auto"/>
          <w:highlight w:val="none"/>
        </w:rPr>
        <w:fldChar w:fldCharType="separate"/>
      </w:r>
      <w:r>
        <w:rPr>
          <w:rStyle w:val="11"/>
          <w:rFonts w:hint="eastAsia" w:ascii="宋体" w:hAnsi="宋体"/>
          <w:bCs/>
          <w:color w:val="auto"/>
          <w:sz w:val="24"/>
          <w:szCs w:val="24"/>
          <w:highlight w:val="none"/>
          <w:u w:val="single"/>
        </w:rPr>
        <w:t>jjbgcglk@126.com</w:t>
      </w:r>
      <w:r>
        <w:rPr>
          <w:rFonts w:hint="eastAsia" w:ascii="宋体" w:hAnsi="宋体"/>
          <w:bCs/>
          <w:color w:val="auto"/>
          <w:sz w:val="24"/>
          <w:szCs w:val="24"/>
          <w:highlight w:val="none"/>
          <w:u w:val="single"/>
        </w:rPr>
        <w:fldChar w:fldCharType="end"/>
      </w:r>
      <w:r>
        <w:rPr>
          <w:rFonts w:hint="eastAsia" w:ascii="宋体" w:hAnsi="宋体"/>
          <w:bCs/>
          <w:color w:val="auto"/>
          <w:sz w:val="24"/>
          <w:szCs w:val="24"/>
          <w:highlight w:val="none"/>
          <w:u w:val="single"/>
        </w:rPr>
        <w:t xml:space="preserve"> </w:t>
      </w:r>
      <w:r>
        <w:rPr>
          <w:rFonts w:hint="eastAsia" w:ascii="宋体" w:hAnsi="宋体"/>
          <w:bCs/>
          <w:color w:val="auto"/>
          <w:sz w:val="24"/>
          <w:szCs w:val="24"/>
          <w:highlight w:val="none"/>
        </w:rPr>
        <w:t>；</w:t>
      </w:r>
    </w:p>
    <w:p w14:paraId="0EF919EF">
      <w:pPr>
        <w:spacing w:line="360" w:lineRule="auto"/>
        <w:ind w:firstLine="480" w:firstLineChars="200"/>
        <w:rPr>
          <w:rFonts w:ascii="宋体" w:hAnsi="宋体"/>
          <w:bCs/>
          <w:color w:val="auto"/>
          <w:sz w:val="24"/>
          <w:szCs w:val="24"/>
          <w:highlight w:val="none"/>
        </w:rPr>
      </w:pPr>
      <w:r>
        <w:rPr>
          <w:rFonts w:hint="eastAsia" w:ascii="宋体" w:hAnsi="宋体"/>
          <w:bCs/>
          <w:color w:val="auto"/>
          <w:sz w:val="24"/>
          <w:szCs w:val="24"/>
          <w:highlight w:val="none"/>
        </w:rPr>
        <w:t>通信地址：</w:t>
      </w:r>
      <w:r>
        <w:rPr>
          <w:rFonts w:hint="eastAsia" w:ascii="宋体" w:hAnsi="宋体"/>
          <w:color w:val="auto"/>
          <w:sz w:val="24"/>
          <w:szCs w:val="24"/>
          <w:highlight w:val="none"/>
          <w:u w:val="single"/>
        </w:rPr>
        <w:t>鄂尔多斯市康巴什区</w:t>
      </w:r>
    </w:p>
    <w:p w14:paraId="67ECBF00">
      <w:pPr>
        <w:spacing w:line="360" w:lineRule="auto"/>
        <w:ind w:firstLine="480" w:firstLineChars="200"/>
        <w:rPr>
          <w:rFonts w:ascii="宋体" w:hAnsi="宋体"/>
          <w:b/>
          <w:bCs/>
          <w:color w:val="auto"/>
          <w:sz w:val="24"/>
          <w:szCs w:val="24"/>
          <w:highlight w:val="none"/>
        </w:rPr>
      </w:pPr>
      <w:r>
        <w:rPr>
          <w:rFonts w:hint="eastAsia" w:ascii="宋体" w:hAnsi="宋体"/>
          <w:color w:val="auto"/>
          <w:sz w:val="24"/>
          <w:szCs w:val="24"/>
          <w:highlight w:val="none"/>
        </w:rPr>
        <w:t>发包人对发包人代表的授权范围如下：</w:t>
      </w:r>
      <w:r>
        <w:rPr>
          <w:rFonts w:hint="eastAsia" w:ascii="宋体" w:hAnsi="宋体"/>
          <w:color w:val="auto"/>
          <w:sz w:val="24"/>
          <w:szCs w:val="24"/>
          <w:highlight w:val="none"/>
          <w:u w:val="single"/>
        </w:rPr>
        <w:t>组织图纸会审、施工组织设计和施工方案审批权、现场经济签证单签证，组织验收工作，现场各施工单位的协调工作，监督现场施工工程进度、工程技术质量及材料质量</w:t>
      </w:r>
      <w:r>
        <w:rPr>
          <w:rFonts w:hint="eastAsia" w:ascii="宋体" w:hAnsi="宋体"/>
          <w:color w:val="auto"/>
          <w:sz w:val="24"/>
          <w:szCs w:val="24"/>
          <w:highlight w:val="none"/>
        </w:rPr>
        <w:t>。</w:t>
      </w:r>
    </w:p>
    <w:p w14:paraId="005067F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2.4  </w:t>
      </w:r>
      <w:r>
        <w:rPr>
          <w:rFonts w:hint="eastAsia" w:ascii="宋体" w:hAnsi="宋体"/>
          <w:color w:val="auto"/>
          <w:sz w:val="24"/>
          <w:szCs w:val="24"/>
          <w:highlight w:val="none"/>
        </w:rPr>
        <w:t>施工现场、施工条件和基础资料的提供</w:t>
      </w:r>
    </w:p>
    <w:p w14:paraId="49A9F25A">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2.4.1 </w:t>
      </w:r>
      <w:r>
        <w:rPr>
          <w:rFonts w:hint="eastAsia" w:ascii="宋体" w:hAnsi="宋体"/>
          <w:color w:val="auto"/>
          <w:sz w:val="24"/>
          <w:szCs w:val="24"/>
          <w:highlight w:val="none"/>
        </w:rPr>
        <w:t xml:space="preserve"> 提供施工现场</w:t>
      </w:r>
    </w:p>
    <w:p w14:paraId="62FB9503">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关于发包人移交施工现场的期限要求：</w:t>
      </w:r>
      <w:r>
        <w:rPr>
          <w:rFonts w:hint="eastAsia" w:ascii="宋体" w:hAnsi="宋体"/>
          <w:color w:val="auto"/>
          <w:sz w:val="24"/>
          <w:szCs w:val="24"/>
          <w:highlight w:val="none"/>
          <w:u w:val="single"/>
        </w:rPr>
        <w:t>开工前7日内使现场具备施工条件，以保证工程的顺利进行。</w:t>
      </w:r>
    </w:p>
    <w:p w14:paraId="63B58226">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2.4.2 </w:t>
      </w:r>
      <w:r>
        <w:rPr>
          <w:rFonts w:hint="eastAsia" w:ascii="宋体" w:hAnsi="宋体"/>
          <w:color w:val="auto"/>
          <w:sz w:val="24"/>
          <w:szCs w:val="24"/>
          <w:highlight w:val="none"/>
        </w:rPr>
        <w:t xml:space="preserve"> 提供施工条件</w:t>
      </w:r>
    </w:p>
    <w:p w14:paraId="5A32B798">
      <w:pPr>
        <w:spacing w:line="360" w:lineRule="auto"/>
        <w:ind w:firstLine="480" w:firstLineChars="200"/>
        <w:jc w:val="left"/>
        <w:rPr>
          <w:rFonts w:ascii="宋体" w:hAnsi="宋体" w:cs="仿宋"/>
          <w:b/>
          <w:bCs/>
          <w:color w:val="auto"/>
          <w:szCs w:val="21"/>
          <w:highlight w:val="none"/>
        </w:rPr>
      </w:pPr>
      <w:r>
        <w:rPr>
          <w:rFonts w:hint="eastAsia" w:ascii="宋体" w:hAnsi="宋体"/>
          <w:color w:val="auto"/>
          <w:sz w:val="24"/>
          <w:szCs w:val="24"/>
          <w:highlight w:val="none"/>
        </w:rPr>
        <w:t>关于发包人应负责提供施工所需要的条件，包括：</w:t>
      </w:r>
      <w:r>
        <w:rPr>
          <w:rFonts w:hint="eastAsia" w:ascii="宋体" w:hAnsi="宋体"/>
          <w:color w:val="auto"/>
          <w:sz w:val="24"/>
          <w:szCs w:val="24"/>
          <w:highlight w:val="none"/>
          <w:u w:val="single"/>
        </w:rPr>
        <w:t>提供施工所需的电力、用水的接驳点，开通施工场地（红线外）与公共道路的通道；开工前提供工程地质和地下管线资料；应由发包人办理的城市规划许可证，土地使用许可证、</w:t>
      </w:r>
      <w:r>
        <w:rPr>
          <w:rFonts w:hint="eastAsia" w:ascii="宋体" w:hAnsi="宋体"/>
          <w:color w:val="auto"/>
          <w:sz w:val="24"/>
          <w:szCs w:val="24"/>
          <w:highlight w:val="none"/>
          <w:u w:val="single"/>
          <w:lang w:val="en-US" w:eastAsia="zh-CN"/>
        </w:rPr>
        <w:t>消防</w:t>
      </w:r>
      <w:r>
        <w:rPr>
          <w:rFonts w:hint="eastAsia" w:ascii="宋体" w:hAnsi="宋体"/>
          <w:color w:val="auto"/>
          <w:sz w:val="24"/>
          <w:szCs w:val="24"/>
          <w:highlight w:val="none"/>
          <w:u w:val="single"/>
        </w:rPr>
        <w:t>设计审核书、地质勘探报告、验线证、施工许可证等施工所需证件、批件；提供由相应测绘资质的测绘部门提供的测绘成果；协调处理施工场地周围地下管线和邻近建筑物、构筑物（含文物保护建筑）、古树名木的保护工作，按国家相关规定、文物管理部门有关规定办理，费用由发包方承担。</w:t>
      </w:r>
    </w:p>
    <w:p w14:paraId="4178E3DF">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u w:val="single"/>
        </w:rPr>
        <w:t>若承包人认为发包人未能及时或未按本合同的约定向承包人提交资料，或认为在开工日期现场不具备开工、施工条件等，亦或发包人存在其他任何影响承包人履行本合同的情形时，均需在情形发生之日起</w:t>
      </w:r>
      <w:r>
        <w:rPr>
          <w:rFonts w:ascii="宋体" w:hAnsi="宋体"/>
          <w:color w:val="auto"/>
          <w:sz w:val="24"/>
          <w:szCs w:val="24"/>
          <w:highlight w:val="none"/>
          <w:u w:val="single"/>
        </w:rPr>
        <w:t>2</w:t>
      </w:r>
      <w:r>
        <w:rPr>
          <w:rFonts w:hint="eastAsia" w:ascii="宋体" w:hAnsi="宋体"/>
          <w:color w:val="auto"/>
          <w:sz w:val="24"/>
          <w:szCs w:val="24"/>
          <w:highlight w:val="none"/>
          <w:u w:val="single"/>
        </w:rPr>
        <w:t>日内以书面形式向发包人提出履行要求；逾期，承包人未提出该等要求，则视为发包人已经完全按照本合同的约定履行前述该等义务；此后，承包人不得再以此为由向发包人主张任何责任或作为承包人未能如约履行本合同的任何抗辩理由</w:t>
      </w:r>
      <w:r>
        <w:rPr>
          <w:rFonts w:hint="eastAsia" w:ascii="宋体" w:hAnsi="宋体"/>
          <w:color w:val="auto"/>
          <w:sz w:val="24"/>
          <w:szCs w:val="24"/>
          <w:highlight w:val="none"/>
        </w:rPr>
        <w:t>。</w:t>
      </w:r>
    </w:p>
    <w:p w14:paraId="0090641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2.5  </w:t>
      </w:r>
      <w:r>
        <w:rPr>
          <w:rFonts w:hint="eastAsia" w:ascii="宋体" w:hAnsi="宋体"/>
          <w:color w:val="auto"/>
          <w:sz w:val="24"/>
          <w:szCs w:val="24"/>
          <w:highlight w:val="none"/>
        </w:rPr>
        <w:t>资金来源证明及支付担保</w:t>
      </w:r>
    </w:p>
    <w:p w14:paraId="7078EBD9">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发包人提供资金来源证明的期限要求：</w:t>
      </w:r>
      <w:r>
        <w:rPr>
          <w:rFonts w:hint="eastAsia" w:ascii="宋体" w:hAnsi="宋体"/>
          <w:color w:val="auto"/>
          <w:sz w:val="24"/>
          <w:szCs w:val="24"/>
          <w:highlight w:val="none"/>
          <w:u w:val="single"/>
        </w:rPr>
        <w:t>无</w:t>
      </w:r>
      <w:r>
        <w:rPr>
          <w:rFonts w:hint="eastAsia" w:ascii="宋体" w:hAnsi="宋体"/>
          <w:color w:val="auto"/>
          <w:sz w:val="24"/>
          <w:szCs w:val="24"/>
          <w:highlight w:val="none"/>
        </w:rPr>
        <w:t>。</w:t>
      </w:r>
    </w:p>
    <w:p w14:paraId="3603DAB9">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发包人是否提供支付担保：</w:t>
      </w:r>
      <w:r>
        <w:rPr>
          <w:rFonts w:hint="eastAsia" w:ascii="宋体" w:hAnsi="宋体"/>
          <w:color w:val="auto"/>
          <w:sz w:val="24"/>
          <w:szCs w:val="24"/>
          <w:highlight w:val="none"/>
          <w:u w:val="single"/>
        </w:rPr>
        <w:t>否</w:t>
      </w:r>
      <w:r>
        <w:rPr>
          <w:rFonts w:hint="eastAsia" w:ascii="宋体" w:hAnsi="宋体"/>
          <w:color w:val="auto"/>
          <w:sz w:val="24"/>
          <w:szCs w:val="24"/>
          <w:highlight w:val="none"/>
        </w:rPr>
        <w:t>。</w:t>
      </w:r>
    </w:p>
    <w:p w14:paraId="440D1471">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发包人提供支付担保的形式：</w:t>
      </w:r>
      <w:r>
        <w:rPr>
          <w:rFonts w:hint="eastAsia" w:ascii="宋体" w:hAnsi="宋体"/>
          <w:color w:val="auto"/>
          <w:sz w:val="24"/>
          <w:szCs w:val="24"/>
          <w:highlight w:val="none"/>
          <w:u w:val="single"/>
        </w:rPr>
        <w:t>无</w:t>
      </w:r>
      <w:r>
        <w:rPr>
          <w:rFonts w:hint="eastAsia" w:ascii="宋体" w:hAnsi="宋体"/>
          <w:color w:val="auto"/>
          <w:sz w:val="24"/>
          <w:szCs w:val="24"/>
          <w:highlight w:val="none"/>
        </w:rPr>
        <w:t>。</w:t>
      </w:r>
    </w:p>
    <w:p w14:paraId="222CB8EA">
      <w:pPr>
        <w:spacing w:line="360" w:lineRule="auto"/>
        <w:rPr>
          <w:rFonts w:ascii="宋体" w:hAnsi="宋体"/>
          <w:color w:val="auto"/>
          <w:sz w:val="24"/>
          <w:szCs w:val="24"/>
          <w:highlight w:val="none"/>
        </w:rPr>
      </w:pPr>
      <w:r>
        <w:rPr>
          <w:rFonts w:ascii="宋体" w:hAnsi="宋体"/>
          <w:color w:val="auto"/>
          <w:sz w:val="24"/>
          <w:szCs w:val="24"/>
          <w:highlight w:val="none"/>
        </w:rPr>
        <w:t xml:space="preserve">3  </w:t>
      </w:r>
      <w:r>
        <w:rPr>
          <w:rFonts w:hint="eastAsia" w:ascii="宋体" w:hAnsi="宋体"/>
          <w:color w:val="auto"/>
          <w:sz w:val="24"/>
          <w:szCs w:val="24"/>
          <w:highlight w:val="none"/>
        </w:rPr>
        <w:t>承包人</w:t>
      </w:r>
    </w:p>
    <w:p w14:paraId="48B6194D">
      <w:pPr>
        <w:spacing w:line="360" w:lineRule="auto"/>
        <w:ind w:firstLine="600" w:firstLineChars="250"/>
        <w:rPr>
          <w:rFonts w:ascii="宋体" w:hAnsi="宋体"/>
          <w:color w:val="auto"/>
          <w:sz w:val="24"/>
          <w:szCs w:val="24"/>
          <w:highlight w:val="none"/>
        </w:rPr>
      </w:pPr>
      <w:r>
        <w:rPr>
          <w:rFonts w:ascii="宋体" w:hAnsi="宋体"/>
          <w:color w:val="auto"/>
          <w:sz w:val="24"/>
          <w:szCs w:val="24"/>
          <w:highlight w:val="none"/>
        </w:rPr>
        <w:t xml:space="preserve">3.1  </w:t>
      </w:r>
      <w:r>
        <w:rPr>
          <w:rFonts w:hint="eastAsia" w:ascii="宋体" w:hAnsi="宋体"/>
          <w:color w:val="auto"/>
          <w:sz w:val="24"/>
          <w:szCs w:val="24"/>
          <w:highlight w:val="none"/>
        </w:rPr>
        <w:t>承包人的一般义务</w:t>
      </w:r>
    </w:p>
    <w:p w14:paraId="330E1FE6">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1）除专用合同条款第8.1款约定由发包人提供的材料和工程设备和第8.8.2款约定由发包人提供的施工设备和临时设施以及通用条款规定的义务外，承包人应负责提供为完成合同工作所需的劳务、材料、施工设备、工程设备和其他物品，并按合同约定负责临时设施的设计、建造、运行、维护、管理和拆除。</w:t>
      </w:r>
    </w:p>
    <w:p w14:paraId="532C001D">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（2）承包人提交的竣工资料的内容：</w:t>
      </w:r>
      <w:r>
        <w:rPr>
          <w:rFonts w:hint="eastAsia" w:ascii="宋体" w:hAnsi="宋体"/>
          <w:color w:val="auto"/>
          <w:sz w:val="24"/>
          <w:szCs w:val="24"/>
          <w:highlight w:val="none"/>
          <w:u w:val="single"/>
        </w:rPr>
        <w:t>按相关法律及工程所在地有关规定</w:t>
      </w:r>
      <w:r>
        <w:rPr>
          <w:rFonts w:ascii="宋体" w:hAnsi="宋体"/>
          <w:color w:val="auto"/>
          <w:sz w:val="24"/>
          <w:szCs w:val="24"/>
          <w:highlight w:val="none"/>
          <w:u w:val="single"/>
        </w:rPr>
        <w:t>和发包人的要求</w:t>
      </w:r>
      <w:r>
        <w:rPr>
          <w:rFonts w:hint="eastAsia" w:ascii="宋体" w:hAnsi="宋体"/>
          <w:color w:val="auto"/>
          <w:sz w:val="24"/>
          <w:szCs w:val="24"/>
          <w:highlight w:val="none"/>
          <w:u w:val="single"/>
        </w:rPr>
        <w:t>执行；</w:t>
      </w:r>
    </w:p>
    <w:p w14:paraId="4463B6A0">
      <w:pPr>
        <w:spacing w:line="360" w:lineRule="auto"/>
        <w:rPr>
          <w:rFonts w:ascii="宋体" w:hAnsi="宋体"/>
          <w:color w:val="auto"/>
          <w:sz w:val="24"/>
          <w:szCs w:val="24"/>
          <w:highlight w:val="none"/>
        </w:rPr>
      </w:pPr>
      <w:r>
        <w:rPr>
          <w:rFonts w:hint="eastAsia" w:ascii="宋体" w:hAnsi="宋体"/>
          <w:color w:val="auto"/>
          <w:sz w:val="24"/>
          <w:szCs w:val="24"/>
          <w:highlight w:val="none"/>
        </w:rPr>
        <w:t>承包人需要提交的竣工资料套数：</w:t>
      </w:r>
      <w:r>
        <w:rPr>
          <w:rFonts w:hint="eastAsia" w:ascii="宋体" w:hAnsi="宋体"/>
          <w:color w:val="auto"/>
          <w:sz w:val="24"/>
          <w:szCs w:val="24"/>
          <w:highlight w:val="none"/>
          <w:u w:val="single"/>
        </w:rPr>
        <w:t>完整的竣工图及其他竣工资料肆套</w:t>
      </w:r>
      <w:r>
        <w:rPr>
          <w:rFonts w:hint="eastAsia" w:ascii="宋体" w:hAnsi="宋体"/>
          <w:color w:val="auto"/>
          <w:sz w:val="24"/>
          <w:szCs w:val="24"/>
          <w:highlight w:val="none"/>
        </w:rPr>
        <w:t>；</w:t>
      </w:r>
    </w:p>
    <w:p w14:paraId="4043A81B">
      <w:pPr>
        <w:spacing w:line="360" w:lineRule="auto"/>
        <w:rPr>
          <w:rFonts w:ascii="宋体" w:hAnsi="宋体"/>
          <w:color w:val="auto"/>
          <w:sz w:val="24"/>
          <w:szCs w:val="24"/>
          <w:highlight w:val="none"/>
        </w:rPr>
      </w:pPr>
      <w:r>
        <w:rPr>
          <w:rFonts w:hint="eastAsia" w:ascii="宋体" w:hAnsi="宋体"/>
          <w:color w:val="auto"/>
          <w:sz w:val="24"/>
          <w:szCs w:val="24"/>
          <w:highlight w:val="none"/>
        </w:rPr>
        <w:t>承包人提交的竣工资料的费用承担：</w:t>
      </w:r>
      <w:r>
        <w:rPr>
          <w:rFonts w:hint="eastAsia" w:ascii="宋体" w:hAnsi="宋体"/>
          <w:color w:val="auto"/>
          <w:sz w:val="24"/>
          <w:szCs w:val="24"/>
          <w:highlight w:val="none"/>
          <w:u w:val="single"/>
        </w:rPr>
        <w:t>承包人承担</w:t>
      </w:r>
      <w:r>
        <w:rPr>
          <w:rFonts w:hint="eastAsia" w:ascii="宋体" w:hAnsi="宋体"/>
          <w:color w:val="auto"/>
          <w:sz w:val="24"/>
          <w:szCs w:val="24"/>
          <w:highlight w:val="none"/>
        </w:rPr>
        <w:t>；</w:t>
      </w:r>
    </w:p>
    <w:p w14:paraId="1A3E6B00">
      <w:pPr>
        <w:spacing w:line="360" w:lineRule="auto"/>
        <w:rPr>
          <w:rFonts w:ascii="宋体" w:hAnsi="宋体"/>
          <w:color w:val="auto"/>
          <w:sz w:val="24"/>
          <w:szCs w:val="24"/>
          <w:highlight w:val="none"/>
        </w:rPr>
      </w:pPr>
      <w:r>
        <w:rPr>
          <w:rFonts w:hint="eastAsia" w:ascii="宋体" w:hAnsi="宋体"/>
          <w:color w:val="auto"/>
          <w:sz w:val="24"/>
          <w:szCs w:val="24"/>
          <w:highlight w:val="none"/>
        </w:rPr>
        <w:t>承包人提交的竣工资料移交时间：</w:t>
      </w:r>
      <w:r>
        <w:rPr>
          <w:rFonts w:hint="eastAsia" w:ascii="宋体" w:hAnsi="宋体"/>
          <w:color w:val="auto"/>
          <w:sz w:val="24"/>
          <w:szCs w:val="24"/>
          <w:highlight w:val="none"/>
          <w:u w:val="single"/>
        </w:rPr>
        <w:t>竣工验收前</w:t>
      </w:r>
      <w:r>
        <w:rPr>
          <w:rFonts w:hint="eastAsia" w:ascii="宋体" w:hAnsi="宋体"/>
          <w:color w:val="auto"/>
          <w:sz w:val="24"/>
          <w:szCs w:val="24"/>
          <w:highlight w:val="none"/>
        </w:rPr>
        <w:t>；</w:t>
      </w:r>
      <w:r>
        <w:rPr>
          <w:rFonts w:ascii="宋体" w:hAnsi="宋体"/>
          <w:color w:val="auto"/>
          <w:sz w:val="24"/>
          <w:szCs w:val="24"/>
          <w:highlight w:val="none"/>
        </w:rPr>
        <w:t xml:space="preserve"> </w:t>
      </w:r>
    </w:p>
    <w:p w14:paraId="134E540B">
      <w:pPr>
        <w:spacing w:line="360" w:lineRule="auto"/>
        <w:rPr>
          <w:rFonts w:ascii="宋体" w:hAnsi="宋体"/>
          <w:color w:val="auto"/>
          <w:sz w:val="24"/>
          <w:szCs w:val="24"/>
          <w:highlight w:val="none"/>
        </w:rPr>
      </w:pPr>
      <w:r>
        <w:rPr>
          <w:rFonts w:hint="eastAsia" w:ascii="宋体" w:hAnsi="宋体"/>
          <w:color w:val="auto"/>
          <w:sz w:val="24"/>
          <w:szCs w:val="24"/>
          <w:highlight w:val="none"/>
        </w:rPr>
        <w:t>承包人提交的竣工资料形式要求：</w:t>
      </w:r>
      <w:r>
        <w:rPr>
          <w:rFonts w:hint="eastAsia" w:ascii="宋体" w:hAnsi="宋体"/>
          <w:color w:val="auto"/>
          <w:sz w:val="24"/>
          <w:szCs w:val="24"/>
          <w:highlight w:val="none"/>
          <w:u w:val="single"/>
        </w:rPr>
        <w:t>纸质、装订成册</w:t>
      </w:r>
      <w:r>
        <w:rPr>
          <w:rFonts w:hint="eastAsia" w:ascii="宋体" w:hAnsi="宋体"/>
          <w:color w:val="auto"/>
          <w:sz w:val="24"/>
          <w:szCs w:val="24"/>
          <w:highlight w:val="none"/>
        </w:rPr>
        <w:t>。</w:t>
      </w:r>
    </w:p>
    <w:p w14:paraId="2BD7C375">
      <w:pPr>
        <w:spacing w:line="360" w:lineRule="auto"/>
        <w:rPr>
          <w:rFonts w:ascii="宋体" w:hAnsi="宋体"/>
          <w:color w:val="auto"/>
          <w:sz w:val="24"/>
          <w:szCs w:val="24"/>
          <w:highlight w:val="none"/>
        </w:rPr>
      </w:pPr>
      <w:r>
        <w:rPr>
          <w:rFonts w:hint="eastAsia" w:ascii="宋体" w:hAnsi="宋体"/>
          <w:color w:val="auto"/>
          <w:sz w:val="24"/>
          <w:szCs w:val="24"/>
          <w:highlight w:val="none"/>
        </w:rPr>
        <w:t xml:space="preserve">    (3)承包人应履行的其他义务：</w:t>
      </w:r>
      <w:r>
        <w:rPr>
          <w:rFonts w:hint="eastAsia" w:ascii="宋体" w:hAnsi="宋体"/>
          <w:color w:val="auto"/>
          <w:sz w:val="24"/>
          <w:szCs w:val="24"/>
          <w:highlight w:val="none"/>
          <w:u w:val="single"/>
        </w:rPr>
        <w:t>除通用条款3.1规定的一般义务外承包人还应履行以下义务</w:t>
      </w:r>
      <w:r>
        <w:rPr>
          <w:rFonts w:hint="eastAsia" w:ascii="宋体" w:hAnsi="宋体"/>
          <w:color w:val="auto"/>
          <w:sz w:val="24"/>
          <w:szCs w:val="24"/>
          <w:highlight w:val="none"/>
        </w:rPr>
        <w:t>：</w:t>
      </w:r>
    </w:p>
    <w:p w14:paraId="6B39CD4B">
      <w:pPr>
        <w:spacing w:line="360" w:lineRule="auto"/>
        <w:ind w:firstLine="482" w:firstLineChars="200"/>
        <w:jc w:val="left"/>
        <w:rPr>
          <w:rFonts w:ascii="宋体" w:hAnsi="宋体"/>
          <w:b/>
          <w:bCs/>
          <w:color w:val="auto"/>
          <w:sz w:val="24"/>
          <w:szCs w:val="24"/>
          <w:highlight w:val="none"/>
        </w:rPr>
      </w:pPr>
      <w:r>
        <w:rPr>
          <w:rFonts w:ascii="宋体" w:hAnsi="宋体"/>
          <w:b/>
          <w:bCs/>
          <w:color w:val="auto"/>
          <w:sz w:val="24"/>
          <w:szCs w:val="24"/>
          <w:highlight w:val="none"/>
        </w:rPr>
        <w:fldChar w:fldCharType="begin"/>
      </w:r>
      <w:r>
        <w:rPr>
          <w:rFonts w:ascii="宋体" w:hAnsi="宋体"/>
          <w:b/>
          <w:bCs/>
          <w:color w:val="auto"/>
          <w:sz w:val="24"/>
          <w:szCs w:val="24"/>
          <w:highlight w:val="none"/>
        </w:rPr>
        <w:instrText xml:space="preserve"> </w:instrText>
      </w:r>
      <w:r>
        <w:rPr>
          <w:rFonts w:hint="eastAsia" w:ascii="宋体" w:hAnsi="宋体"/>
          <w:b/>
          <w:bCs/>
          <w:color w:val="auto"/>
          <w:sz w:val="24"/>
          <w:szCs w:val="24"/>
          <w:highlight w:val="none"/>
        </w:rPr>
        <w:instrText xml:space="preserve">eq \o\ac(</w:instrText>
      </w:r>
      <w:r>
        <w:rPr>
          <w:rFonts w:hint="eastAsia" w:ascii="宋体" w:hAnsi="宋体"/>
          <w:b/>
          <w:bCs/>
          <w:color w:val="auto"/>
          <w:position w:val="-4"/>
          <w:sz w:val="24"/>
          <w:szCs w:val="24"/>
          <w:highlight w:val="none"/>
        </w:rPr>
        <w:instrText xml:space="preserve">○</w:instrText>
      </w:r>
      <w:r>
        <w:rPr>
          <w:rFonts w:hint="eastAsia" w:ascii="宋体" w:hAnsi="宋体"/>
          <w:b/>
          <w:bCs/>
          <w:color w:val="auto"/>
          <w:sz w:val="24"/>
          <w:szCs w:val="24"/>
          <w:highlight w:val="none"/>
        </w:rPr>
        <w:instrText xml:space="preserve">,1)</w:instrText>
      </w:r>
      <w:r>
        <w:rPr>
          <w:rFonts w:ascii="宋体" w:hAnsi="宋体"/>
          <w:b/>
          <w:bCs/>
          <w:color w:val="auto"/>
          <w:sz w:val="24"/>
          <w:szCs w:val="24"/>
          <w:highlight w:val="none"/>
        </w:rPr>
        <w:fldChar w:fldCharType="end"/>
      </w:r>
      <w:r>
        <w:rPr>
          <w:rFonts w:hint="eastAsia" w:ascii="宋体" w:hAnsi="宋体" w:cs="宋体"/>
          <w:b/>
          <w:bCs/>
          <w:color w:val="auto"/>
          <w:sz w:val="24"/>
          <w:szCs w:val="24"/>
          <w:highlight w:val="none"/>
          <w:u w:val="single"/>
        </w:rPr>
        <w:t>承包人应严格执行国家的政策、法律、法规，因违反法律、法规造成的经济责任由承包人承担</w:t>
      </w:r>
      <w:r>
        <w:rPr>
          <w:rFonts w:hint="eastAsia" w:ascii="宋体" w:hAnsi="宋体"/>
          <w:b/>
          <w:bCs/>
          <w:color w:val="auto"/>
          <w:sz w:val="24"/>
          <w:szCs w:val="24"/>
          <w:highlight w:val="none"/>
        </w:rPr>
        <w:t>；</w:t>
      </w:r>
    </w:p>
    <w:p w14:paraId="725DF744">
      <w:pPr>
        <w:spacing w:line="360" w:lineRule="auto"/>
        <w:ind w:firstLine="482" w:firstLineChars="200"/>
        <w:rPr>
          <w:rFonts w:hint="eastAsia" w:ascii="宋体" w:hAnsi="宋体"/>
          <w:b/>
          <w:bCs/>
          <w:color w:val="auto"/>
          <w:sz w:val="24"/>
          <w:szCs w:val="24"/>
          <w:highlight w:val="none"/>
          <w:u w:val="single"/>
        </w:rPr>
      </w:pPr>
      <w:r>
        <w:rPr>
          <w:rFonts w:hint="eastAsia" w:ascii="宋体" w:hAnsi="宋体"/>
          <w:b/>
          <w:bCs/>
          <w:color w:val="auto"/>
          <w:sz w:val="24"/>
          <w:szCs w:val="24"/>
          <w:highlight w:val="none"/>
          <w:u w:val="single"/>
        </w:rPr>
        <w:t>②工程项目管理机构及管理组成人员必须按照投标文件承诺的“项目管理机构配备表”中的项目经理和各专业工程师及各管理人员在开工时全部到位，履行施工合同。管理人员必须相对稳定以确保施工质量、工期和工程造价。若不能按投标文件载明的人员到位，未经发包人批准，承包人每更换一次施工项目负责人，应向发包人支付违约金</w:t>
      </w:r>
      <w:r>
        <w:rPr>
          <w:rFonts w:hint="eastAsia" w:ascii="宋体" w:hAnsi="宋体"/>
          <w:b/>
          <w:bCs/>
          <w:color w:val="auto"/>
          <w:sz w:val="24"/>
          <w:szCs w:val="24"/>
          <w:highlight w:val="none"/>
          <w:u w:val="single"/>
          <w:lang w:val="en-US" w:eastAsia="zh-CN"/>
        </w:rPr>
        <w:t>1</w:t>
      </w:r>
      <w:r>
        <w:rPr>
          <w:rFonts w:hint="eastAsia" w:ascii="宋体" w:hAnsi="宋体"/>
          <w:b/>
          <w:bCs/>
          <w:color w:val="auto"/>
          <w:sz w:val="24"/>
          <w:szCs w:val="24"/>
          <w:highlight w:val="none"/>
          <w:u w:val="single"/>
        </w:rPr>
        <w:t>0万元，应向发包人支付违约金</w:t>
      </w:r>
      <w:r>
        <w:rPr>
          <w:rFonts w:hint="eastAsia" w:ascii="宋体" w:hAnsi="宋体"/>
          <w:b/>
          <w:bCs/>
          <w:color w:val="auto"/>
          <w:sz w:val="24"/>
          <w:szCs w:val="24"/>
          <w:highlight w:val="none"/>
          <w:u w:val="single"/>
          <w:lang w:val="en-US" w:eastAsia="zh-CN"/>
        </w:rPr>
        <w:t>5</w:t>
      </w:r>
      <w:r>
        <w:rPr>
          <w:rFonts w:hint="eastAsia" w:ascii="宋体" w:hAnsi="宋体"/>
          <w:b/>
          <w:bCs/>
          <w:color w:val="auto"/>
          <w:sz w:val="24"/>
          <w:szCs w:val="24"/>
          <w:highlight w:val="none"/>
          <w:u w:val="single"/>
        </w:rPr>
        <w:t>万元，每更换一次施工员</w:t>
      </w:r>
      <w:r>
        <w:rPr>
          <w:rFonts w:hint="eastAsia" w:ascii="宋体" w:hAnsi="宋体"/>
          <w:b/>
          <w:bCs/>
          <w:color w:val="auto"/>
          <w:sz w:val="24"/>
          <w:szCs w:val="24"/>
          <w:highlight w:val="none"/>
          <w:u w:val="single"/>
          <w:lang w:val="en-US" w:eastAsia="zh-CN"/>
        </w:rPr>
        <w:t xml:space="preserve"> </w:t>
      </w:r>
      <w:r>
        <w:rPr>
          <w:rFonts w:hint="eastAsia" w:ascii="宋体" w:hAnsi="宋体"/>
          <w:b/>
          <w:bCs/>
          <w:color w:val="auto"/>
          <w:sz w:val="24"/>
          <w:szCs w:val="24"/>
          <w:highlight w:val="none"/>
          <w:u w:val="single"/>
          <w:lang w:eastAsia="zh-CN"/>
        </w:rPr>
        <w:t>、质量员</w:t>
      </w:r>
      <w:r>
        <w:rPr>
          <w:rFonts w:hint="eastAsia" w:ascii="宋体" w:hAnsi="宋体"/>
          <w:b/>
          <w:bCs/>
          <w:color w:val="auto"/>
          <w:sz w:val="24"/>
          <w:szCs w:val="24"/>
          <w:highlight w:val="none"/>
          <w:u w:val="single"/>
          <w:lang w:val="en-US" w:eastAsia="zh-CN"/>
        </w:rPr>
        <w:t xml:space="preserve"> </w:t>
      </w:r>
      <w:r>
        <w:rPr>
          <w:rFonts w:hint="eastAsia" w:ascii="宋体" w:hAnsi="宋体"/>
          <w:b/>
          <w:bCs/>
          <w:color w:val="auto"/>
          <w:sz w:val="24"/>
          <w:szCs w:val="24"/>
          <w:highlight w:val="none"/>
          <w:u w:val="single"/>
          <w:lang w:eastAsia="zh-CN"/>
        </w:rPr>
        <w:t>、</w:t>
      </w:r>
      <w:r>
        <w:rPr>
          <w:rFonts w:hint="eastAsia" w:ascii="宋体" w:hAnsi="宋体"/>
          <w:b/>
          <w:bCs/>
          <w:color w:val="auto"/>
          <w:sz w:val="24"/>
          <w:szCs w:val="24"/>
          <w:highlight w:val="none"/>
          <w:u w:val="single"/>
        </w:rPr>
        <w:t>安全员</w:t>
      </w:r>
      <w:r>
        <w:rPr>
          <w:rFonts w:hint="eastAsia" w:ascii="宋体" w:hAnsi="宋体"/>
          <w:b/>
          <w:bCs/>
          <w:color w:val="auto"/>
          <w:sz w:val="24"/>
          <w:szCs w:val="24"/>
          <w:highlight w:val="none"/>
          <w:u w:val="single"/>
          <w:lang w:val="en-US" w:eastAsia="zh-CN"/>
        </w:rPr>
        <w:t xml:space="preserve"> </w:t>
      </w:r>
      <w:r>
        <w:rPr>
          <w:rFonts w:hint="eastAsia" w:ascii="宋体" w:hAnsi="宋体"/>
          <w:b/>
          <w:bCs/>
          <w:color w:val="auto"/>
          <w:sz w:val="24"/>
          <w:szCs w:val="24"/>
          <w:highlight w:val="none"/>
          <w:u w:val="single"/>
          <w:lang w:eastAsia="zh-CN"/>
        </w:rPr>
        <w:t>、劳务员</w:t>
      </w:r>
      <w:r>
        <w:rPr>
          <w:rFonts w:hint="eastAsia" w:ascii="宋体" w:hAnsi="宋体"/>
          <w:b/>
          <w:bCs/>
          <w:color w:val="auto"/>
          <w:sz w:val="24"/>
          <w:szCs w:val="24"/>
          <w:highlight w:val="none"/>
          <w:u w:val="single"/>
        </w:rPr>
        <w:t>向发包人支付违约金</w:t>
      </w:r>
      <w:r>
        <w:rPr>
          <w:rFonts w:hint="eastAsia" w:ascii="宋体" w:hAnsi="宋体"/>
          <w:b/>
          <w:bCs/>
          <w:color w:val="auto"/>
          <w:sz w:val="24"/>
          <w:szCs w:val="24"/>
          <w:highlight w:val="none"/>
          <w:u w:val="single"/>
          <w:lang w:val="en-US" w:eastAsia="zh-CN"/>
        </w:rPr>
        <w:t>2</w:t>
      </w:r>
      <w:r>
        <w:rPr>
          <w:rFonts w:hint="eastAsia" w:ascii="宋体" w:hAnsi="宋体"/>
          <w:b/>
          <w:bCs/>
          <w:color w:val="auto"/>
          <w:sz w:val="24"/>
          <w:szCs w:val="24"/>
          <w:highlight w:val="none"/>
          <w:u w:val="single"/>
        </w:rPr>
        <w:t>万元，人员变动数量不得高于</w:t>
      </w:r>
      <w:r>
        <w:rPr>
          <w:rFonts w:hint="eastAsia" w:ascii="宋体" w:hAnsi="宋体"/>
          <w:b/>
          <w:bCs/>
          <w:color w:val="auto"/>
          <w:sz w:val="24"/>
          <w:szCs w:val="24"/>
          <w:highlight w:val="none"/>
          <w:u w:val="single"/>
          <w:lang w:val="en-US" w:eastAsia="zh-CN"/>
        </w:rPr>
        <w:t>50</w:t>
      </w:r>
      <w:r>
        <w:rPr>
          <w:rFonts w:hint="eastAsia" w:ascii="宋体" w:hAnsi="宋体"/>
          <w:b/>
          <w:bCs/>
          <w:color w:val="auto"/>
          <w:sz w:val="24"/>
          <w:szCs w:val="24"/>
          <w:highlight w:val="none"/>
          <w:u w:val="single"/>
        </w:rPr>
        <w:t>%时，或在开工后10日内上述人员仍不能到位时，发包人有权单方面解除合同。工程施工期间，确因特殊情况（如因病</w:t>
      </w:r>
      <w:r>
        <w:rPr>
          <w:rFonts w:hint="eastAsia" w:ascii="宋体" w:hAnsi="宋体"/>
          <w:b/>
          <w:bCs/>
          <w:color w:val="auto"/>
          <w:sz w:val="24"/>
          <w:szCs w:val="24"/>
          <w:highlight w:val="none"/>
          <w:u w:val="single"/>
          <w:lang w:eastAsia="zh-CN"/>
        </w:rPr>
        <w:t>、</w:t>
      </w:r>
      <w:r>
        <w:rPr>
          <w:rFonts w:hint="eastAsia" w:ascii="宋体" w:hAnsi="宋体"/>
          <w:b/>
          <w:bCs/>
          <w:color w:val="auto"/>
          <w:sz w:val="24"/>
          <w:szCs w:val="24"/>
          <w:highlight w:val="none"/>
          <w:u w:val="single"/>
        </w:rPr>
        <w:t>死亡</w:t>
      </w:r>
      <w:r>
        <w:rPr>
          <w:rFonts w:hint="eastAsia" w:ascii="宋体" w:hAnsi="宋体"/>
          <w:b/>
          <w:bCs/>
          <w:color w:val="auto"/>
          <w:sz w:val="24"/>
          <w:szCs w:val="24"/>
          <w:highlight w:val="none"/>
          <w:u w:val="single"/>
          <w:lang w:eastAsia="zh-CN"/>
        </w:rPr>
        <w:t>、离职</w:t>
      </w:r>
      <w:r>
        <w:rPr>
          <w:rFonts w:hint="eastAsia" w:ascii="宋体" w:hAnsi="宋体"/>
          <w:b/>
          <w:bCs/>
          <w:color w:val="auto"/>
          <w:sz w:val="24"/>
          <w:szCs w:val="24"/>
          <w:highlight w:val="none"/>
          <w:u w:val="single"/>
        </w:rPr>
        <w:t>等重大事故）需要更换调配工程施工管理人员时，需提供相关证明文件征得发包人书面批准后方可更换，无需缴纳违约金。新调进人员资质不得低于被调出人员，否则发包人有权要求更换。</w:t>
      </w:r>
    </w:p>
    <w:p w14:paraId="02AE77BF">
      <w:pPr>
        <w:spacing w:line="360" w:lineRule="auto"/>
        <w:ind w:firstLine="482" w:firstLineChars="200"/>
        <w:rPr>
          <w:rFonts w:hint="eastAsia" w:ascii="宋体" w:hAnsi="宋体"/>
          <w:b/>
          <w:bCs/>
          <w:color w:val="auto"/>
          <w:sz w:val="24"/>
          <w:szCs w:val="24"/>
          <w:highlight w:val="none"/>
          <w:u w:val="single"/>
        </w:rPr>
      </w:pPr>
      <w:r>
        <w:rPr>
          <w:rFonts w:hint="eastAsia" w:ascii="宋体" w:hAnsi="宋体"/>
          <w:b/>
          <w:bCs/>
          <w:color w:val="auto"/>
          <w:sz w:val="24"/>
          <w:szCs w:val="24"/>
          <w:highlight w:val="none"/>
          <w:u w:val="single"/>
        </w:rPr>
        <w:t>③进场前7日，承包人必须向发包人提供进驻工地的施工管理人员的相应执业资格证书、技术职称资格证书、管理岗位证书原件和身份证复印件，由发包人存档，以便监督管理人员的到位情况和确保施工的质量。逾期提供的，每逾期一日，承包人应向发包人支付违约金2万元。</w:t>
      </w:r>
    </w:p>
    <w:p w14:paraId="449C9564">
      <w:pPr>
        <w:spacing w:line="360" w:lineRule="auto"/>
        <w:ind w:firstLine="482" w:firstLineChars="200"/>
        <w:rPr>
          <w:rFonts w:ascii="宋体" w:hAnsi="宋体"/>
          <w:b/>
          <w:bCs/>
          <w:color w:val="auto"/>
          <w:sz w:val="24"/>
          <w:szCs w:val="24"/>
          <w:highlight w:val="none"/>
          <w:u w:val="single"/>
        </w:rPr>
      </w:pPr>
      <w:r>
        <w:rPr>
          <w:rFonts w:hint="eastAsia" w:ascii="宋体" w:hAnsi="宋体"/>
          <w:b/>
          <w:bCs/>
          <w:color w:val="auto"/>
          <w:sz w:val="24"/>
          <w:szCs w:val="24"/>
          <w:highlight w:val="none"/>
          <w:u w:val="single"/>
        </w:rPr>
        <w:t xml:space="preserve">④承包人如委托劳务队伍，应与劳务公司签订劳务合同。承包人与劳务公司签订的合同中，必须要求劳务公司执行以下规定：  </w:t>
      </w:r>
    </w:p>
    <w:p w14:paraId="7F264ADC">
      <w:pPr>
        <w:spacing w:line="360" w:lineRule="auto"/>
        <w:ind w:firstLine="482" w:firstLineChars="200"/>
        <w:rPr>
          <w:rFonts w:ascii="宋体" w:hAnsi="宋体"/>
          <w:b/>
          <w:bCs/>
          <w:color w:val="auto"/>
          <w:sz w:val="24"/>
          <w:szCs w:val="24"/>
          <w:highlight w:val="none"/>
          <w:u w:val="single"/>
        </w:rPr>
      </w:pPr>
      <w:r>
        <w:rPr>
          <w:rFonts w:hint="eastAsia" w:ascii="宋体" w:hAnsi="宋体"/>
          <w:b/>
          <w:bCs/>
          <w:color w:val="auto"/>
          <w:sz w:val="24"/>
          <w:szCs w:val="24"/>
          <w:highlight w:val="none"/>
          <w:u w:val="single"/>
        </w:rPr>
        <w:t>A. 必须与每一个用工者签订用工合同；</w:t>
      </w:r>
    </w:p>
    <w:p w14:paraId="75BAA79C">
      <w:pPr>
        <w:spacing w:line="360" w:lineRule="auto"/>
        <w:ind w:firstLine="482" w:firstLineChars="200"/>
        <w:rPr>
          <w:rFonts w:ascii="宋体" w:hAnsi="宋体"/>
          <w:b/>
          <w:bCs/>
          <w:color w:val="auto"/>
          <w:sz w:val="24"/>
          <w:szCs w:val="24"/>
          <w:highlight w:val="none"/>
          <w:u w:val="single"/>
        </w:rPr>
      </w:pPr>
      <w:r>
        <w:rPr>
          <w:rFonts w:hint="eastAsia" w:ascii="宋体" w:hAnsi="宋体"/>
          <w:b/>
          <w:bCs/>
          <w:color w:val="auto"/>
          <w:sz w:val="24"/>
          <w:szCs w:val="24"/>
          <w:highlight w:val="none"/>
          <w:u w:val="single"/>
        </w:rPr>
        <w:t>B. 劳务合同中包括用工者的人身意外伤害保险及安全条款；</w:t>
      </w:r>
    </w:p>
    <w:p w14:paraId="2BA7E1A1">
      <w:pPr>
        <w:spacing w:line="360" w:lineRule="auto"/>
        <w:ind w:firstLine="482" w:firstLineChars="200"/>
        <w:rPr>
          <w:rFonts w:ascii="宋体" w:hAnsi="宋体"/>
          <w:b/>
          <w:bCs/>
          <w:color w:val="auto"/>
          <w:sz w:val="24"/>
          <w:szCs w:val="24"/>
          <w:highlight w:val="none"/>
          <w:u w:val="single"/>
        </w:rPr>
      </w:pPr>
      <w:r>
        <w:rPr>
          <w:rFonts w:hint="eastAsia" w:ascii="宋体" w:hAnsi="宋体"/>
          <w:b/>
          <w:bCs/>
          <w:color w:val="auto"/>
          <w:sz w:val="24"/>
          <w:szCs w:val="24"/>
          <w:highlight w:val="none"/>
          <w:u w:val="single"/>
        </w:rPr>
        <w:t>C. 农民工工资制度必须执行国务院《保障农民工工资支付条例》。且农民工工资实名制管理，落实银行卡发放。</w:t>
      </w:r>
    </w:p>
    <w:p w14:paraId="15E622A3">
      <w:pPr>
        <w:spacing w:line="360" w:lineRule="auto"/>
        <w:ind w:firstLine="482" w:firstLineChars="200"/>
        <w:rPr>
          <w:rFonts w:hint="eastAsia" w:ascii="宋体" w:hAnsi="宋体"/>
          <w:b/>
          <w:bCs/>
          <w:color w:val="auto"/>
          <w:sz w:val="24"/>
          <w:szCs w:val="24"/>
          <w:highlight w:val="none"/>
          <w:u w:val="single"/>
        </w:rPr>
      </w:pPr>
      <w:r>
        <w:rPr>
          <w:rFonts w:hint="eastAsia" w:ascii="宋体" w:hAnsi="宋体"/>
          <w:b/>
          <w:bCs/>
          <w:color w:val="auto"/>
          <w:sz w:val="24"/>
          <w:szCs w:val="24"/>
          <w:highlight w:val="none"/>
          <w:u w:val="single"/>
        </w:rPr>
        <w:t>D. 与发包人签订农民工工资支付责任状。承包人必须按月足额发放，保证不拖欠农民工工资</w:t>
      </w:r>
      <w:r>
        <w:rPr>
          <w:rFonts w:hint="eastAsia" w:ascii="宋体" w:hAnsi="宋体"/>
          <w:b/>
          <w:bCs/>
          <w:color w:val="auto"/>
          <w:sz w:val="24"/>
          <w:szCs w:val="24"/>
          <w:highlight w:val="none"/>
          <w:u w:val="single"/>
          <w:lang w:eastAsia="zh-CN"/>
        </w:rPr>
        <w:t>，</w:t>
      </w:r>
      <w:r>
        <w:rPr>
          <w:rFonts w:hint="eastAsia" w:ascii="宋体" w:hAnsi="宋体"/>
          <w:b/>
          <w:bCs/>
          <w:color w:val="auto"/>
          <w:sz w:val="24"/>
          <w:szCs w:val="24"/>
          <w:highlight w:val="none"/>
          <w:u w:val="single"/>
        </w:rPr>
        <w:t>施工现场必须设置农民工维权公示牌。</w:t>
      </w:r>
    </w:p>
    <w:p w14:paraId="3C23FD5E">
      <w:pPr>
        <w:spacing w:line="360" w:lineRule="auto"/>
        <w:ind w:firstLine="482" w:firstLineChars="200"/>
        <w:rPr>
          <w:rFonts w:hint="eastAsia" w:ascii="宋体" w:hAnsi="宋体"/>
          <w:b/>
          <w:bCs/>
          <w:color w:val="auto"/>
          <w:sz w:val="24"/>
          <w:szCs w:val="24"/>
          <w:highlight w:val="none"/>
          <w:u w:val="single"/>
        </w:rPr>
      </w:pPr>
      <w:r>
        <w:rPr>
          <w:rFonts w:hint="eastAsia" w:ascii="宋体" w:hAnsi="宋体"/>
          <w:b/>
          <w:bCs/>
          <w:color w:val="auto"/>
          <w:sz w:val="24"/>
          <w:szCs w:val="24"/>
          <w:highlight w:val="none"/>
          <w:u w:val="single"/>
        </w:rPr>
        <w:t>如承包人未按发包人要求履行上述约定时，发包人有权不与承包人办理任何手续，直接从进度款中支付给农民工工资，并从工程款中直接扣回，承包人不得以任何理由向任何机关、部门以任何形式提出任何异议，即承包人放弃异议权利，且每发生一次承包人应向发包人支付违约金20万元。</w:t>
      </w:r>
    </w:p>
    <w:p w14:paraId="1F78F157">
      <w:pPr>
        <w:spacing w:line="360" w:lineRule="auto"/>
        <w:ind w:firstLine="482" w:firstLineChars="200"/>
        <w:rPr>
          <w:rFonts w:hint="eastAsia" w:ascii="宋体" w:hAnsi="宋体"/>
          <w:b/>
          <w:bCs/>
          <w:color w:val="auto"/>
          <w:sz w:val="24"/>
          <w:szCs w:val="24"/>
          <w:highlight w:val="none"/>
          <w:u w:val="single"/>
        </w:rPr>
      </w:pPr>
      <w:r>
        <w:rPr>
          <w:rFonts w:hint="eastAsia" w:ascii="宋体" w:hAnsi="宋体"/>
          <w:b/>
          <w:bCs/>
          <w:color w:val="auto"/>
          <w:sz w:val="24"/>
          <w:szCs w:val="24"/>
          <w:highlight w:val="none"/>
        </w:rPr>
        <w:t>在办理施工许可证前，承包人必须按相关规定缴纳农民工工资保障金和工伤保险，缴纳的形式、金额及期限</w:t>
      </w:r>
      <w:r>
        <w:rPr>
          <w:rFonts w:hint="eastAsia" w:ascii="宋体" w:hAnsi="宋体"/>
          <w:b/>
          <w:bCs/>
          <w:color w:val="auto"/>
          <w:sz w:val="24"/>
          <w:szCs w:val="24"/>
          <w:highlight w:val="none"/>
          <w:u w:val="single"/>
        </w:rPr>
        <w:t>按照行业主管部门要求执行</w:t>
      </w:r>
      <w:r>
        <w:rPr>
          <w:rFonts w:hint="eastAsia" w:ascii="宋体" w:hAnsi="宋体"/>
          <w:b/>
          <w:bCs/>
          <w:color w:val="auto"/>
          <w:sz w:val="24"/>
          <w:szCs w:val="24"/>
          <w:highlight w:val="none"/>
        </w:rPr>
        <w:t>。</w:t>
      </w:r>
    </w:p>
    <w:p w14:paraId="5558B3FF">
      <w:pPr>
        <w:spacing w:line="360" w:lineRule="auto"/>
        <w:ind w:firstLine="482" w:firstLineChars="200"/>
        <w:rPr>
          <w:rFonts w:hint="eastAsia" w:ascii="宋体" w:hAnsi="宋体"/>
          <w:b/>
          <w:bCs/>
          <w:color w:val="auto"/>
          <w:sz w:val="24"/>
          <w:szCs w:val="24"/>
          <w:highlight w:val="none"/>
          <w:u w:val="single"/>
        </w:rPr>
      </w:pPr>
      <w:r>
        <w:rPr>
          <w:rFonts w:hint="eastAsia" w:ascii="宋体" w:hAnsi="宋体"/>
          <w:b/>
          <w:bCs/>
          <w:color w:val="auto"/>
          <w:sz w:val="24"/>
          <w:szCs w:val="24"/>
          <w:highlight w:val="none"/>
          <w:u w:val="single"/>
        </w:rPr>
        <w:t>未涉及事宜，执行《鄂尔多斯市政府投资项目代建中心农民工工资发放监督管理制度》的相关规定。</w:t>
      </w:r>
    </w:p>
    <w:p w14:paraId="67BF194B">
      <w:pPr>
        <w:spacing w:line="360" w:lineRule="auto"/>
        <w:ind w:firstLine="482" w:firstLineChars="200"/>
        <w:rPr>
          <w:rFonts w:ascii="宋体" w:hAnsi="宋体"/>
          <w:b/>
          <w:bCs/>
          <w:color w:val="auto"/>
          <w:sz w:val="24"/>
          <w:szCs w:val="24"/>
          <w:highlight w:val="none"/>
          <w:u w:val="single"/>
        </w:rPr>
      </w:pPr>
      <w:r>
        <w:rPr>
          <w:rFonts w:hint="eastAsia" w:ascii="宋体" w:hAnsi="宋体" w:cs="宋体"/>
          <w:b/>
          <w:bCs/>
          <w:color w:val="auto"/>
          <w:sz w:val="24"/>
          <w:szCs w:val="24"/>
          <w:highlight w:val="none"/>
          <w:u w:val="single"/>
        </w:rPr>
        <w:t>⑤</w:t>
      </w:r>
      <w:r>
        <w:rPr>
          <w:rFonts w:hint="eastAsia" w:ascii="宋体" w:hAnsi="宋体"/>
          <w:b/>
          <w:bCs/>
          <w:color w:val="auto"/>
          <w:sz w:val="24"/>
          <w:szCs w:val="24"/>
          <w:highlight w:val="none"/>
          <w:u w:val="single"/>
        </w:rPr>
        <w:t>在工程施工中，凡产生构成结算价款的经济事项必须经发包人派驻</w:t>
      </w:r>
      <w:r>
        <w:rPr>
          <w:rFonts w:hint="eastAsia" w:ascii="宋体" w:hAnsi="宋体"/>
          <w:b/>
          <w:bCs/>
          <w:color w:val="auto"/>
          <w:sz w:val="24"/>
          <w:szCs w:val="24"/>
          <w:highlight w:val="none"/>
          <w:u w:val="single"/>
          <w:lang w:val="en-US" w:eastAsia="zh-CN"/>
        </w:rPr>
        <w:t>的</w:t>
      </w:r>
      <w:r>
        <w:rPr>
          <w:rFonts w:hint="eastAsia" w:ascii="宋体" w:hAnsi="宋体"/>
          <w:b/>
          <w:bCs/>
          <w:color w:val="auto"/>
          <w:sz w:val="24"/>
          <w:szCs w:val="24"/>
          <w:highlight w:val="none"/>
          <w:u w:val="single"/>
        </w:rPr>
        <w:t>工程师严格审核，并根据变更金额经发包人各级领导批准后生效。</w:t>
      </w:r>
    </w:p>
    <w:p w14:paraId="6B417FC0">
      <w:pPr>
        <w:spacing w:line="360" w:lineRule="auto"/>
        <w:ind w:firstLine="482" w:firstLineChars="200"/>
        <w:rPr>
          <w:rFonts w:ascii="宋体" w:hAnsi="宋体"/>
          <w:b/>
          <w:bCs/>
          <w:color w:val="auto"/>
          <w:sz w:val="24"/>
          <w:szCs w:val="24"/>
          <w:highlight w:val="none"/>
          <w:u w:val="single"/>
        </w:rPr>
      </w:pPr>
      <w:r>
        <w:rPr>
          <w:rFonts w:hint="eastAsia" w:ascii="宋体" w:hAnsi="宋体" w:cs="宋体"/>
          <w:b/>
          <w:bCs/>
          <w:color w:val="auto"/>
          <w:sz w:val="24"/>
          <w:szCs w:val="24"/>
          <w:highlight w:val="none"/>
          <w:u w:val="single"/>
        </w:rPr>
        <w:t>⑥</w:t>
      </w:r>
      <w:r>
        <w:rPr>
          <w:rFonts w:hint="eastAsia" w:ascii="宋体" w:hAnsi="宋体"/>
          <w:b/>
          <w:bCs/>
          <w:color w:val="auto"/>
          <w:sz w:val="24"/>
          <w:szCs w:val="24"/>
          <w:highlight w:val="none"/>
          <w:u w:val="single"/>
        </w:rPr>
        <w:t>本工程安装所需明装或暗装的孔洞、埋管，二次配管、开槽、支架及安装后的封堵等工作均由承包单位自行完成，合同价不予调整。</w:t>
      </w:r>
      <w:r>
        <w:rPr>
          <w:rFonts w:hint="eastAsia" w:ascii="宋体" w:hAnsi="宋体" w:cs="宋体"/>
          <w:b/>
          <w:bCs/>
          <w:color w:val="auto"/>
          <w:sz w:val="24"/>
          <w:szCs w:val="24"/>
          <w:highlight w:val="none"/>
          <w:u w:val="single"/>
        </w:rPr>
        <w:t>施工场地清洁卫生</w:t>
      </w:r>
      <w:r>
        <w:rPr>
          <w:rFonts w:hint="eastAsia" w:ascii="宋体" w:hAnsi="宋体"/>
          <w:b/>
          <w:bCs/>
          <w:color w:val="auto"/>
          <w:sz w:val="24"/>
          <w:szCs w:val="24"/>
          <w:highlight w:val="none"/>
          <w:u w:val="single"/>
        </w:rPr>
        <w:t>等工作产生的费用均已包含在合同价中。</w:t>
      </w:r>
    </w:p>
    <w:p w14:paraId="6066C702">
      <w:pPr>
        <w:spacing w:line="360" w:lineRule="auto"/>
        <w:ind w:firstLine="482" w:firstLineChars="200"/>
        <w:rPr>
          <w:rFonts w:ascii="宋体" w:hAnsi="宋体"/>
          <w:b/>
          <w:bCs/>
          <w:color w:val="auto"/>
          <w:sz w:val="24"/>
          <w:szCs w:val="24"/>
          <w:highlight w:val="none"/>
          <w:u w:val="single"/>
        </w:rPr>
      </w:pPr>
      <w:r>
        <w:rPr>
          <w:rFonts w:hint="eastAsia" w:ascii="宋体" w:hAnsi="宋体" w:cs="宋体"/>
          <w:b/>
          <w:bCs/>
          <w:color w:val="auto"/>
          <w:sz w:val="24"/>
          <w:szCs w:val="24"/>
          <w:highlight w:val="none"/>
          <w:u w:val="single"/>
        </w:rPr>
        <w:t>⑦</w:t>
      </w:r>
      <w:r>
        <w:rPr>
          <w:rFonts w:hint="eastAsia" w:ascii="宋体" w:hAnsi="宋体"/>
          <w:b/>
          <w:bCs/>
          <w:color w:val="auto"/>
          <w:sz w:val="24"/>
          <w:szCs w:val="24"/>
          <w:highlight w:val="none"/>
          <w:u w:val="single"/>
        </w:rPr>
        <w:t>有以下情况造成返工的，费用均由承包单位自行承担：</w:t>
      </w:r>
    </w:p>
    <w:p w14:paraId="6BB24302">
      <w:pPr>
        <w:spacing w:line="360" w:lineRule="auto"/>
        <w:ind w:firstLine="482" w:firstLineChars="200"/>
        <w:rPr>
          <w:rFonts w:ascii="宋体" w:hAnsi="宋体"/>
          <w:b/>
          <w:bCs/>
          <w:color w:val="auto"/>
          <w:sz w:val="24"/>
          <w:szCs w:val="24"/>
          <w:highlight w:val="none"/>
          <w:u w:val="single"/>
        </w:rPr>
      </w:pPr>
      <w:r>
        <w:rPr>
          <w:rFonts w:ascii="宋体" w:hAnsi="宋体"/>
          <w:b/>
          <w:bCs/>
          <w:color w:val="auto"/>
          <w:sz w:val="24"/>
          <w:szCs w:val="24"/>
          <w:highlight w:val="none"/>
          <w:u w:val="single"/>
        </w:rPr>
        <w:t>A</w:t>
      </w:r>
      <w:r>
        <w:rPr>
          <w:rFonts w:hint="eastAsia" w:ascii="宋体" w:hAnsi="宋体"/>
          <w:b/>
          <w:bCs/>
          <w:color w:val="auto"/>
          <w:sz w:val="24"/>
          <w:szCs w:val="24"/>
          <w:highlight w:val="none"/>
          <w:u w:val="single"/>
        </w:rPr>
        <w:t>：施工过程中各专业图纸如有错漏或位置冲突，未通知监理、甲方及设计院进行调整，擅自施工造成返工的；</w:t>
      </w:r>
    </w:p>
    <w:p w14:paraId="564BCA71">
      <w:pPr>
        <w:spacing w:line="360" w:lineRule="auto"/>
        <w:ind w:firstLine="482" w:firstLineChars="200"/>
        <w:rPr>
          <w:rFonts w:ascii="宋体" w:hAnsi="宋体"/>
          <w:b/>
          <w:bCs/>
          <w:color w:val="auto"/>
          <w:sz w:val="24"/>
          <w:szCs w:val="24"/>
          <w:highlight w:val="none"/>
          <w:u w:val="single"/>
        </w:rPr>
      </w:pPr>
      <w:r>
        <w:rPr>
          <w:rFonts w:ascii="宋体" w:hAnsi="宋体"/>
          <w:b/>
          <w:bCs/>
          <w:color w:val="auto"/>
          <w:sz w:val="24"/>
          <w:szCs w:val="24"/>
          <w:highlight w:val="none"/>
          <w:u w:val="single"/>
        </w:rPr>
        <w:t>B</w:t>
      </w:r>
      <w:r>
        <w:rPr>
          <w:rFonts w:hint="eastAsia" w:ascii="宋体" w:hAnsi="宋体"/>
          <w:b/>
          <w:bCs/>
          <w:color w:val="auto"/>
          <w:sz w:val="24"/>
          <w:szCs w:val="24"/>
          <w:highlight w:val="none"/>
          <w:u w:val="single"/>
        </w:rPr>
        <w:t>：施工中所有预留洞口、检查口、风口、安装洞口等须承包人组织各专业施工队参照图纸进行施工，未预留或预留不准确后期造成返工的；</w:t>
      </w:r>
    </w:p>
    <w:p w14:paraId="4754391A">
      <w:pPr>
        <w:spacing w:line="360" w:lineRule="auto"/>
        <w:ind w:firstLine="482" w:firstLineChars="200"/>
        <w:rPr>
          <w:rFonts w:ascii="宋体" w:hAnsi="宋体"/>
          <w:b/>
          <w:bCs/>
          <w:color w:val="auto"/>
          <w:sz w:val="24"/>
          <w:szCs w:val="24"/>
          <w:highlight w:val="none"/>
          <w:u w:val="single"/>
        </w:rPr>
      </w:pPr>
      <w:r>
        <w:rPr>
          <w:rFonts w:ascii="宋体" w:hAnsi="宋体"/>
          <w:b/>
          <w:bCs/>
          <w:color w:val="auto"/>
          <w:sz w:val="24"/>
          <w:szCs w:val="24"/>
          <w:highlight w:val="none"/>
          <w:u w:val="single"/>
        </w:rPr>
        <w:t>C</w:t>
      </w:r>
      <w:r>
        <w:rPr>
          <w:rFonts w:hint="eastAsia" w:ascii="宋体" w:hAnsi="宋体"/>
          <w:b/>
          <w:bCs/>
          <w:color w:val="auto"/>
          <w:sz w:val="24"/>
          <w:szCs w:val="24"/>
          <w:highlight w:val="none"/>
          <w:u w:val="single"/>
        </w:rPr>
        <w:t>: 本工程在室内管路安装阶段，应由承包人牵头各分包单位根据设计院提供的管道综合排布图结合现场实际情况编制室内综合管道排布方案，并报监理单位审批通过后方可实施，如擅自施工或者未按照方案实施造成返工的；</w:t>
      </w:r>
    </w:p>
    <w:p w14:paraId="48661083">
      <w:pPr>
        <w:spacing w:line="360" w:lineRule="auto"/>
        <w:ind w:firstLine="482" w:firstLineChars="200"/>
        <w:rPr>
          <w:rFonts w:ascii="宋体" w:hAnsi="宋体"/>
          <w:b/>
          <w:bCs/>
          <w:color w:val="auto"/>
          <w:sz w:val="24"/>
          <w:szCs w:val="24"/>
          <w:highlight w:val="none"/>
          <w:u w:val="single"/>
        </w:rPr>
      </w:pPr>
      <w:r>
        <w:rPr>
          <w:rFonts w:hint="eastAsia" w:ascii="宋体" w:hAnsi="宋体"/>
          <w:b/>
          <w:bCs/>
          <w:color w:val="auto"/>
          <w:sz w:val="24"/>
          <w:szCs w:val="24"/>
          <w:highlight w:val="none"/>
          <w:u w:val="single"/>
        </w:rPr>
        <w:t>D:施工之前承包人须组织各工种参照施工图纸完成所有房间管道综合排布。承包人在投标报价时已考虑水、暖、电、风、气、讯等安装专业管道翻弯工程量，以及喷淋头、灯、风口等安装设备追位工程量，后续不增加造价。</w:t>
      </w:r>
    </w:p>
    <w:p w14:paraId="6F5BA2A6">
      <w:pPr>
        <w:spacing w:line="360" w:lineRule="auto"/>
        <w:ind w:firstLine="506" w:firstLineChars="210"/>
        <w:rPr>
          <w:rFonts w:ascii="宋体" w:hAnsi="宋体"/>
          <w:b/>
          <w:bCs/>
          <w:color w:val="auto"/>
          <w:sz w:val="24"/>
          <w:szCs w:val="24"/>
          <w:highlight w:val="none"/>
          <w:u w:val="single"/>
        </w:rPr>
      </w:pPr>
      <w:r>
        <w:rPr>
          <w:rFonts w:hint="eastAsia" w:ascii="宋体" w:hAnsi="宋体" w:cs="宋体"/>
          <w:b/>
          <w:bCs/>
          <w:color w:val="auto"/>
          <w:sz w:val="24"/>
          <w:szCs w:val="24"/>
          <w:highlight w:val="none"/>
          <w:u w:val="single"/>
        </w:rPr>
        <w:t>⑧</w:t>
      </w:r>
      <w:r>
        <w:rPr>
          <w:rFonts w:hint="eastAsia" w:ascii="宋体" w:hAnsi="宋体"/>
          <w:b/>
          <w:bCs/>
          <w:color w:val="auto"/>
          <w:sz w:val="24"/>
          <w:szCs w:val="24"/>
          <w:highlight w:val="none"/>
          <w:u w:val="single"/>
        </w:rPr>
        <w:t>如果建设行政主管部门要求本项目采用新材料、新技术和措施（如BIM技术），发生时据实结算。</w:t>
      </w:r>
    </w:p>
    <w:p w14:paraId="385FB942">
      <w:pPr>
        <w:spacing w:line="360" w:lineRule="auto"/>
        <w:ind w:firstLine="506" w:firstLineChars="210"/>
        <w:rPr>
          <w:rFonts w:ascii="宋体" w:hAnsi="宋体"/>
          <w:b/>
          <w:bCs/>
          <w:color w:val="auto"/>
          <w:sz w:val="24"/>
          <w:szCs w:val="24"/>
          <w:highlight w:val="none"/>
          <w:u w:val="single"/>
        </w:rPr>
      </w:pPr>
      <w:r>
        <w:rPr>
          <w:rFonts w:hint="eastAsia" w:ascii="宋体" w:hAnsi="宋体"/>
          <w:b/>
          <w:bCs/>
          <w:color w:val="auto"/>
          <w:sz w:val="24"/>
          <w:szCs w:val="24"/>
          <w:highlight w:val="none"/>
          <w:u w:val="single"/>
        </w:rPr>
        <w:t>⑨承包人负责采购材料设备的，应按照招标文件要求、合同约定及发包人要求或设计、有关标准的要求进行采购，承包人擅自变更材料、设备的品牌、规格等的，承包人应根据发包人或承包人要求无条件拆除、更换，且由此造成的工期延误及违约责任等均由承包人承担；发包人亦有权选择如下任一或全部解决方式：</w:t>
      </w:r>
    </w:p>
    <w:p w14:paraId="4106FBCE">
      <w:pPr>
        <w:numPr>
          <w:ilvl w:val="0"/>
          <w:numId w:val="4"/>
        </w:numPr>
        <w:spacing w:line="360" w:lineRule="auto"/>
        <w:ind w:firstLine="506" w:firstLineChars="210"/>
        <w:rPr>
          <w:rFonts w:ascii="宋体" w:hAnsi="宋体"/>
          <w:b/>
          <w:bCs/>
          <w:color w:val="auto"/>
          <w:sz w:val="24"/>
          <w:szCs w:val="24"/>
          <w:highlight w:val="none"/>
          <w:u w:val="single"/>
        </w:rPr>
      </w:pPr>
      <w:r>
        <w:rPr>
          <w:rFonts w:hint="eastAsia" w:ascii="宋体" w:hAnsi="宋体"/>
          <w:b/>
          <w:bCs/>
          <w:color w:val="auto"/>
          <w:sz w:val="24"/>
          <w:szCs w:val="24"/>
          <w:highlight w:val="none"/>
          <w:u w:val="single"/>
        </w:rPr>
        <w:t>若承包人擅自变更用于工程的材料设备的价格高于合同约定的材料设备的价格的，则按照合同约定的材料设备价格进行结算，差额部分发包人不予结算及支付；若承包人擅自变更用于工程的材料设备的价格低于合同约定的材料设备的价格的，则按照实际使用的材料设备价格进行结算，差额部分发包人不予结算及支付。</w:t>
      </w:r>
    </w:p>
    <w:p w14:paraId="5D46A2B9">
      <w:pPr>
        <w:numPr>
          <w:ilvl w:val="0"/>
          <w:numId w:val="4"/>
        </w:numPr>
        <w:spacing w:line="360" w:lineRule="auto"/>
        <w:ind w:firstLine="506" w:firstLineChars="210"/>
        <w:rPr>
          <w:rFonts w:ascii="宋体" w:hAnsi="宋体"/>
          <w:b/>
          <w:bCs/>
          <w:color w:val="auto"/>
          <w:sz w:val="24"/>
          <w:szCs w:val="24"/>
          <w:highlight w:val="none"/>
          <w:u w:val="single"/>
        </w:rPr>
      </w:pPr>
      <w:r>
        <w:rPr>
          <w:rFonts w:hint="eastAsia" w:ascii="宋体" w:hAnsi="宋体"/>
          <w:b/>
          <w:bCs/>
          <w:color w:val="auto"/>
          <w:sz w:val="24"/>
          <w:szCs w:val="24"/>
          <w:highlight w:val="none"/>
          <w:u w:val="single"/>
        </w:rPr>
        <w:t>承包人需按照合同约定的材料设备的总造价10%支付发包人违约金，在结算时直接扣除。因此增加的费用或延误的工期及违约责任，由承包人承担。</w:t>
      </w:r>
    </w:p>
    <w:p w14:paraId="74EDFDB6">
      <w:pPr>
        <w:numPr>
          <w:ilvl w:val="0"/>
          <w:numId w:val="4"/>
        </w:numPr>
        <w:spacing w:line="360" w:lineRule="auto"/>
        <w:ind w:firstLine="506" w:firstLineChars="210"/>
        <w:rPr>
          <w:rFonts w:ascii="宋体" w:hAnsi="宋体"/>
          <w:b/>
          <w:bCs/>
          <w:color w:val="auto"/>
          <w:sz w:val="24"/>
          <w:szCs w:val="24"/>
          <w:highlight w:val="none"/>
          <w:u w:val="single"/>
        </w:rPr>
      </w:pPr>
      <w:r>
        <w:rPr>
          <w:rFonts w:hint="eastAsia" w:ascii="宋体" w:hAnsi="宋体"/>
          <w:b/>
          <w:bCs/>
          <w:color w:val="auto"/>
          <w:sz w:val="24"/>
          <w:szCs w:val="24"/>
          <w:highlight w:val="none"/>
          <w:u w:val="single"/>
        </w:rPr>
        <w:t>发包人有权解除合同。</w:t>
      </w:r>
    </w:p>
    <w:p w14:paraId="60543154">
      <w:pPr>
        <w:spacing w:line="360" w:lineRule="auto"/>
        <w:ind w:firstLine="506" w:firstLineChars="210"/>
        <w:rPr>
          <w:rFonts w:ascii="宋体" w:hAnsi="宋体"/>
          <w:b/>
          <w:bCs/>
          <w:color w:val="auto"/>
          <w:sz w:val="24"/>
          <w:szCs w:val="24"/>
          <w:highlight w:val="none"/>
          <w:u w:val="single"/>
        </w:rPr>
      </w:pPr>
      <w:r>
        <w:rPr>
          <w:rFonts w:hint="eastAsia" w:ascii="宋体" w:hAnsi="宋体"/>
          <w:b/>
          <w:bCs/>
          <w:color w:val="auto"/>
          <w:sz w:val="24"/>
          <w:szCs w:val="24"/>
          <w:highlight w:val="none"/>
          <w:u w:val="single"/>
        </w:rPr>
        <w:t>⑩承包人有义务不间断地确保施工持续进行，不得因合同价格发生变更或其他等原因暂停施工。否则，每停工一日，承包人应向发包人支付工程总造价</w:t>
      </w:r>
      <w:r>
        <w:rPr>
          <w:rFonts w:hint="eastAsia" w:ascii="宋体" w:hAnsi="宋体"/>
          <w:b/>
          <w:bCs/>
          <w:color w:val="auto"/>
          <w:sz w:val="24"/>
          <w:szCs w:val="24"/>
          <w:highlight w:val="none"/>
          <w:u w:val="single"/>
          <w:lang w:eastAsia="zh-CN"/>
        </w:rPr>
        <w:t>百</w:t>
      </w:r>
      <w:r>
        <w:rPr>
          <w:rFonts w:hint="eastAsia" w:ascii="宋体" w:hAnsi="宋体"/>
          <w:b/>
          <w:bCs/>
          <w:color w:val="auto"/>
          <w:sz w:val="24"/>
          <w:szCs w:val="24"/>
          <w:highlight w:val="none"/>
          <w:u w:val="single"/>
        </w:rPr>
        <w:t>分之一发违约金；停工超过10日，发包人有权解除合同。</w:t>
      </w:r>
    </w:p>
    <w:p w14:paraId="1075E4B3">
      <w:pPr>
        <w:spacing w:line="360" w:lineRule="auto"/>
        <w:ind w:firstLine="504" w:firstLineChars="210"/>
        <w:rPr>
          <w:rFonts w:ascii="宋体" w:hAnsi="宋体"/>
          <w:color w:val="auto"/>
          <w:sz w:val="24"/>
          <w:szCs w:val="24"/>
          <w:highlight w:val="none"/>
        </w:rPr>
      </w:pPr>
      <w:r>
        <w:rPr>
          <w:rFonts w:ascii="宋体" w:hAnsi="宋体"/>
          <w:color w:val="auto"/>
          <w:sz w:val="24"/>
          <w:szCs w:val="24"/>
          <w:highlight w:val="none"/>
        </w:rPr>
        <w:t xml:space="preserve">3.2  </w:t>
      </w:r>
      <w:r>
        <w:rPr>
          <w:rFonts w:hint="eastAsia" w:ascii="宋体" w:hAnsi="宋体"/>
          <w:color w:val="auto"/>
          <w:sz w:val="24"/>
          <w:szCs w:val="24"/>
          <w:highlight w:val="none"/>
        </w:rPr>
        <w:t>项目经理</w:t>
      </w:r>
    </w:p>
    <w:p w14:paraId="62CE5F60">
      <w:pPr>
        <w:spacing w:line="360" w:lineRule="auto"/>
        <w:ind w:firstLine="525" w:firstLineChars="219"/>
        <w:rPr>
          <w:rFonts w:ascii="宋体" w:hAnsi="宋体"/>
          <w:color w:val="auto"/>
          <w:sz w:val="24"/>
          <w:szCs w:val="24"/>
          <w:highlight w:val="none"/>
        </w:rPr>
      </w:pPr>
      <w:r>
        <w:rPr>
          <w:rFonts w:ascii="宋体" w:hAnsi="宋体"/>
          <w:color w:val="auto"/>
          <w:sz w:val="24"/>
          <w:szCs w:val="24"/>
          <w:highlight w:val="none"/>
        </w:rPr>
        <w:t xml:space="preserve">3.2.1 </w:t>
      </w:r>
      <w:r>
        <w:rPr>
          <w:rFonts w:hint="eastAsia" w:ascii="宋体" w:hAnsi="宋体"/>
          <w:color w:val="auto"/>
          <w:sz w:val="24"/>
          <w:szCs w:val="24"/>
          <w:highlight w:val="none"/>
        </w:rPr>
        <w:t xml:space="preserve"> 项目经理：</w:t>
      </w:r>
    </w:p>
    <w:p w14:paraId="696154E3">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姓名：</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w:t>
      </w:r>
    </w:p>
    <w:p w14:paraId="66358973">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身份证号：</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w:t>
      </w:r>
    </w:p>
    <w:p w14:paraId="0415F2D9">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建造师执业资格等级：</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 xml:space="preserve">     </w:t>
      </w:r>
      <w:r>
        <w:rPr>
          <w:rFonts w:hint="eastAsia" w:ascii="宋体" w:hAnsi="宋体" w:cs="MingLiU_HKSCS"/>
          <w:color w:val="auto"/>
          <w:sz w:val="24"/>
          <w:szCs w:val="24"/>
          <w:highlight w:val="none"/>
          <w:u w:val="single"/>
        </w:rPr>
        <w:t xml:space="preserve"> </w:t>
      </w:r>
      <w:r>
        <w:rPr>
          <w:rFonts w:hint="eastAsia" w:ascii="宋体" w:hAnsi="宋体"/>
          <w:color w:val="auto"/>
          <w:sz w:val="24"/>
          <w:szCs w:val="24"/>
          <w:highlight w:val="none"/>
        </w:rPr>
        <w:t>；</w:t>
      </w:r>
    </w:p>
    <w:p w14:paraId="10ED69BD">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建造师注册证书号：</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w:t>
      </w:r>
    </w:p>
    <w:p w14:paraId="3DB6AB44">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建造师执业印章号：</w:t>
      </w:r>
      <w:r>
        <w:rPr>
          <w:rFonts w:hint="eastAsia" w:ascii="宋体" w:hAnsi="宋体"/>
          <w:color w:val="auto"/>
          <w:sz w:val="24"/>
          <w:szCs w:val="24"/>
          <w:highlight w:val="none"/>
          <w:u w:val="single"/>
        </w:rPr>
        <w:t xml:space="preserve"> </w:t>
      </w:r>
      <w:r>
        <w:rPr>
          <w:rFonts w:hint="eastAsia" w:ascii="宋体" w:hAnsi="宋体" w:cs="MingLiU_HKSCS"/>
          <w:color w:val="auto"/>
          <w:sz w:val="24"/>
          <w:szCs w:val="24"/>
          <w:highlight w:val="none"/>
          <w:u w:val="single"/>
          <w:lang w:val="en-US" w:eastAsia="zh-CN"/>
        </w:rPr>
        <w:t xml:space="preserve">  </w:t>
      </w:r>
      <w:r>
        <w:rPr>
          <w:rFonts w:hint="eastAsia" w:ascii="宋体" w:hAnsi="宋体" w:cs="MingLiU_HKSCS"/>
          <w:color w:val="auto"/>
          <w:sz w:val="24"/>
          <w:szCs w:val="24"/>
          <w:highlight w:val="none"/>
          <w:u w:val="single"/>
        </w:rPr>
        <w:t xml:space="preserve">  </w:t>
      </w:r>
      <w:r>
        <w:rPr>
          <w:rFonts w:hint="eastAsia" w:ascii="宋体" w:hAnsi="宋体"/>
          <w:color w:val="auto"/>
          <w:sz w:val="24"/>
          <w:szCs w:val="24"/>
          <w:highlight w:val="none"/>
        </w:rPr>
        <w:t>；</w:t>
      </w:r>
    </w:p>
    <w:p w14:paraId="5DB35B01">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安全生产考核合格证书号：</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w:t>
      </w:r>
    </w:p>
    <w:p w14:paraId="35A65A08">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联系电话：</w:t>
      </w:r>
      <w:r>
        <w:rPr>
          <w:rFonts w:hint="eastAsia" w:ascii="宋体" w:hAnsi="宋体" w:cs="MingLiU_HKSCS"/>
          <w:color w:val="auto"/>
          <w:sz w:val="24"/>
          <w:szCs w:val="24"/>
          <w:highlight w:val="none"/>
          <w:u w:val="single"/>
          <w:lang w:val="en-US" w:eastAsia="zh-CN"/>
        </w:rPr>
        <w:t xml:space="preserve">    </w:t>
      </w:r>
      <w:r>
        <w:rPr>
          <w:rFonts w:hint="eastAsia" w:ascii="宋体" w:hAnsi="宋体"/>
          <w:color w:val="auto"/>
          <w:sz w:val="24"/>
          <w:szCs w:val="24"/>
          <w:highlight w:val="none"/>
        </w:rPr>
        <w:t>；</w:t>
      </w:r>
    </w:p>
    <w:p w14:paraId="42039B34">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通信地址：</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w:t>
      </w:r>
    </w:p>
    <w:p w14:paraId="3B509885">
      <w:pPr>
        <w:spacing w:line="360" w:lineRule="auto"/>
        <w:ind w:firstLine="480" w:firstLineChars="200"/>
        <w:rPr>
          <w:rFonts w:ascii="宋体" w:hAnsi="宋体"/>
          <w:color w:val="auto"/>
          <w:sz w:val="24"/>
          <w:szCs w:val="24"/>
          <w:highlight w:val="none"/>
        </w:rPr>
      </w:pPr>
      <w:r>
        <w:rPr>
          <w:rFonts w:hint="eastAsia" w:ascii="宋体" w:hAnsi="宋体" w:cs="宋体"/>
          <w:color w:val="auto"/>
          <w:sz w:val="24"/>
          <w:szCs w:val="24"/>
          <w:highlight w:val="none"/>
        </w:rPr>
        <w:t>E-mail：</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 xml:space="preserve"> 微信：</w:t>
      </w:r>
      <w:r>
        <w:rPr>
          <w:rFonts w:hint="eastAsia" w:ascii="宋体" w:hAnsi="宋体" w:cs="MingLiU_HKSCS"/>
          <w:color w:val="auto"/>
          <w:sz w:val="24"/>
          <w:szCs w:val="24"/>
          <w:highlight w:val="none"/>
          <w:u w:val="single"/>
          <w:lang w:val="en-US" w:eastAsia="zh-CN"/>
        </w:rPr>
        <w:t xml:space="preserve">     </w:t>
      </w:r>
      <w:r>
        <w:rPr>
          <w:rFonts w:hint="eastAsia" w:ascii="宋体" w:hAnsi="宋体"/>
          <w:color w:val="auto"/>
          <w:sz w:val="24"/>
          <w:szCs w:val="24"/>
          <w:highlight w:val="none"/>
        </w:rPr>
        <w:t>；</w:t>
      </w:r>
    </w:p>
    <w:p w14:paraId="16DCBAD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本合同涉及有关通知事项可按照本合同约定的通知与送达方式，采用邮寄、直接送达、致电或发送短信、</w:t>
      </w:r>
      <w:r>
        <w:rPr>
          <w:rFonts w:ascii="宋体" w:hAnsi="宋体"/>
          <w:color w:val="auto"/>
          <w:sz w:val="24"/>
          <w:szCs w:val="24"/>
          <w:highlight w:val="none"/>
        </w:rPr>
        <w:t>E-mail</w:t>
      </w:r>
      <w:r>
        <w:rPr>
          <w:rFonts w:hint="eastAsia" w:ascii="宋体" w:hAnsi="宋体"/>
          <w:color w:val="auto"/>
          <w:sz w:val="24"/>
          <w:szCs w:val="24"/>
          <w:highlight w:val="none"/>
          <w:lang w:eastAsia="zh-CN"/>
        </w:rPr>
        <w:t>、</w:t>
      </w:r>
      <w:r>
        <w:rPr>
          <w:rFonts w:hint="eastAsia" w:ascii="宋体" w:hAnsi="宋体"/>
          <w:color w:val="auto"/>
          <w:sz w:val="24"/>
          <w:szCs w:val="24"/>
          <w:highlight w:val="none"/>
        </w:rPr>
        <w:t>微信等任一方式进行，邮寄到达日、直接送达或致电以及短信息、</w:t>
      </w:r>
      <w:r>
        <w:rPr>
          <w:rFonts w:ascii="宋体" w:hAnsi="宋体"/>
          <w:color w:val="auto"/>
          <w:sz w:val="24"/>
          <w:szCs w:val="24"/>
          <w:highlight w:val="none"/>
        </w:rPr>
        <w:t>E-mail</w:t>
      </w:r>
      <w:r>
        <w:rPr>
          <w:rFonts w:hint="eastAsia" w:ascii="宋体" w:hAnsi="宋体"/>
          <w:color w:val="auto"/>
          <w:sz w:val="24"/>
          <w:szCs w:val="24"/>
          <w:highlight w:val="none"/>
          <w:lang w:eastAsia="zh-CN"/>
        </w:rPr>
        <w:t>、</w:t>
      </w:r>
      <w:r>
        <w:rPr>
          <w:rFonts w:hint="eastAsia" w:ascii="宋体" w:hAnsi="宋体"/>
          <w:color w:val="auto"/>
          <w:sz w:val="24"/>
          <w:szCs w:val="24"/>
          <w:highlight w:val="none"/>
        </w:rPr>
        <w:t>微信发送当时，即视为承包人接到该通知。承包人必须保证本合同约定的联络方式真实有效，承包人前述联系方式不真实、不准确或未留联系方式，一切责任均由承包人承担。联系方式如有变更，必须于变更后</w:t>
      </w:r>
      <w:r>
        <w:rPr>
          <w:rFonts w:ascii="宋体" w:hAnsi="宋体"/>
          <w:color w:val="auto"/>
          <w:sz w:val="24"/>
          <w:szCs w:val="24"/>
          <w:highlight w:val="none"/>
        </w:rPr>
        <w:t>3</w:t>
      </w:r>
      <w:r>
        <w:rPr>
          <w:rFonts w:hint="eastAsia" w:ascii="宋体" w:hAnsi="宋体"/>
          <w:color w:val="auto"/>
          <w:sz w:val="24"/>
          <w:szCs w:val="24"/>
          <w:highlight w:val="none"/>
        </w:rPr>
        <w:t>日内书面通知发包人。否则，发包人按照本合同约定的通知与送达方式向其发出的任何通知均视为合法有效。</w:t>
      </w:r>
    </w:p>
    <w:p w14:paraId="379058A3">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承包人在签订合同前需将项目经理证交予发包人，以便施工过程中的管理。</w:t>
      </w:r>
    </w:p>
    <w:p w14:paraId="77511F81">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承包人对项目经理的授权范围如下</w:t>
      </w:r>
      <w:r>
        <w:rPr>
          <w:rFonts w:hint="eastAsia" w:ascii="宋体" w:hAnsi="宋体"/>
          <w:color w:val="auto"/>
          <w:sz w:val="24"/>
          <w:szCs w:val="24"/>
          <w:highlight w:val="none"/>
          <w:u w:val="single"/>
        </w:rPr>
        <w:t>：</w:t>
      </w:r>
      <w:r>
        <w:rPr>
          <w:rFonts w:ascii="宋体" w:hAnsi="宋体"/>
          <w:color w:val="auto"/>
          <w:sz w:val="24"/>
          <w:szCs w:val="24"/>
          <w:highlight w:val="none"/>
          <w:u w:val="single"/>
        </w:rPr>
        <w:t>工程变更联系单报送与撤回、与发包人及监理人往来函件的确认、工程款项的接收与支付等与本工程相关事宜的确认及合同中约定的其他权利。</w:t>
      </w:r>
    </w:p>
    <w:p w14:paraId="0640326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关于项目经理每月在施工现场的时间要求：</w:t>
      </w:r>
      <w:r>
        <w:rPr>
          <w:rFonts w:hint="eastAsia" w:ascii="宋体" w:hAnsi="宋体"/>
          <w:color w:val="auto"/>
          <w:sz w:val="24"/>
          <w:szCs w:val="24"/>
          <w:highlight w:val="none"/>
          <w:u w:val="single"/>
        </w:rPr>
        <w:t>约定的项目经理必须常驻现场，并按提供的联系方式</w:t>
      </w:r>
      <w:r>
        <w:rPr>
          <w:rFonts w:ascii="宋体" w:hAnsi="宋体"/>
          <w:color w:val="auto"/>
          <w:sz w:val="24"/>
          <w:szCs w:val="24"/>
          <w:highlight w:val="none"/>
          <w:u w:val="single"/>
        </w:rPr>
        <w:t>24</w:t>
      </w:r>
      <w:r>
        <w:rPr>
          <w:rFonts w:hint="eastAsia" w:ascii="宋体" w:hAnsi="宋体"/>
          <w:color w:val="auto"/>
          <w:sz w:val="24"/>
          <w:szCs w:val="24"/>
          <w:highlight w:val="none"/>
          <w:u w:val="single"/>
        </w:rPr>
        <w:t>小时开机</w:t>
      </w:r>
      <w:r>
        <w:rPr>
          <w:rFonts w:hint="eastAsia" w:ascii="宋体" w:hAnsi="宋体"/>
          <w:color w:val="auto"/>
          <w:sz w:val="24"/>
          <w:szCs w:val="24"/>
          <w:highlight w:val="none"/>
        </w:rPr>
        <w:t>。</w:t>
      </w:r>
    </w:p>
    <w:p w14:paraId="6D5E58FC">
      <w:pPr>
        <w:spacing w:line="360" w:lineRule="auto"/>
        <w:ind w:firstLine="480" w:firstLineChars="200"/>
        <w:rPr>
          <w:rFonts w:hint="eastAsia" w:ascii="宋体" w:hAnsi="宋体" w:eastAsia="宋体"/>
          <w:color w:val="auto"/>
          <w:sz w:val="24"/>
          <w:szCs w:val="24"/>
          <w:highlight w:val="none"/>
          <w:u w:val="single"/>
          <w:lang w:eastAsia="zh-CN"/>
        </w:rPr>
      </w:pPr>
      <w:r>
        <w:rPr>
          <w:rFonts w:hint="eastAsia" w:ascii="宋体" w:hAnsi="宋体"/>
          <w:color w:val="auto"/>
          <w:sz w:val="24"/>
          <w:szCs w:val="24"/>
          <w:highlight w:val="none"/>
        </w:rPr>
        <w:t>承包人未提交劳动合同，以及没有为项目经理缴纳社会保险证明的违约责任：</w:t>
      </w:r>
      <w:r>
        <w:rPr>
          <w:rFonts w:hint="eastAsia" w:ascii="宋体" w:hAnsi="宋体"/>
          <w:color w:val="auto"/>
          <w:sz w:val="24"/>
          <w:szCs w:val="24"/>
          <w:highlight w:val="none"/>
          <w:u w:val="single"/>
        </w:rPr>
        <w:t>向发包人支付</w:t>
      </w:r>
      <w:r>
        <w:rPr>
          <w:rFonts w:ascii="宋体" w:hAnsi="宋体"/>
          <w:color w:val="auto"/>
          <w:sz w:val="24"/>
          <w:szCs w:val="24"/>
          <w:highlight w:val="none"/>
          <w:u w:val="single"/>
        </w:rPr>
        <w:t>2</w:t>
      </w:r>
      <w:r>
        <w:rPr>
          <w:rFonts w:hint="eastAsia" w:ascii="宋体" w:hAnsi="宋体"/>
          <w:color w:val="auto"/>
          <w:sz w:val="24"/>
          <w:szCs w:val="24"/>
          <w:highlight w:val="none"/>
          <w:u w:val="single"/>
        </w:rPr>
        <w:t>万元的违约金，并立刻补缴</w:t>
      </w:r>
      <w:r>
        <w:rPr>
          <w:rFonts w:hint="eastAsia" w:ascii="宋体" w:hAnsi="宋体"/>
          <w:color w:val="auto"/>
          <w:sz w:val="24"/>
          <w:szCs w:val="24"/>
          <w:highlight w:val="none"/>
          <w:u w:val="single"/>
          <w:lang w:eastAsia="zh-CN"/>
        </w:rPr>
        <w:t>，</w:t>
      </w:r>
      <w:r>
        <w:rPr>
          <w:rFonts w:hint="eastAsia" w:ascii="宋体" w:hAnsi="宋体"/>
          <w:color w:val="auto"/>
          <w:sz w:val="24"/>
          <w:szCs w:val="24"/>
          <w:highlight w:val="none"/>
          <w:u w:val="single"/>
        </w:rPr>
        <w:t>否则发包人有权选择解除合同。</w:t>
      </w:r>
    </w:p>
    <w:p w14:paraId="2B7B45ED">
      <w:pPr>
        <w:spacing w:line="360" w:lineRule="auto"/>
        <w:ind w:firstLine="420"/>
        <w:rPr>
          <w:rFonts w:ascii="宋体" w:hAnsi="宋体"/>
          <w:color w:val="auto"/>
          <w:spacing w:val="-4"/>
          <w:sz w:val="24"/>
          <w:szCs w:val="24"/>
          <w:highlight w:val="none"/>
        </w:rPr>
      </w:pPr>
      <w:r>
        <w:rPr>
          <w:rFonts w:hint="eastAsia" w:ascii="宋体" w:hAnsi="宋体"/>
          <w:b/>
          <w:bCs/>
          <w:color w:val="auto"/>
          <w:sz w:val="24"/>
          <w:szCs w:val="24"/>
          <w:highlight w:val="none"/>
        </w:rPr>
        <w:t>项目经理未经批准，擅自离开施工现场的违约责任：</w:t>
      </w:r>
      <w:r>
        <w:rPr>
          <w:rFonts w:hint="eastAsia" w:ascii="宋体" w:hAnsi="宋体"/>
          <w:color w:val="auto"/>
          <w:spacing w:val="-4"/>
          <w:sz w:val="24"/>
          <w:szCs w:val="24"/>
          <w:highlight w:val="none"/>
          <w:u w:val="single"/>
        </w:rPr>
        <w:t>若本工程所派项目经理无特殊原因擅自离岗，每发现一次</w:t>
      </w:r>
      <w:r>
        <w:rPr>
          <w:rFonts w:ascii="宋体" w:hAnsi="宋体"/>
          <w:color w:val="auto"/>
          <w:spacing w:val="-4"/>
          <w:sz w:val="24"/>
          <w:szCs w:val="24"/>
          <w:highlight w:val="none"/>
          <w:u w:val="single"/>
        </w:rPr>
        <w:t>向发包人</w:t>
      </w:r>
      <w:r>
        <w:rPr>
          <w:rFonts w:hint="eastAsia" w:ascii="宋体" w:hAnsi="宋体"/>
          <w:color w:val="auto"/>
          <w:spacing w:val="-4"/>
          <w:sz w:val="24"/>
          <w:szCs w:val="24"/>
          <w:highlight w:val="none"/>
          <w:u w:val="single"/>
        </w:rPr>
        <w:t>支付5万元违约金。累计达2次，发包人有权将此情况上报行业主管部门</w:t>
      </w:r>
      <w:r>
        <w:rPr>
          <w:rFonts w:hint="eastAsia" w:ascii="宋体" w:hAnsi="宋体"/>
          <w:color w:val="auto"/>
          <w:spacing w:val="-4"/>
          <w:sz w:val="24"/>
          <w:szCs w:val="24"/>
          <w:highlight w:val="none"/>
          <w:u w:val="single"/>
          <w:lang w:eastAsia="zh-CN"/>
        </w:rPr>
        <w:t>，</w:t>
      </w:r>
      <w:r>
        <w:rPr>
          <w:rFonts w:hint="eastAsia" w:ascii="宋体" w:hAnsi="宋体"/>
          <w:color w:val="auto"/>
          <w:sz w:val="24"/>
          <w:szCs w:val="24"/>
          <w:highlight w:val="none"/>
          <w:u w:val="single"/>
        </w:rPr>
        <w:t>同时有权选择解除合同</w:t>
      </w:r>
      <w:r>
        <w:rPr>
          <w:rFonts w:hint="eastAsia" w:ascii="宋体" w:hAnsi="宋体"/>
          <w:color w:val="auto"/>
          <w:spacing w:val="-4"/>
          <w:sz w:val="24"/>
          <w:szCs w:val="24"/>
          <w:highlight w:val="none"/>
          <w:u w:val="single"/>
        </w:rPr>
        <w:t>。因特殊原因必须离岗时须经发包人书面同意后方可离岗</w:t>
      </w:r>
      <w:r>
        <w:rPr>
          <w:rFonts w:hint="eastAsia" w:ascii="宋体" w:hAnsi="宋体"/>
          <w:color w:val="auto"/>
          <w:spacing w:val="-4"/>
          <w:sz w:val="24"/>
          <w:szCs w:val="24"/>
          <w:highlight w:val="none"/>
        </w:rPr>
        <w:t>。</w:t>
      </w:r>
    </w:p>
    <w:p w14:paraId="71FDB0E6">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3.2.4 </w:t>
      </w:r>
      <w:r>
        <w:rPr>
          <w:rFonts w:hint="eastAsia" w:ascii="宋体" w:hAnsi="宋体"/>
          <w:color w:val="auto"/>
          <w:sz w:val="24"/>
          <w:szCs w:val="24"/>
          <w:highlight w:val="none"/>
        </w:rPr>
        <w:t xml:space="preserve"> </w:t>
      </w:r>
      <w:r>
        <w:rPr>
          <w:rFonts w:hint="eastAsia" w:ascii="宋体" w:hAnsi="宋体"/>
          <w:b/>
          <w:bCs/>
          <w:color w:val="auto"/>
          <w:sz w:val="24"/>
          <w:szCs w:val="24"/>
          <w:highlight w:val="none"/>
        </w:rPr>
        <w:t>承包人无正当理由拒绝更换项目经理的违约责任</w:t>
      </w:r>
      <w:r>
        <w:rPr>
          <w:rFonts w:hint="eastAsia" w:ascii="宋体" w:hAnsi="宋体"/>
          <w:color w:val="auto"/>
          <w:sz w:val="24"/>
          <w:szCs w:val="24"/>
          <w:highlight w:val="none"/>
        </w:rPr>
        <w:t>：</w:t>
      </w:r>
      <w:r>
        <w:rPr>
          <w:rFonts w:hint="eastAsia" w:ascii="宋体" w:hAnsi="宋体"/>
          <w:color w:val="auto"/>
          <w:sz w:val="24"/>
          <w:szCs w:val="24"/>
          <w:highlight w:val="none"/>
          <w:u w:val="single"/>
        </w:rPr>
        <w:t>每逾期一日更换，向发包人支付违约金5万元，并立刻更换符合要求的项目经理。逾期三日或拒不更换的，发包人有权选择解除合同。</w:t>
      </w:r>
    </w:p>
    <w:p w14:paraId="0DE73C36">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3.3 </w:t>
      </w:r>
      <w:r>
        <w:rPr>
          <w:rFonts w:hint="eastAsia" w:ascii="宋体" w:hAnsi="宋体"/>
          <w:color w:val="auto"/>
          <w:sz w:val="24"/>
          <w:szCs w:val="24"/>
          <w:highlight w:val="none"/>
        </w:rPr>
        <w:t>承包人人员</w:t>
      </w:r>
    </w:p>
    <w:p w14:paraId="009F17E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3.3.1 </w:t>
      </w:r>
      <w:r>
        <w:rPr>
          <w:rFonts w:hint="eastAsia" w:ascii="宋体" w:hAnsi="宋体"/>
          <w:color w:val="auto"/>
          <w:sz w:val="24"/>
          <w:szCs w:val="24"/>
          <w:highlight w:val="none"/>
        </w:rPr>
        <w:t xml:space="preserve"> 承包人提交项目管理机构及施工现场管理人员安排报告的期限：</w:t>
      </w:r>
      <w:r>
        <w:rPr>
          <w:rFonts w:hint="eastAsia" w:ascii="宋体" w:hAnsi="宋体"/>
          <w:color w:val="auto"/>
          <w:sz w:val="24"/>
          <w:szCs w:val="24"/>
          <w:highlight w:val="none"/>
          <w:u w:val="single"/>
        </w:rPr>
        <w:t>按投标文件拟派人员于开工前</w:t>
      </w:r>
      <w:r>
        <w:rPr>
          <w:rFonts w:ascii="宋体" w:hAnsi="宋体"/>
          <w:color w:val="auto"/>
          <w:sz w:val="24"/>
          <w:szCs w:val="24"/>
          <w:highlight w:val="none"/>
          <w:u w:val="single"/>
        </w:rPr>
        <w:t>7</w:t>
      </w:r>
      <w:r>
        <w:rPr>
          <w:rFonts w:hint="eastAsia" w:ascii="宋体" w:hAnsi="宋体"/>
          <w:color w:val="auto"/>
          <w:sz w:val="24"/>
          <w:szCs w:val="24"/>
          <w:highlight w:val="none"/>
          <w:u w:val="single"/>
        </w:rPr>
        <w:t>日内报送</w:t>
      </w:r>
      <w:r>
        <w:rPr>
          <w:rFonts w:hint="eastAsia" w:ascii="宋体" w:hAnsi="宋体"/>
          <w:color w:val="auto"/>
          <w:sz w:val="24"/>
          <w:szCs w:val="24"/>
          <w:highlight w:val="none"/>
        </w:rPr>
        <w:t>。</w:t>
      </w:r>
    </w:p>
    <w:p w14:paraId="18CBDCAA">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3.3.3 </w:t>
      </w:r>
      <w:r>
        <w:rPr>
          <w:rFonts w:hint="eastAsia" w:ascii="宋体" w:hAnsi="宋体"/>
          <w:color w:val="auto"/>
          <w:sz w:val="24"/>
          <w:szCs w:val="24"/>
          <w:highlight w:val="none"/>
        </w:rPr>
        <w:t xml:space="preserve"> </w:t>
      </w:r>
      <w:r>
        <w:rPr>
          <w:rFonts w:hint="eastAsia" w:ascii="宋体" w:hAnsi="宋体"/>
          <w:b/>
          <w:bCs/>
          <w:color w:val="auto"/>
          <w:sz w:val="24"/>
          <w:szCs w:val="24"/>
          <w:highlight w:val="none"/>
        </w:rPr>
        <w:t>承包人无正当理由拒绝撤换主要施工管理人员的违约责任</w:t>
      </w:r>
      <w:r>
        <w:rPr>
          <w:rFonts w:hint="eastAsia" w:ascii="宋体" w:hAnsi="宋体"/>
          <w:color w:val="auto"/>
          <w:sz w:val="24"/>
          <w:szCs w:val="24"/>
          <w:highlight w:val="none"/>
        </w:rPr>
        <w:t>：</w:t>
      </w:r>
      <w:r>
        <w:rPr>
          <w:rFonts w:hint="eastAsia" w:ascii="宋体" w:hAnsi="宋体"/>
          <w:color w:val="auto"/>
          <w:sz w:val="24"/>
          <w:szCs w:val="24"/>
          <w:highlight w:val="none"/>
          <w:u w:val="single"/>
        </w:rPr>
        <w:t>每逾期一日，向发包人支付违约金</w:t>
      </w:r>
      <w:r>
        <w:rPr>
          <w:rFonts w:ascii="宋体" w:hAnsi="宋体"/>
          <w:color w:val="auto"/>
          <w:sz w:val="24"/>
          <w:szCs w:val="24"/>
          <w:highlight w:val="none"/>
          <w:u w:val="single"/>
        </w:rPr>
        <w:t>2</w:t>
      </w:r>
      <w:r>
        <w:rPr>
          <w:rFonts w:hint="eastAsia" w:ascii="宋体" w:hAnsi="宋体"/>
          <w:color w:val="auto"/>
          <w:sz w:val="24"/>
          <w:szCs w:val="24"/>
          <w:highlight w:val="none"/>
          <w:u w:val="single"/>
        </w:rPr>
        <w:t>万元，并立刻更换符合要求现场管理人员，逾期三日或拒不更换的，发包人有权选择解除合同</w:t>
      </w:r>
      <w:r>
        <w:rPr>
          <w:rFonts w:hint="eastAsia" w:ascii="宋体" w:hAnsi="宋体"/>
          <w:color w:val="auto"/>
          <w:sz w:val="24"/>
          <w:szCs w:val="24"/>
          <w:highlight w:val="none"/>
        </w:rPr>
        <w:t>。</w:t>
      </w:r>
    </w:p>
    <w:p w14:paraId="43DBE617">
      <w:pPr>
        <w:spacing w:line="360" w:lineRule="auto"/>
        <w:ind w:firstLine="480" w:firstLineChars="200"/>
        <w:rPr>
          <w:rFonts w:ascii="宋体" w:hAnsi="宋体"/>
          <w:color w:val="auto"/>
          <w:sz w:val="24"/>
          <w:szCs w:val="24"/>
          <w:highlight w:val="none"/>
          <w:u w:val="single"/>
        </w:rPr>
      </w:pPr>
      <w:r>
        <w:rPr>
          <w:rFonts w:ascii="宋体" w:hAnsi="宋体"/>
          <w:color w:val="auto"/>
          <w:sz w:val="24"/>
          <w:szCs w:val="24"/>
          <w:highlight w:val="none"/>
        </w:rPr>
        <w:t xml:space="preserve">3.3.4 </w:t>
      </w:r>
      <w:r>
        <w:rPr>
          <w:rFonts w:hint="eastAsia" w:ascii="宋体" w:hAnsi="宋体"/>
          <w:color w:val="auto"/>
          <w:sz w:val="24"/>
          <w:szCs w:val="24"/>
          <w:highlight w:val="none"/>
        </w:rPr>
        <w:t xml:space="preserve"> 承包人主要施工管理人员离开施工现场的批准要求：</w:t>
      </w:r>
      <w:r>
        <w:rPr>
          <w:rFonts w:hint="eastAsia" w:ascii="宋体" w:hAnsi="宋体"/>
          <w:color w:val="auto"/>
          <w:sz w:val="24"/>
          <w:szCs w:val="24"/>
          <w:highlight w:val="none"/>
          <w:u w:val="single"/>
        </w:rPr>
        <w:t>因特殊原因必须离岗时，须经发包人书面同意方可离岗，否则发包人有权选择解除合同</w:t>
      </w:r>
      <w:r>
        <w:rPr>
          <w:rFonts w:hint="eastAsia" w:ascii="宋体" w:hAnsi="宋体"/>
          <w:color w:val="auto"/>
          <w:sz w:val="24"/>
          <w:szCs w:val="24"/>
          <w:highlight w:val="none"/>
        </w:rPr>
        <w:t>。</w:t>
      </w:r>
    </w:p>
    <w:p w14:paraId="485D2119">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3.3.5 </w:t>
      </w:r>
      <w:r>
        <w:rPr>
          <w:rFonts w:hint="eastAsia" w:ascii="宋体" w:hAnsi="宋体"/>
          <w:color w:val="auto"/>
          <w:sz w:val="24"/>
          <w:szCs w:val="24"/>
          <w:highlight w:val="none"/>
        </w:rPr>
        <w:t xml:space="preserve"> </w:t>
      </w:r>
      <w:r>
        <w:rPr>
          <w:rFonts w:hint="eastAsia" w:ascii="宋体" w:hAnsi="宋体"/>
          <w:color w:val="auto"/>
          <w:sz w:val="24"/>
          <w:szCs w:val="24"/>
          <w:highlight w:val="none"/>
          <w:u w:val="single"/>
        </w:rPr>
        <w:t>项目经理、技术负责人</w:t>
      </w:r>
      <w:r>
        <w:rPr>
          <w:rFonts w:hint="eastAsia" w:ascii="宋体" w:hAnsi="宋体"/>
          <w:color w:val="auto"/>
          <w:sz w:val="24"/>
          <w:szCs w:val="24"/>
          <w:highlight w:val="none"/>
          <w:u w:val="single"/>
          <w:lang w:eastAsia="zh-CN"/>
        </w:rPr>
        <w:t>（如有）</w:t>
      </w:r>
      <w:r>
        <w:rPr>
          <w:rFonts w:hint="eastAsia" w:ascii="宋体" w:hAnsi="宋体"/>
          <w:color w:val="auto"/>
          <w:sz w:val="24"/>
          <w:szCs w:val="24"/>
          <w:highlight w:val="none"/>
          <w:u w:val="single"/>
        </w:rPr>
        <w:t>、质量员</w:t>
      </w:r>
      <w:r>
        <w:rPr>
          <w:rFonts w:hint="eastAsia" w:ascii="宋体" w:hAnsi="宋体"/>
          <w:color w:val="auto"/>
          <w:sz w:val="24"/>
          <w:szCs w:val="24"/>
          <w:highlight w:val="none"/>
          <w:u w:val="single"/>
          <w:lang w:eastAsia="zh-CN"/>
        </w:rPr>
        <w:t>（如有）</w:t>
      </w:r>
      <w:r>
        <w:rPr>
          <w:rFonts w:hint="eastAsia" w:ascii="宋体" w:hAnsi="宋体"/>
          <w:color w:val="auto"/>
          <w:sz w:val="24"/>
          <w:szCs w:val="24"/>
          <w:highlight w:val="none"/>
          <w:u w:val="single"/>
        </w:rPr>
        <w:t>、施工员</w:t>
      </w:r>
      <w:r>
        <w:rPr>
          <w:rFonts w:hint="eastAsia" w:ascii="宋体" w:hAnsi="宋体"/>
          <w:color w:val="auto"/>
          <w:sz w:val="24"/>
          <w:szCs w:val="24"/>
          <w:highlight w:val="none"/>
          <w:u w:val="single"/>
          <w:lang w:eastAsia="zh-CN"/>
        </w:rPr>
        <w:t>（如有）</w:t>
      </w:r>
      <w:r>
        <w:rPr>
          <w:rFonts w:hint="eastAsia" w:ascii="宋体" w:hAnsi="宋体"/>
          <w:color w:val="auto"/>
          <w:sz w:val="24"/>
          <w:szCs w:val="24"/>
          <w:highlight w:val="none"/>
          <w:u w:val="single"/>
        </w:rPr>
        <w:t>、安全员</w:t>
      </w:r>
      <w:r>
        <w:rPr>
          <w:rFonts w:hint="eastAsia" w:ascii="宋体" w:hAnsi="宋体"/>
          <w:color w:val="auto"/>
          <w:sz w:val="24"/>
          <w:szCs w:val="24"/>
          <w:highlight w:val="none"/>
          <w:u w:val="single"/>
          <w:lang w:eastAsia="zh-CN"/>
        </w:rPr>
        <w:t>（如有）</w:t>
      </w:r>
      <w:r>
        <w:rPr>
          <w:rFonts w:hint="eastAsia" w:ascii="宋体" w:hAnsi="宋体"/>
          <w:color w:val="auto"/>
          <w:sz w:val="24"/>
          <w:szCs w:val="24"/>
          <w:highlight w:val="none"/>
          <w:u w:val="single"/>
        </w:rPr>
        <w:t>缺席监理例会的，每人每发生一次，应向发包人支付违约金</w:t>
      </w:r>
      <w:r>
        <w:rPr>
          <w:rFonts w:ascii="宋体" w:hAnsi="宋体"/>
          <w:color w:val="auto"/>
          <w:sz w:val="24"/>
          <w:szCs w:val="24"/>
          <w:highlight w:val="none"/>
          <w:u w:val="single"/>
        </w:rPr>
        <w:t>500</w:t>
      </w:r>
      <w:r>
        <w:rPr>
          <w:rFonts w:hint="eastAsia" w:ascii="宋体" w:hAnsi="宋体"/>
          <w:color w:val="auto"/>
          <w:sz w:val="24"/>
          <w:szCs w:val="24"/>
          <w:highlight w:val="none"/>
          <w:u w:val="single"/>
        </w:rPr>
        <w:t>元，累计缺席达到</w:t>
      </w:r>
      <w:r>
        <w:rPr>
          <w:rFonts w:ascii="宋体" w:hAnsi="宋体"/>
          <w:color w:val="auto"/>
          <w:sz w:val="24"/>
          <w:szCs w:val="24"/>
          <w:highlight w:val="none"/>
          <w:u w:val="single"/>
        </w:rPr>
        <w:t>3</w:t>
      </w:r>
      <w:r>
        <w:rPr>
          <w:rFonts w:hint="eastAsia" w:ascii="宋体" w:hAnsi="宋体"/>
          <w:color w:val="auto"/>
          <w:sz w:val="24"/>
          <w:szCs w:val="24"/>
          <w:highlight w:val="none"/>
          <w:u w:val="single"/>
        </w:rPr>
        <w:t>次，应向发包人支付违约金</w:t>
      </w:r>
      <w:r>
        <w:rPr>
          <w:rFonts w:ascii="宋体" w:hAnsi="宋体"/>
          <w:color w:val="auto"/>
          <w:sz w:val="24"/>
          <w:szCs w:val="24"/>
          <w:highlight w:val="none"/>
          <w:u w:val="single"/>
        </w:rPr>
        <w:t>3000</w:t>
      </w:r>
      <w:r>
        <w:rPr>
          <w:rFonts w:hint="eastAsia" w:ascii="宋体" w:hAnsi="宋体"/>
          <w:color w:val="auto"/>
          <w:sz w:val="24"/>
          <w:szCs w:val="24"/>
          <w:highlight w:val="none"/>
          <w:u w:val="single"/>
        </w:rPr>
        <w:t>元/人；累计缺席</w:t>
      </w:r>
      <w:r>
        <w:rPr>
          <w:rFonts w:ascii="宋体" w:hAnsi="宋体"/>
          <w:color w:val="auto"/>
          <w:sz w:val="24"/>
          <w:szCs w:val="24"/>
          <w:highlight w:val="none"/>
          <w:u w:val="single"/>
        </w:rPr>
        <w:t>5</w:t>
      </w:r>
      <w:r>
        <w:rPr>
          <w:rFonts w:hint="eastAsia" w:ascii="宋体" w:hAnsi="宋体"/>
          <w:color w:val="auto"/>
          <w:sz w:val="24"/>
          <w:szCs w:val="24"/>
          <w:highlight w:val="none"/>
          <w:u w:val="single"/>
        </w:rPr>
        <w:t>次，除向发包人支付5</w:t>
      </w:r>
      <w:r>
        <w:rPr>
          <w:rFonts w:ascii="宋体" w:hAnsi="宋体"/>
          <w:color w:val="auto"/>
          <w:sz w:val="24"/>
          <w:szCs w:val="24"/>
          <w:highlight w:val="none"/>
          <w:u w:val="single"/>
        </w:rPr>
        <w:t>000</w:t>
      </w:r>
      <w:r>
        <w:rPr>
          <w:rFonts w:hint="eastAsia" w:ascii="宋体" w:hAnsi="宋体"/>
          <w:color w:val="auto"/>
          <w:sz w:val="24"/>
          <w:szCs w:val="24"/>
          <w:highlight w:val="none"/>
          <w:u w:val="single"/>
        </w:rPr>
        <w:t>元/人违约金外，发包人有权对其予以清退出场</w:t>
      </w:r>
      <w:r>
        <w:rPr>
          <w:rFonts w:hint="eastAsia" w:ascii="宋体" w:hAnsi="宋体"/>
          <w:color w:val="auto"/>
          <w:sz w:val="24"/>
          <w:szCs w:val="24"/>
          <w:highlight w:val="none"/>
        </w:rPr>
        <w:t>。</w:t>
      </w:r>
    </w:p>
    <w:p w14:paraId="12533153">
      <w:pPr>
        <w:spacing w:line="360" w:lineRule="auto"/>
        <w:ind w:firstLine="482" w:firstLineChars="200"/>
        <w:rPr>
          <w:rFonts w:hint="eastAsia" w:ascii="宋体" w:hAnsi="宋体"/>
          <w:color w:val="auto"/>
          <w:sz w:val="24"/>
          <w:szCs w:val="24"/>
          <w:highlight w:val="none"/>
          <w:u w:val="single"/>
        </w:rPr>
      </w:pPr>
      <w:r>
        <w:rPr>
          <w:rFonts w:hint="eastAsia" w:ascii="宋体" w:hAnsi="宋体"/>
          <w:b/>
          <w:bCs/>
          <w:color w:val="auto"/>
          <w:sz w:val="24"/>
          <w:szCs w:val="24"/>
          <w:highlight w:val="none"/>
        </w:rPr>
        <w:t>承包人主要施工管理人员擅自离开施工现场的违约责任</w:t>
      </w:r>
      <w:r>
        <w:rPr>
          <w:rFonts w:hint="eastAsia" w:ascii="宋体" w:hAnsi="宋体"/>
          <w:color w:val="auto"/>
          <w:sz w:val="24"/>
          <w:szCs w:val="24"/>
          <w:highlight w:val="none"/>
        </w:rPr>
        <w:t>：</w:t>
      </w:r>
      <w:r>
        <w:rPr>
          <w:rFonts w:hint="eastAsia" w:ascii="宋体" w:hAnsi="宋体"/>
          <w:color w:val="auto"/>
          <w:sz w:val="24"/>
          <w:szCs w:val="24"/>
          <w:highlight w:val="none"/>
          <w:u w:val="single"/>
        </w:rPr>
        <w:t>若本工程所派施工管理人员无特殊原因未经发包人书面批准擅自离岗，每发现一次向发包人支付违约金5万元/人/次，发生三次或三人以上的，发包人有权选择解除合同。</w:t>
      </w:r>
    </w:p>
    <w:p w14:paraId="2E8C08C0">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3.5  </w:t>
      </w:r>
      <w:r>
        <w:rPr>
          <w:rFonts w:hint="eastAsia" w:ascii="宋体" w:hAnsi="宋体"/>
          <w:color w:val="auto"/>
          <w:sz w:val="24"/>
          <w:szCs w:val="24"/>
          <w:highlight w:val="none"/>
        </w:rPr>
        <w:t>分包</w:t>
      </w:r>
    </w:p>
    <w:p w14:paraId="096F3398">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3.5.1</w:t>
      </w:r>
      <w:r>
        <w:rPr>
          <w:rFonts w:hint="eastAsia" w:ascii="宋体" w:hAnsi="宋体"/>
          <w:color w:val="auto"/>
          <w:sz w:val="24"/>
          <w:szCs w:val="24"/>
          <w:highlight w:val="none"/>
        </w:rPr>
        <w:t xml:space="preserve">  分包的一般约定</w:t>
      </w:r>
    </w:p>
    <w:p w14:paraId="05810574">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禁止分包的工程包括：</w:t>
      </w:r>
      <w:r>
        <w:rPr>
          <w:rFonts w:hint="eastAsia" w:ascii="宋体" w:hAnsi="宋体"/>
          <w:color w:val="auto"/>
          <w:sz w:val="24"/>
          <w:szCs w:val="24"/>
          <w:highlight w:val="none"/>
          <w:u w:val="single"/>
        </w:rPr>
        <w:t>合同范围内的基础工程、主体结构等关键性工作</w:t>
      </w:r>
      <w:r>
        <w:rPr>
          <w:rFonts w:hint="eastAsia" w:ascii="宋体" w:hAnsi="宋体"/>
          <w:color w:val="auto"/>
          <w:sz w:val="24"/>
          <w:szCs w:val="24"/>
          <w:highlight w:val="none"/>
        </w:rPr>
        <w:t>。</w:t>
      </w:r>
    </w:p>
    <w:p w14:paraId="21D75C84">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主体结构、关键性工作的范围：</w:t>
      </w:r>
      <w:r>
        <w:rPr>
          <w:rFonts w:hint="eastAsia" w:ascii="宋体" w:hAnsi="宋体"/>
          <w:color w:val="auto"/>
          <w:sz w:val="24"/>
          <w:szCs w:val="24"/>
          <w:highlight w:val="none"/>
          <w:u w:val="single"/>
        </w:rPr>
        <w:t>基础工程、主体工程、二次结构</w:t>
      </w:r>
      <w:r>
        <w:rPr>
          <w:rFonts w:hint="eastAsia" w:ascii="宋体" w:hAnsi="宋体"/>
          <w:color w:val="auto"/>
          <w:sz w:val="24"/>
          <w:szCs w:val="24"/>
          <w:highlight w:val="none"/>
        </w:rPr>
        <w:t>。</w:t>
      </w:r>
    </w:p>
    <w:p w14:paraId="4C3883E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3.5.2</w:t>
      </w:r>
      <w:r>
        <w:rPr>
          <w:rFonts w:hint="eastAsia" w:ascii="宋体" w:hAnsi="宋体"/>
          <w:color w:val="auto"/>
          <w:sz w:val="24"/>
          <w:szCs w:val="24"/>
          <w:highlight w:val="none"/>
        </w:rPr>
        <w:t xml:space="preserve">  分包的确定</w:t>
      </w:r>
    </w:p>
    <w:p w14:paraId="2378693C">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允许分包的专业工程包括：</w:t>
      </w:r>
      <w:r>
        <w:rPr>
          <w:rFonts w:hint="eastAsia" w:ascii="宋体" w:hAnsi="宋体"/>
          <w:color w:val="auto"/>
          <w:sz w:val="24"/>
          <w:szCs w:val="24"/>
          <w:highlight w:val="none"/>
          <w:u w:val="single"/>
        </w:rPr>
        <w:t xml:space="preserve"> 确需分包的必须经发包人同意后方可分包   </w:t>
      </w:r>
      <w:r>
        <w:rPr>
          <w:rFonts w:hint="eastAsia" w:ascii="宋体" w:hAnsi="宋体"/>
          <w:color w:val="auto"/>
          <w:sz w:val="24"/>
          <w:szCs w:val="24"/>
          <w:highlight w:val="none"/>
        </w:rPr>
        <w:t>。</w:t>
      </w:r>
    </w:p>
    <w:p w14:paraId="74AB152F">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其他关于分包的约定：发包人同意承包人分包的非主体、非关键性工作见投标函附录。除通用合同条款第3.5款的约定外，分包还应遵循以下约定：</w:t>
      </w:r>
      <w:r>
        <w:rPr>
          <w:rFonts w:ascii="宋体" w:hAnsi="宋体"/>
          <w:color w:val="auto"/>
          <w:sz w:val="24"/>
          <w:szCs w:val="24"/>
          <w:highlight w:val="none"/>
        </w:rPr>
        <w:t xml:space="preserve"> </w:t>
      </w:r>
    </w:p>
    <w:p w14:paraId="50B4872C">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(1)投标单位在投标文件中提前列明项目的分包内容，经评标专家评审通过后，在合同中载明分包项目和内容。对于投标文件中未列明的，要求在合同签订时依据招标文件要求明确分包项目和内容，过程中严格按照合同执行。对于投标文件未列明且合同中未明确，但投标单位无条件实施必须分包的，由施工单位报发包人审批，通过后方可进行分包。</w:t>
      </w:r>
    </w:p>
    <w:p w14:paraId="399C6604">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2</w:t>
      </w:r>
      <w:r>
        <w:rPr>
          <w:rFonts w:hint="eastAsia" w:ascii="宋体" w:hAnsi="宋体"/>
          <w:color w:val="auto"/>
          <w:sz w:val="24"/>
          <w:szCs w:val="24"/>
          <w:highlight w:val="none"/>
        </w:rPr>
        <w:t>)在相关分包合同签订并报送有关建设行政主管部门备案后7天内，承包人应当将一份副本提交给监理人，承包人应保障分包工作不得再次分包。</w:t>
      </w:r>
    </w:p>
    <w:p w14:paraId="6467B5A7">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)分包工程价款由承包人与分包人(包括专业分包人)结算。</w:t>
      </w:r>
    </w:p>
    <w:p w14:paraId="6211D637">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4</w:t>
      </w:r>
      <w:r>
        <w:rPr>
          <w:rFonts w:hint="eastAsia" w:ascii="宋体" w:hAnsi="宋体"/>
          <w:color w:val="auto"/>
          <w:sz w:val="24"/>
          <w:szCs w:val="24"/>
          <w:highlight w:val="none"/>
        </w:rPr>
        <w:t>) 未经发包人和监理人审批同意的分包工程和分包人，发包人有权拒绝验收分包工程和支付相应款项，由此引起的承包人费用增加和(或)延误的工期由承包人承担。</w:t>
      </w:r>
    </w:p>
    <w:p w14:paraId="5A5F70D9">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 分包方必须严格遵守承包人的现场管理制度,并签订责任状。在安全文明施工中应该约定与承包人的责任范围，如达不到承包人要求，由总包单位提出罚款金额经现场监理、业主代表签字确认后从工程款中扣除，并按国家及鄂尔多斯现行计价依据向总包单位交纳总包服务费。</w:t>
      </w:r>
    </w:p>
    <w:p w14:paraId="29219D6A">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3.5.4</w:t>
      </w:r>
      <w:r>
        <w:rPr>
          <w:rFonts w:hint="eastAsia" w:ascii="宋体" w:hAnsi="宋体"/>
          <w:color w:val="auto"/>
          <w:sz w:val="24"/>
          <w:szCs w:val="24"/>
          <w:highlight w:val="none"/>
        </w:rPr>
        <w:t xml:space="preserve">  分包合同价款</w:t>
      </w:r>
    </w:p>
    <w:p w14:paraId="5029977B">
      <w:pPr>
        <w:spacing w:line="360" w:lineRule="auto"/>
        <w:ind w:firstLine="480" w:firstLineChars="200"/>
        <w:rPr>
          <w:rFonts w:hint="eastAsia" w:ascii="宋体" w:hAnsi="宋体" w:cs="MingLiU_HKSCS"/>
          <w:color w:val="auto"/>
          <w:sz w:val="24"/>
          <w:szCs w:val="24"/>
          <w:highlight w:val="none"/>
          <w:u w:val="single"/>
        </w:rPr>
      </w:pPr>
      <w:r>
        <w:rPr>
          <w:rFonts w:hint="eastAsia" w:ascii="宋体" w:hAnsi="宋体"/>
          <w:color w:val="auto"/>
          <w:sz w:val="24"/>
          <w:szCs w:val="24"/>
          <w:highlight w:val="none"/>
        </w:rPr>
        <w:t>关于分包合同价款支付的约定：</w:t>
      </w:r>
      <w:r>
        <w:rPr>
          <w:rFonts w:hint="eastAsia" w:ascii="宋体" w:hAnsi="宋体" w:cs="MingLiU_HKSCS"/>
          <w:color w:val="auto"/>
          <w:sz w:val="24"/>
          <w:szCs w:val="24"/>
          <w:highlight w:val="none"/>
          <w:u w:val="single"/>
        </w:rPr>
        <w:t xml:space="preserve"> 执行通用条款，农民工工资执行3.1（3）中第④项约定。</w:t>
      </w:r>
    </w:p>
    <w:p w14:paraId="0EF90E67">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3.6  </w:t>
      </w:r>
      <w:r>
        <w:rPr>
          <w:rFonts w:hint="eastAsia" w:ascii="宋体" w:hAnsi="宋体"/>
          <w:color w:val="auto"/>
          <w:sz w:val="24"/>
          <w:szCs w:val="24"/>
          <w:highlight w:val="none"/>
        </w:rPr>
        <w:t>工程照管与成品、半成品保护</w:t>
      </w:r>
    </w:p>
    <w:p w14:paraId="7CF3B7EA">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承包人负责照管工程及工程相关的材料、工程设备的起始时间：</w:t>
      </w:r>
      <w:r>
        <w:rPr>
          <w:rFonts w:hint="eastAsia" w:ascii="宋体" w:hAnsi="宋体"/>
          <w:color w:val="auto"/>
          <w:sz w:val="24"/>
          <w:szCs w:val="24"/>
          <w:highlight w:val="none"/>
          <w:u w:val="single"/>
        </w:rPr>
        <w:t>进场后至验收交付使用前由承包人负责，费用由承包人承担</w:t>
      </w:r>
      <w:r>
        <w:rPr>
          <w:rFonts w:hint="eastAsia" w:ascii="宋体" w:hAnsi="宋体"/>
          <w:color w:val="auto"/>
          <w:sz w:val="24"/>
          <w:szCs w:val="24"/>
          <w:highlight w:val="none"/>
        </w:rPr>
        <w:t>。</w:t>
      </w:r>
    </w:p>
    <w:p w14:paraId="266C8EC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3.7  </w:t>
      </w:r>
      <w:r>
        <w:rPr>
          <w:rFonts w:hint="eastAsia" w:ascii="宋体" w:hAnsi="宋体"/>
          <w:color w:val="auto"/>
          <w:sz w:val="24"/>
          <w:szCs w:val="24"/>
          <w:highlight w:val="none"/>
        </w:rPr>
        <w:t>履约担保</w:t>
      </w:r>
    </w:p>
    <w:p w14:paraId="4E27BE9F">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承包人是否提供履约担保：</w:t>
      </w:r>
      <w:r>
        <w:rPr>
          <w:rFonts w:hint="eastAsia" w:ascii="宋体" w:hAnsi="宋体"/>
          <w:color w:val="auto"/>
          <w:sz w:val="24"/>
          <w:szCs w:val="24"/>
          <w:highlight w:val="none"/>
          <w:u w:val="single"/>
        </w:rPr>
        <w:t>是</w:t>
      </w:r>
      <w:r>
        <w:rPr>
          <w:rFonts w:hint="eastAsia" w:ascii="宋体" w:hAnsi="宋体"/>
          <w:color w:val="auto"/>
          <w:sz w:val="24"/>
          <w:szCs w:val="24"/>
          <w:highlight w:val="none"/>
        </w:rPr>
        <w:t>。</w:t>
      </w:r>
    </w:p>
    <w:p w14:paraId="2EED51E3">
      <w:pPr>
        <w:spacing w:line="360" w:lineRule="auto"/>
        <w:ind w:firstLine="482" w:firstLineChars="200"/>
        <w:rPr>
          <w:rFonts w:hint="eastAsia" w:ascii="宋体" w:hAnsi="宋体" w:eastAsia="宋体" w:cs="Times New Roman"/>
          <w:b/>
          <w:bCs/>
          <w:color w:val="auto"/>
          <w:sz w:val="24"/>
          <w:szCs w:val="24"/>
          <w:highlight w:val="none"/>
          <w:u w:val="single"/>
          <w:lang w:val="en-US" w:eastAsia="zh-CN"/>
        </w:rPr>
      </w:pPr>
      <w:r>
        <w:rPr>
          <w:rFonts w:hint="eastAsia" w:ascii="宋体" w:hAnsi="宋体" w:eastAsia="宋体" w:cs="Times New Roman"/>
          <w:b/>
          <w:bCs/>
          <w:color w:val="auto"/>
          <w:sz w:val="24"/>
          <w:szCs w:val="24"/>
          <w:highlight w:val="none"/>
          <w:u w:val="none"/>
          <w:lang w:val="en-US" w:eastAsia="zh-CN"/>
        </w:rPr>
        <w:t>承包人提供履约担保的形式、金额及期限</w:t>
      </w:r>
      <w:r>
        <w:rPr>
          <w:rFonts w:hint="eastAsia" w:ascii="宋体" w:hAnsi="宋体" w:eastAsia="宋体" w:cs="Times New Roman"/>
          <w:b/>
          <w:bCs/>
          <w:color w:val="auto"/>
          <w:sz w:val="24"/>
          <w:szCs w:val="24"/>
          <w:highlight w:val="none"/>
          <w:u w:val="single"/>
          <w:lang w:val="en-US" w:eastAsia="zh-CN"/>
        </w:rPr>
        <w:t>：银行转账，支票/汇票</w:t>
      </w:r>
      <w:r>
        <w:rPr>
          <w:rFonts w:hint="default" w:ascii="宋体" w:hAnsi="宋体" w:eastAsia="宋体" w:cs="Times New Roman"/>
          <w:b/>
          <w:bCs/>
          <w:color w:val="auto"/>
          <w:sz w:val="24"/>
          <w:szCs w:val="24"/>
          <w:highlight w:val="none"/>
          <w:u w:val="single"/>
          <w:lang w:val="en-US" w:eastAsia="zh-CN"/>
        </w:rPr>
        <w:t>/</w:t>
      </w:r>
      <w:r>
        <w:rPr>
          <w:rFonts w:hint="eastAsia" w:ascii="宋体" w:hAnsi="宋体" w:eastAsia="宋体" w:cs="Times New Roman"/>
          <w:b/>
          <w:bCs/>
          <w:color w:val="auto"/>
          <w:sz w:val="24"/>
          <w:szCs w:val="24"/>
          <w:highlight w:val="none"/>
          <w:u w:val="single"/>
          <w:lang w:val="en-US" w:eastAsia="zh-CN"/>
        </w:rPr>
        <w:t>本票，保函</w:t>
      </w:r>
      <w:r>
        <w:rPr>
          <w:rFonts w:hint="default" w:ascii="宋体" w:hAnsi="宋体" w:eastAsia="宋体" w:cs="Times New Roman"/>
          <w:b/>
          <w:bCs/>
          <w:color w:val="auto"/>
          <w:sz w:val="24"/>
          <w:szCs w:val="24"/>
          <w:highlight w:val="none"/>
          <w:u w:val="single"/>
          <w:lang w:val="en-US" w:eastAsia="zh-CN"/>
        </w:rPr>
        <w:t>/</w:t>
      </w:r>
      <w:r>
        <w:rPr>
          <w:rFonts w:hint="eastAsia" w:ascii="宋体" w:hAnsi="宋体" w:eastAsia="宋体" w:cs="Times New Roman"/>
          <w:b/>
          <w:bCs/>
          <w:color w:val="auto"/>
          <w:sz w:val="24"/>
          <w:szCs w:val="24"/>
          <w:highlight w:val="none"/>
          <w:u w:val="single"/>
          <w:lang w:val="en-US" w:eastAsia="zh-CN"/>
        </w:rPr>
        <w:t xml:space="preserve">保险等形式缴纳，金额为中标价的 </w:t>
      </w:r>
      <w:r>
        <w:rPr>
          <w:rFonts w:hint="eastAsia" w:ascii="宋体" w:hAnsi="宋体" w:cs="Times New Roman"/>
          <w:b/>
          <w:bCs/>
          <w:color w:val="auto"/>
          <w:sz w:val="24"/>
          <w:szCs w:val="24"/>
          <w:highlight w:val="none"/>
          <w:u w:val="single"/>
          <w:lang w:val="en-US" w:eastAsia="zh-CN"/>
        </w:rPr>
        <w:t xml:space="preserve">    </w:t>
      </w:r>
      <w:r>
        <w:rPr>
          <w:rFonts w:hint="eastAsia" w:ascii="宋体" w:hAnsi="宋体" w:eastAsia="宋体" w:cs="Times New Roman"/>
          <w:b/>
          <w:bCs/>
          <w:color w:val="auto"/>
          <w:sz w:val="24"/>
          <w:szCs w:val="24"/>
          <w:highlight w:val="none"/>
          <w:u w:val="single"/>
          <w:lang w:val="en-US" w:eastAsia="zh-CN"/>
        </w:rPr>
        <w:t xml:space="preserve"> %，履约担保有效期自本合同生效之日起至竣工验收合格之日止；</w:t>
      </w:r>
    </w:p>
    <w:p w14:paraId="5953AE3F">
      <w:pPr>
        <w:spacing w:line="360" w:lineRule="auto"/>
        <w:rPr>
          <w:rFonts w:hint="eastAsia" w:ascii="宋体" w:hAnsi="宋体" w:eastAsia="宋体" w:cs="Times New Roman"/>
          <w:b/>
          <w:bCs/>
          <w:color w:val="auto"/>
          <w:sz w:val="24"/>
          <w:szCs w:val="24"/>
          <w:highlight w:val="none"/>
          <w:u w:val="single"/>
          <w:lang w:val="en-US" w:eastAsia="zh-CN"/>
        </w:rPr>
      </w:pPr>
      <w:r>
        <w:rPr>
          <w:rFonts w:hint="eastAsia" w:ascii="宋体" w:hAnsi="宋体" w:eastAsia="宋体" w:cs="Times New Roman"/>
          <w:b/>
          <w:bCs/>
          <w:color w:val="auto"/>
          <w:sz w:val="24"/>
          <w:szCs w:val="24"/>
          <w:highlight w:val="none"/>
          <w:u w:val="none"/>
          <w:lang w:val="en-US" w:eastAsia="zh-CN"/>
        </w:rPr>
        <w:t>履约保证金提供时间：</w:t>
      </w:r>
      <w:r>
        <w:rPr>
          <w:rFonts w:hint="eastAsia" w:ascii="宋体" w:hAnsi="宋体" w:cs="Times New Roman"/>
          <w:b/>
          <w:bCs/>
          <w:color w:val="auto"/>
          <w:sz w:val="24"/>
          <w:szCs w:val="24"/>
          <w:highlight w:val="none"/>
          <w:u w:val="single"/>
          <w:lang w:val="en-US" w:eastAsia="zh-CN"/>
        </w:rPr>
        <w:t>承包人</w:t>
      </w:r>
      <w:r>
        <w:rPr>
          <w:rFonts w:hint="eastAsia" w:ascii="宋体" w:hAnsi="宋体" w:eastAsia="宋体" w:cs="Times New Roman"/>
          <w:b/>
          <w:bCs/>
          <w:color w:val="auto"/>
          <w:sz w:val="24"/>
          <w:szCs w:val="24"/>
          <w:highlight w:val="none"/>
          <w:u w:val="single"/>
          <w:lang w:val="en-US" w:eastAsia="zh-CN"/>
        </w:rPr>
        <w:t xml:space="preserve">须在中标成交项目合同签订后10个工作日内向采购人提供履约保证金； </w:t>
      </w:r>
    </w:p>
    <w:p w14:paraId="21B4D844">
      <w:pPr>
        <w:spacing w:line="360" w:lineRule="auto"/>
        <w:rPr>
          <w:rFonts w:hint="eastAsia" w:ascii="宋体" w:hAnsi="宋体" w:eastAsia="宋体" w:cs="Times New Roman"/>
          <w:b/>
          <w:bCs/>
          <w:color w:val="auto"/>
          <w:sz w:val="24"/>
          <w:szCs w:val="24"/>
          <w:highlight w:val="none"/>
          <w:u w:val="single"/>
          <w:lang w:val="en-US" w:eastAsia="zh-CN"/>
        </w:rPr>
      </w:pPr>
      <w:r>
        <w:rPr>
          <w:rFonts w:hint="eastAsia" w:ascii="宋体" w:hAnsi="宋体" w:eastAsia="宋体" w:cs="Times New Roman"/>
          <w:b/>
          <w:bCs/>
          <w:color w:val="auto"/>
          <w:sz w:val="24"/>
          <w:szCs w:val="24"/>
          <w:highlight w:val="none"/>
          <w:u w:val="none"/>
          <w:lang w:val="en-US" w:eastAsia="zh-CN"/>
        </w:rPr>
        <w:t>履约保证金的退还时间：</w:t>
      </w:r>
      <w:r>
        <w:rPr>
          <w:rFonts w:hint="eastAsia" w:ascii="宋体" w:hAnsi="宋体" w:eastAsia="宋体" w:cs="Times New Roman"/>
          <w:b/>
          <w:bCs/>
          <w:color w:val="auto"/>
          <w:sz w:val="24"/>
          <w:szCs w:val="24"/>
          <w:highlight w:val="none"/>
          <w:u w:val="single"/>
          <w:lang w:val="en-US" w:eastAsia="zh-CN"/>
        </w:rPr>
        <w:t>合同履行完毕并验收合格后退还履约保证金。如</w:t>
      </w:r>
      <w:r>
        <w:rPr>
          <w:rFonts w:hint="eastAsia" w:ascii="宋体" w:hAnsi="宋体" w:cs="Times New Roman"/>
          <w:b/>
          <w:bCs/>
          <w:color w:val="auto"/>
          <w:sz w:val="24"/>
          <w:szCs w:val="24"/>
          <w:highlight w:val="none"/>
          <w:u w:val="single"/>
          <w:lang w:val="en-US" w:eastAsia="zh-CN"/>
        </w:rPr>
        <w:t>承包人</w:t>
      </w:r>
      <w:r>
        <w:rPr>
          <w:rFonts w:hint="eastAsia" w:ascii="宋体" w:hAnsi="宋体" w:eastAsia="宋体" w:cs="Times New Roman"/>
          <w:b/>
          <w:bCs/>
          <w:color w:val="auto"/>
          <w:sz w:val="24"/>
          <w:szCs w:val="24"/>
          <w:highlight w:val="none"/>
          <w:u w:val="single"/>
          <w:lang w:val="en-US" w:eastAsia="zh-CN"/>
        </w:rPr>
        <w:t>不如期提交履约保证金，视为项目废标处理；</w:t>
      </w:r>
    </w:p>
    <w:p w14:paraId="7BBDE1E2">
      <w:pPr>
        <w:spacing w:line="360" w:lineRule="auto"/>
        <w:rPr>
          <w:rFonts w:hint="eastAsia" w:ascii="宋体" w:hAnsi="宋体" w:eastAsia="宋体"/>
          <w:b/>
          <w:bCs/>
          <w:color w:val="auto"/>
          <w:sz w:val="24"/>
          <w:szCs w:val="24"/>
          <w:highlight w:val="none"/>
          <w:u w:val="single"/>
          <w:lang w:val="en-US" w:eastAsia="zh-CN"/>
        </w:rPr>
      </w:pPr>
      <w:r>
        <w:rPr>
          <w:rFonts w:hint="eastAsia" w:ascii="宋体" w:hAnsi="宋体" w:eastAsia="宋体"/>
          <w:b/>
          <w:bCs/>
          <w:color w:val="auto"/>
          <w:sz w:val="24"/>
          <w:szCs w:val="24"/>
          <w:highlight w:val="none"/>
          <w:lang w:val="en-US" w:eastAsia="zh-CN"/>
        </w:rPr>
        <w:t>履约担保减免情形：</w:t>
      </w:r>
      <w:r>
        <w:rPr>
          <w:rFonts w:hint="eastAsia" w:ascii="宋体" w:hAnsi="宋体" w:eastAsia="宋体"/>
          <w:b/>
          <w:bCs/>
          <w:color w:val="auto"/>
          <w:sz w:val="24"/>
          <w:szCs w:val="24"/>
          <w:highlight w:val="none"/>
          <w:u w:val="single"/>
          <w:lang w:val="en-US" w:eastAsia="zh-CN"/>
        </w:rPr>
        <w:t>承包人近三年内信用情况良好，无不良记录，且近三年履约情况良好的企业，在缴纳履约担保前可向</w:t>
      </w:r>
      <w:r>
        <w:rPr>
          <w:rFonts w:hint="eastAsia" w:ascii="宋体" w:hAnsi="宋体"/>
          <w:b/>
          <w:bCs/>
          <w:color w:val="auto"/>
          <w:sz w:val="24"/>
          <w:szCs w:val="24"/>
          <w:highlight w:val="none"/>
          <w:u w:val="single"/>
          <w:lang w:val="en-US" w:eastAsia="zh-CN"/>
        </w:rPr>
        <w:t>发</w:t>
      </w:r>
      <w:r>
        <w:rPr>
          <w:rFonts w:hint="eastAsia" w:ascii="宋体" w:hAnsi="宋体" w:eastAsia="宋体"/>
          <w:b/>
          <w:bCs/>
          <w:color w:val="auto"/>
          <w:sz w:val="24"/>
          <w:szCs w:val="24"/>
          <w:highlight w:val="none"/>
          <w:u w:val="single"/>
          <w:lang w:val="en-US" w:eastAsia="zh-CN"/>
        </w:rPr>
        <w:t>包人递交诚信承诺书（格式自拟，须明确近三年信用及履约情况），</w:t>
      </w:r>
      <w:r>
        <w:rPr>
          <w:rFonts w:hint="eastAsia" w:ascii="宋体" w:hAnsi="宋体"/>
          <w:b/>
          <w:bCs/>
          <w:color w:val="auto"/>
          <w:sz w:val="24"/>
          <w:szCs w:val="24"/>
          <w:highlight w:val="none"/>
          <w:u w:val="single"/>
          <w:lang w:val="en-US" w:eastAsia="zh-CN"/>
        </w:rPr>
        <w:t>发包</w:t>
      </w:r>
      <w:r>
        <w:rPr>
          <w:rFonts w:hint="eastAsia" w:ascii="宋体" w:hAnsi="宋体" w:eastAsia="宋体"/>
          <w:b/>
          <w:bCs/>
          <w:color w:val="auto"/>
          <w:sz w:val="24"/>
          <w:szCs w:val="24"/>
          <w:highlight w:val="none"/>
          <w:u w:val="single"/>
          <w:lang w:val="en-US" w:eastAsia="zh-CN"/>
        </w:rPr>
        <w:t>人接收确认后，履约担保金额可减免至中标金额的3%。</w:t>
      </w:r>
    </w:p>
    <w:p w14:paraId="5EF1D184">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履约担保应在监理人向承包人颁发(出具)工程接收证书之日后28天内退还给承包人。发包人不承担承包人与履约担保有关的任何利息或其它类似的费用或者收益。</w:t>
      </w:r>
    </w:p>
    <w:p w14:paraId="1AEAB4D6">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不管履约担保条款中如何约定，发包人根据担保条款提出索赔或兑现要求28天前，应通知承包人并说明导致此类索赔或兑现的违约性质或原因。但是，本项约定的通知不应理解为是在任何意义上寻求承包人的同意。</w:t>
      </w:r>
    </w:p>
    <w:p w14:paraId="0CC36894">
      <w:pPr>
        <w:spacing w:line="360" w:lineRule="auto"/>
        <w:rPr>
          <w:rFonts w:ascii="宋体" w:hAnsi="宋体"/>
          <w:color w:val="auto"/>
          <w:sz w:val="24"/>
          <w:szCs w:val="24"/>
          <w:highlight w:val="none"/>
        </w:rPr>
      </w:pPr>
      <w:r>
        <w:rPr>
          <w:rFonts w:ascii="宋体" w:hAnsi="宋体"/>
          <w:color w:val="auto"/>
          <w:sz w:val="24"/>
          <w:szCs w:val="24"/>
          <w:highlight w:val="none"/>
        </w:rPr>
        <w:t xml:space="preserve">4  </w:t>
      </w:r>
      <w:r>
        <w:rPr>
          <w:rFonts w:hint="eastAsia" w:ascii="宋体" w:hAnsi="宋体"/>
          <w:color w:val="auto"/>
          <w:sz w:val="24"/>
          <w:szCs w:val="24"/>
          <w:highlight w:val="none"/>
        </w:rPr>
        <w:t>监理人</w:t>
      </w:r>
    </w:p>
    <w:p w14:paraId="75AA41B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4.1  </w:t>
      </w:r>
      <w:r>
        <w:rPr>
          <w:rFonts w:hint="eastAsia" w:ascii="宋体" w:hAnsi="宋体"/>
          <w:color w:val="auto"/>
          <w:sz w:val="24"/>
          <w:szCs w:val="24"/>
          <w:highlight w:val="none"/>
        </w:rPr>
        <w:t>监理人的一般规定</w:t>
      </w:r>
    </w:p>
    <w:p w14:paraId="5FF1B7DE">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关于监理人的监理内容：</w:t>
      </w:r>
      <w:r>
        <w:rPr>
          <w:rFonts w:hint="eastAsia" w:ascii="宋体" w:hAnsi="宋体"/>
          <w:color w:val="auto"/>
          <w:sz w:val="24"/>
          <w:szCs w:val="24"/>
          <w:highlight w:val="none"/>
          <w:u w:val="single"/>
        </w:rPr>
        <w:t>本详见监理合同</w:t>
      </w:r>
      <w:r>
        <w:rPr>
          <w:rFonts w:hint="eastAsia" w:ascii="宋体" w:hAnsi="宋体"/>
          <w:color w:val="auto"/>
          <w:sz w:val="24"/>
          <w:szCs w:val="24"/>
          <w:highlight w:val="none"/>
        </w:rPr>
        <w:t>。</w:t>
      </w:r>
    </w:p>
    <w:p w14:paraId="6F3220C0">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关于监理人的监理权限：</w:t>
      </w:r>
      <w:r>
        <w:rPr>
          <w:rFonts w:hint="eastAsia" w:ascii="宋体" w:hAnsi="宋体"/>
          <w:color w:val="auto"/>
          <w:sz w:val="24"/>
          <w:szCs w:val="24"/>
          <w:highlight w:val="none"/>
          <w:u w:val="single"/>
        </w:rPr>
        <w:t>按国家、建筑行政主管部门的有关标准和规范对本工程的施工行使全过程及全方位监理的职权，执行发包人与监理单位签订的工程监理合同，但发布开工令、停工令、复工令，工程设计变更签证、任何形式的经济签证、工期顺延必须经发包人确认后方能生效</w:t>
      </w:r>
      <w:r>
        <w:rPr>
          <w:rFonts w:hint="eastAsia" w:ascii="宋体" w:hAnsi="宋体"/>
          <w:color w:val="auto"/>
          <w:sz w:val="24"/>
          <w:szCs w:val="24"/>
          <w:highlight w:val="none"/>
        </w:rPr>
        <w:t>。</w:t>
      </w:r>
    </w:p>
    <w:p w14:paraId="37CAFC02">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关于监理人在施工现场的办公场所、生活场所的提供和费用承担的约定：</w:t>
      </w:r>
      <w:r>
        <w:rPr>
          <w:rFonts w:hint="eastAsia" w:ascii="宋体" w:hAnsi="宋体"/>
          <w:color w:val="auto"/>
          <w:sz w:val="24"/>
          <w:szCs w:val="24"/>
          <w:highlight w:val="none"/>
          <w:u w:val="single"/>
        </w:rPr>
        <w:t>由承包人负责</w:t>
      </w:r>
      <w:r>
        <w:rPr>
          <w:rFonts w:hint="eastAsia" w:ascii="宋体" w:hAnsi="宋体"/>
          <w:color w:val="auto"/>
          <w:sz w:val="24"/>
          <w:szCs w:val="24"/>
          <w:highlight w:val="none"/>
        </w:rPr>
        <w:t>。</w:t>
      </w:r>
    </w:p>
    <w:p w14:paraId="76F84BB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4.2  </w:t>
      </w:r>
      <w:r>
        <w:rPr>
          <w:rFonts w:hint="eastAsia" w:ascii="宋体" w:hAnsi="宋体"/>
          <w:color w:val="auto"/>
          <w:sz w:val="24"/>
          <w:szCs w:val="24"/>
          <w:highlight w:val="none"/>
        </w:rPr>
        <w:t>监理人员</w:t>
      </w:r>
    </w:p>
    <w:p w14:paraId="1BD2B88E">
      <w:pPr>
        <w:spacing w:line="360" w:lineRule="auto"/>
        <w:ind w:firstLine="480" w:firstLineChars="200"/>
        <w:rPr>
          <w:rFonts w:ascii="宋体" w:hAnsi="宋体"/>
          <w:i/>
          <w:iCs/>
          <w:color w:val="auto"/>
          <w:sz w:val="24"/>
          <w:szCs w:val="24"/>
          <w:highlight w:val="none"/>
          <w:u w:val="single"/>
        </w:rPr>
      </w:pPr>
      <w:r>
        <w:rPr>
          <w:rFonts w:hint="eastAsia" w:ascii="宋体" w:hAnsi="宋体"/>
          <w:color w:val="auto"/>
          <w:sz w:val="24"/>
          <w:szCs w:val="24"/>
          <w:highlight w:val="none"/>
        </w:rPr>
        <w:t>总监理工程师：</w:t>
      </w:r>
    </w:p>
    <w:p w14:paraId="75E3985F">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姓名：</w:t>
      </w:r>
      <w:r>
        <w:rPr>
          <w:rFonts w:hint="eastAsia" w:ascii="宋体" w:hAnsi="宋体" w:cs="宋体"/>
          <w:color w:val="auto"/>
          <w:sz w:val="24"/>
          <w:szCs w:val="24"/>
          <w:highlight w:val="none"/>
          <w:u w:val="single"/>
          <w:lang w:eastAsia="zh-CN"/>
        </w:rPr>
        <w:t>详见监理合同</w:t>
      </w:r>
      <w:r>
        <w:rPr>
          <w:rFonts w:hint="eastAsia" w:ascii="宋体" w:hAnsi="宋体" w:cs="宋体"/>
          <w:color w:val="auto"/>
          <w:sz w:val="24"/>
          <w:szCs w:val="24"/>
          <w:highlight w:val="none"/>
          <w:u w:val="single"/>
        </w:rPr>
        <w:t xml:space="preserve"> </w:t>
      </w:r>
      <w:r>
        <w:rPr>
          <w:rFonts w:hint="eastAsia" w:ascii="宋体" w:hAnsi="宋体"/>
          <w:color w:val="auto"/>
          <w:sz w:val="24"/>
          <w:szCs w:val="24"/>
          <w:highlight w:val="none"/>
        </w:rPr>
        <w:t>；</w:t>
      </w:r>
    </w:p>
    <w:p w14:paraId="2FDACC41">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职务：</w:t>
      </w:r>
      <w:r>
        <w:rPr>
          <w:rFonts w:hint="eastAsia" w:ascii="宋体" w:hAnsi="宋体"/>
          <w:color w:val="auto"/>
          <w:sz w:val="24"/>
          <w:szCs w:val="24"/>
          <w:highlight w:val="none"/>
          <w:u w:val="single"/>
        </w:rPr>
        <w:t>总监理工程师</w:t>
      </w:r>
      <w:r>
        <w:rPr>
          <w:rFonts w:hint="eastAsia" w:ascii="宋体" w:hAnsi="宋体" w:cs="MingLiU_HKSCS"/>
          <w:color w:val="auto"/>
          <w:sz w:val="24"/>
          <w:szCs w:val="24"/>
          <w:highlight w:val="none"/>
          <w:u w:val="single"/>
        </w:rPr>
        <w:t xml:space="preserve"> </w:t>
      </w:r>
      <w:r>
        <w:rPr>
          <w:rFonts w:hint="eastAsia" w:ascii="宋体" w:hAnsi="宋体"/>
          <w:color w:val="auto"/>
          <w:sz w:val="24"/>
          <w:szCs w:val="24"/>
          <w:highlight w:val="none"/>
        </w:rPr>
        <w:t>；</w:t>
      </w:r>
    </w:p>
    <w:p w14:paraId="1C7F4CF3">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关于监理人的其他约定：</w:t>
      </w:r>
      <w:r>
        <w:rPr>
          <w:rFonts w:hint="eastAsia" w:ascii="宋体" w:hAnsi="宋体" w:cs="MingLiU_HKSCS"/>
          <w:color w:val="auto"/>
          <w:sz w:val="24"/>
          <w:szCs w:val="24"/>
          <w:highlight w:val="none"/>
          <w:u w:val="single"/>
        </w:rPr>
        <w:t>见监理合同</w:t>
      </w:r>
      <w:r>
        <w:rPr>
          <w:rFonts w:hint="eastAsia" w:ascii="宋体" w:hAnsi="宋体"/>
          <w:color w:val="auto"/>
          <w:sz w:val="24"/>
          <w:szCs w:val="24"/>
          <w:highlight w:val="none"/>
        </w:rPr>
        <w:t>。</w:t>
      </w:r>
    </w:p>
    <w:p w14:paraId="0FA5963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4.4   </w:t>
      </w:r>
      <w:r>
        <w:rPr>
          <w:rFonts w:hint="eastAsia" w:ascii="宋体" w:hAnsi="宋体"/>
          <w:color w:val="auto"/>
          <w:sz w:val="24"/>
          <w:szCs w:val="24"/>
          <w:highlight w:val="none"/>
        </w:rPr>
        <w:t>商定或确定</w:t>
      </w:r>
    </w:p>
    <w:p w14:paraId="60B9BEE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在发包人和承包人不能通过协商达成一致意见时，发包人授权监理人对以下事项进行确定：</w:t>
      </w:r>
    </w:p>
    <w:p w14:paraId="14CEB3B5">
      <w:pPr>
        <w:autoSpaceDE w:val="0"/>
        <w:autoSpaceDN w:val="0"/>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1</w:t>
      </w:r>
      <w:r>
        <w:rPr>
          <w:rFonts w:hint="eastAsia" w:ascii="宋体" w:hAnsi="宋体"/>
          <w:color w:val="auto"/>
          <w:sz w:val="24"/>
          <w:szCs w:val="24"/>
          <w:highlight w:val="none"/>
        </w:rPr>
        <w:t>）</w:t>
      </w:r>
      <w:r>
        <w:rPr>
          <w:rFonts w:hint="eastAsia" w:ascii="宋体" w:hAnsi="宋体"/>
          <w:color w:val="auto"/>
          <w:sz w:val="24"/>
          <w:szCs w:val="24"/>
          <w:highlight w:val="none"/>
          <w:u w:val="single"/>
        </w:rPr>
        <w:t>/</w:t>
      </w:r>
      <w:r>
        <w:rPr>
          <w:rFonts w:hint="eastAsia" w:ascii="宋体" w:hAnsi="宋体"/>
          <w:color w:val="auto"/>
          <w:sz w:val="24"/>
          <w:szCs w:val="24"/>
          <w:highlight w:val="none"/>
        </w:rPr>
        <w:t>；</w:t>
      </w:r>
    </w:p>
    <w:p w14:paraId="583CF5F9">
      <w:pPr>
        <w:autoSpaceDE w:val="0"/>
        <w:autoSpaceDN w:val="0"/>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2</w:t>
      </w:r>
      <w:r>
        <w:rPr>
          <w:rFonts w:hint="eastAsia" w:ascii="宋体" w:hAnsi="宋体"/>
          <w:color w:val="auto"/>
          <w:sz w:val="24"/>
          <w:szCs w:val="24"/>
          <w:highlight w:val="none"/>
        </w:rPr>
        <w:t>）</w:t>
      </w:r>
      <w:r>
        <w:rPr>
          <w:rFonts w:hint="eastAsia" w:ascii="宋体" w:hAnsi="宋体"/>
          <w:color w:val="auto"/>
          <w:sz w:val="24"/>
          <w:szCs w:val="24"/>
          <w:highlight w:val="none"/>
          <w:u w:val="single"/>
        </w:rPr>
        <w:t>/</w:t>
      </w:r>
      <w:r>
        <w:rPr>
          <w:rFonts w:hint="eastAsia" w:ascii="宋体" w:hAnsi="宋体"/>
          <w:color w:val="auto"/>
          <w:sz w:val="24"/>
          <w:szCs w:val="24"/>
          <w:highlight w:val="none"/>
        </w:rPr>
        <w:t>；</w:t>
      </w:r>
    </w:p>
    <w:p w14:paraId="0DEF97BC">
      <w:pPr>
        <w:tabs>
          <w:tab w:val="left" w:pos="5387"/>
        </w:tabs>
        <w:autoSpaceDE w:val="0"/>
        <w:autoSpaceDN w:val="0"/>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3</w:t>
      </w:r>
      <w:r>
        <w:rPr>
          <w:rFonts w:hint="eastAsia" w:ascii="宋体" w:hAnsi="宋体"/>
          <w:color w:val="auto"/>
          <w:sz w:val="24"/>
          <w:szCs w:val="24"/>
          <w:highlight w:val="none"/>
        </w:rPr>
        <w:t>）</w:t>
      </w:r>
      <w:r>
        <w:rPr>
          <w:rFonts w:hint="eastAsia" w:ascii="宋体" w:hAnsi="宋体"/>
          <w:color w:val="auto"/>
          <w:sz w:val="24"/>
          <w:szCs w:val="24"/>
          <w:highlight w:val="none"/>
          <w:u w:val="single"/>
        </w:rPr>
        <w:t>/</w:t>
      </w:r>
      <w:r>
        <w:rPr>
          <w:rFonts w:hint="eastAsia" w:ascii="宋体" w:hAnsi="宋体"/>
          <w:color w:val="auto"/>
          <w:sz w:val="24"/>
          <w:szCs w:val="24"/>
          <w:highlight w:val="none"/>
        </w:rPr>
        <w:t>。</w:t>
      </w:r>
    </w:p>
    <w:p w14:paraId="4A754077">
      <w:pPr>
        <w:spacing w:line="360" w:lineRule="auto"/>
        <w:rPr>
          <w:rFonts w:ascii="宋体" w:hAnsi="宋体"/>
          <w:color w:val="auto"/>
          <w:sz w:val="24"/>
          <w:szCs w:val="24"/>
          <w:highlight w:val="none"/>
        </w:rPr>
      </w:pPr>
      <w:r>
        <w:rPr>
          <w:rFonts w:ascii="宋体" w:hAnsi="宋体"/>
          <w:color w:val="auto"/>
          <w:sz w:val="24"/>
          <w:szCs w:val="24"/>
          <w:highlight w:val="none"/>
        </w:rPr>
        <w:t xml:space="preserve">5  </w:t>
      </w:r>
      <w:r>
        <w:rPr>
          <w:rFonts w:hint="eastAsia" w:ascii="宋体" w:hAnsi="宋体"/>
          <w:color w:val="auto"/>
          <w:sz w:val="24"/>
          <w:szCs w:val="24"/>
          <w:highlight w:val="none"/>
        </w:rPr>
        <w:t>工程质量</w:t>
      </w:r>
    </w:p>
    <w:p w14:paraId="41638AF4">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5.1  </w:t>
      </w:r>
      <w:r>
        <w:rPr>
          <w:rFonts w:hint="eastAsia" w:ascii="宋体" w:hAnsi="宋体"/>
          <w:color w:val="auto"/>
          <w:sz w:val="24"/>
          <w:szCs w:val="24"/>
          <w:highlight w:val="none"/>
        </w:rPr>
        <w:t>质量要求</w:t>
      </w:r>
    </w:p>
    <w:p w14:paraId="3B3357C3">
      <w:pPr>
        <w:spacing w:line="360" w:lineRule="auto"/>
        <w:ind w:firstLine="480" w:firstLineChars="200"/>
        <w:rPr>
          <w:rFonts w:hint="eastAsia" w:ascii="宋体" w:hAnsi="宋体"/>
          <w:color w:val="auto"/>
          <w:sz w:val="24"/>
          <w:szCs w:val="24"/>
          <w:highlight w:val="none"/>
        </w:rPr>
      </w:pPr>
      <w:r>
        <w:rPr>
          <w:rFonts w:ascii="宋体" w:hAnsi="宋体"/>
          <w:color w:val="auto"/>
          <w:sz w:val="24"/>
          <w:szCs w:val="24"/>
          <w:highlight w:val="none"/>
        </w:rPr>
        <w:t>5.1.1</w:t>
      </w:r>
      <w:r>
        <w:rPr>
          <w:rFonts w:hint="eastAsia" w:ascii="宋体" w:hAnsi="宋体"/>
          <w:color w:val="auto"/>
          <w:sz w:val="24"/>
          <w:szCs w:val="24"/>
          <w:highlight w:val="none"/>
        </w:rPr>
        <w:t xml:space="preserve">  特殊质量标准和要求：</w:t>
      </w:r>
      <w:r>
        <w:rPr>
          <w:rFonts w:hint="eastAsia" w:ascii="宋体" w:hAnsi="宋体"/>
          <w:color w:val="auto"/>
          <w:sz w:val="24"/>
          <w:szCs w:val="24"/>
          <w:highlight w:val="none"/>
          <w:u w:val="single"/>
        </w:rPr>
        <w:t>符合国家验评标准</w:t>
      </w:r>
      <w:r>
        <w:rPr>
          <w:rFonts w:hint="eastAsia" w:ascii="宋体" w:hAnsi="宋体"/>
          <w:color w:val="auto"/>
          <w:sz w:val="24"/>
          <w:szCs w:val="24"/>
          <w:highlight w:val="none"/>
        </w:rPr>
        <w:t>。</w:t>
      </w:r>
    </w:p>
    <w:p w14:paraId="5131C554">
      <w:pPr>
        <w:spacing w:line="360" w:lineRule="auto"/>
        <w:ind w:firstLine="482" w:firstLineChars="200"/>
        <w:rPr>
          <w:rFonts w:hint="eastAsia" w:ascii="宋体" w:hAnsi="宋体"/>
          <w:b/>
          <w:bCs/>
          <w:color w:val="auto"/>
          <w:sz w:val="24"/>
          <w:szCs w:val="24"/>
          <w:highlight w:val="none"/>
          <w:u w:val="single"/>
        </w:rPr>
      </w:pPr>
      <w:r>
        <w:rPr>
          <w:rFonts w:hint="eastAsia" w:ascii="宋体" w:hAnsi="宋体"/>
          <w:b/>
          <w:bCs/>
          <w:color w:val="auto"/>
          <w:sz w:val="24"/>
          <w:szCs w:val="24"/>
          <w:highlight w:val="none"/>
          <w:u w:val="single"/>
        </w:rPr>
        <w:t>承包人在施工中存在偷工减料，使用不合格的建筑材料、建筑构配件和设备的，或者有不按照工程设计图纸或者施工技术标准施工等其他行为的，支付工程合同价款2%的违约金；存在违反《建设工程质量管理条例》规定的，由建设行政主管部门给予相应处罚。</w:t>
      </w:r>
    </w:p>
    <w:p w14:paraId="00BAAFAD">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5.2  </w:t>
      </w:r>
      <w:r>
        <w:rPr>
          <w:rFonts w:hint="eastAsia" w:ascii="宋体" w:hAnsi="宋体"/>
          <w:color w:val="auto"/>
          <w:sz w:val="24"/>
          <w:szCs w:val="24"/>
          <w:highlight w:val="none"/>
        </w:rPr>
        <w:t>质量保证措施</w:t>
      </w:r>
    </w:p>
    <w:p w14:paraId="1E4CB0FB">
      <w:pPr>
        <w:autoSpaceDE w:val="0"/>
        <w:autoSpaceDN w:val="0"/>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5.2.2</w:t>
      </w:r>
      <w:r>
        <w:rPr>
          <w:rFonts w:hint="eastAsia" w:ascii="宋体" w:hAnsi="宋体"/>
          <w:color w:val="auto"/>
          <w:sz w:val="24"/>
          <w:szCs w:val="24"/>
          <w:highlight w:val="none"/>
        </w:rPr>
        <w:t xml:space="preserve">  承包人的质量管理</w:t>
      </w:r>
    </w:p>
    <w:p w14:paraId="1CF8254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承包人向监理人提交工程质量保证措施文件的期限：</w:t>
      </w:r>
      <w:r>
        <w:rPr>
          <w:rFonts w:hint="eastAsia" w:ascii="宋体" w:hAnsi="宋体" w:cs="宋体"/>
          <w:color w:val="auto"/>
          <w:sz w:val="24"/>
          <w:szCs w:val="24"/>
          <w:highlight w:val="none"/>
          <w:u w:val="single"/>
        </w:rPr>
        <w:t>开工前</w:t>
      </w:r>
      <w:r>
        <w:rPr>
          <w:rFonts w:hint="eastAsia" w:ascii="宋体" w:hAnsi="宋体" w:cs="宋体"/>
          <w:color w:val="auto"/>
          <w:sz w:val="24"/>
          <w:szCs w:val="24"/>
          <w:highlight w:val="none"/>
        </w:rPr>
        <w:t>。</w:t>
      </w:r>
    </w:p>
    <w:p w14:paraId="0E37640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如遇到各专业施工图纸矛盾时，应及时联系设计院及发包人协商解决，若承包人擅自按单一专业施工图纸施工造成的返工后果及相关责任均由承包人承担。</w:t>
      </w:r>
    </w:p>
    <w:p w14:paraId="466C4CE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承包人向监理人报送工程质量报表的期限：</w:t>
      </w:r>
      <w:r>
        <w:rPr>
          <w:rFonts w:hint="eastAsia" w:ascii="宋体" w:hAnsi="宋体" w:cs="宋体"/>
          <w:color w:val="auto"/>
          <w:sz w:val="24"/>
          <w:szCs w:val="24"/>
          <w:highlight w:val="none"/>
          <w:u w:val="single"/>
        </w:rPr>
        <w:t>按发包人要求</w:t>
      </w:r>
    </w:p>
    <w:p w14:paraId="55F571E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承包人向监理人报送工程质量报表的要求：</w:t>
      </w:r>
      <w:r>
        <w:rPr>
          <w:rFonts w:hint="eastAsia" w:ascii="宋体" w:hAnsi="宋体" w:cs="宋体"/>
          <w:color w:val="auto"/>
          <w:sz w:val="24"/>
          <w:szCs w:val="24"/>
          <w:highlight w:val="none"/>
          <w:u w:val="single"/>
        </w:rPr>
        <w:t>按发包人要求</w:t>
      </w:r>
      <w:r>
        <w:rPr>
          <w:rFonts w:hint="eastAsia" w:ascii="宋体" w:hAnsi="宋体" w:cs="宋体"/>
          <w:color w:val="auto"/>
          <w:sz w:val="24"/>
          <w:szCs w:val="24"/>
          <w:highlight w:val="none"/>
        </w:rPr>
        <w:t>。</w:t>
      </w:r>
    </w:p>
    <w:p w14:paraId="20200ED8">
      <w:pPr>
        <w:spacing w:line="360" w:lineRule="auto"/>
        <w:rPr>
          <w:rFonts w:ascii="宋体" w:hAnsi="宋体"/>
          <w:color w:val="auto"/>
          <w:sz w:val="24"/>
          <w:szCs w:val="24"/>
          <w:highlight w:val="none"/>
        </w:rPr>
      </w:pPr>
      <w:r>
        <w:rPr>
          <w:rFonts w:ascii="宋体" w:hAnsi="宋体"/>
          <w:color w:val="auto"/>
          <w:sz w:val="24"/>
          <w:szCs w:val="24"/>
          <w:highlight w:val="none"/>
        </w:rPr>
        <w:t xml:space="preserve">    5.3  </w:t>
      </w:r>
      <w:r>
        <w:rPr>
          <w:rFonts w:hint="eastAsia" w:ascii="宋体" w:hAnsi="宋体"/>
          <w:color w:val="auto"/>
          <w:sz w:val="24"/>
          <w:szCs w:val="24"/>
          <w:highlight w:val="none"/>
        </w:rPr>
        <w:t>隐蔽工程检查</w:t>
      </w:r>
    </w:p>
    <w:p w14:paraId="50DA3B49">
      <w:pPr>
        <w:spacing w:line="360" w:lineRule="auto"/>
        <w:ind w:firstLine="464" w:firstLineChars="200"/>
        <w:rPr>
          <w:rFonts w:ascii="宋体" w:hAnsi="宋体"/>
          <w:color w:val="auto"/>
          <w:sz w:val="24"/>
          <w:szCs w:val="24"/>
          <w:highlight w:val="none"/>
        </w:rPr>
      </w:pPr>
      <w:r>
        <w:rPr>
          <w:rFonts w:ascii="宋体" w:hAnsi="宋体"/>
          <w:color w:val="auto"/>
          <w:spacing w:val="-4"/>
          <w:sz w:val="24"/>
          <w:szCs w:val="24"/>
          <w:highlight w:val="none"/>
        </w:rPr>
        <w:t>5.3.2</w:t>
      </w:r>
      <w:r>
        <w:rPr>
          <w:rFonts w:hint="eastAsia" w:ascii="宋体" w:hAnsi="宋体"/>
          <w:color w:val="auto"/>
          <w:spacing w:val="-4"/>
          <w:sz w:val="24"/>
          <w:szCs w:val="24"/>
          <w:highlight w:val="none"/>
        </w:rPr>
        <w:t xml:space="preserve">  承包人提前通知监理人隐蔽工程检查的期限的约定：</w:t>
      </w:r>
      <w:r>
        <w:rPr>
          <w:rFonts w:hint="eastAsia" w:ascii="宋体" w:hAnsi="宋体"/>
          <w:color w:val="auto"/>
          <w:sz w:val="24"/>
          <w:szCs w:val="24"/>
          <w:highlight w:val="none"/>
          <w:u w:val="single"/>
        </w:rPr>
        <w:t>检查前</w:t>
      </w:r>
      <w:r>
        <w:rPr>
          <w:rFonts w:ascii="宋体" w:hAnsi="宋体"/>
          <w:color w:val="auto"/>
          <w:sz w:val="24"/>
          <w:szCs w:val="24"/>
          <w:highlight w:val="none"/>
          <w:u w:val="single"/>
        </w:rPr>
        <w:t>48</w:t>
      </w:r>
      <w:r>
        <w:rPr>
          <w:rFonts w:hint="eastAsia" w:ascii="宋体" w:hAnsi="宋体"/>
          <w:color w:val="auto"/>
          <w:sz w:val="24"/>
          <w:szCs w:val="24"/>
          <w:highlight w:val="none"/>
          <w:u w:val="single"/>
        </w:rPr>
        <w:t>小时书面通知监理人</w:t>
      </w:r>
      <w:r>
        <w:rPr>
          <w:rFonts w:hint="eastAsia" w:ascii="宋体" w:hAnsi="宋体"/>
          <w:color w:val="auto"/>
          <w:spacing w:val="-4"/>
          <w:sz w:val="24"/>
          <w:szCs w:val="24"/>
          <w:highlight w:val="none"/>
        </w:rPr>
        <w:t>。</w:t>
      </w:r>
    </w:p>
    <w:p w14:paraId="48B1C071">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监理人不能按时进行检查时，应提前</w:t>
      </w:r>
      <w:r>
        <w:rPr>
          <w:rFonts w:ascii="宋体" w:hAnsi="宋体"/>
          <w:color w:val="auto"/>
          <w:sz w:val="24"/>
          <w:szCs w:val="24"/>
          <w:highlight w:val="none"/>
          <w:u w:val="single"/>
        </w:rPr>
        <w:t xml:space="preserve"> 24 </w:t>
      </w:r>
      <w:r>
        <w:rPr>
          <w:rFonts w:hint="eastAsia" w:ascii="宋体" w:hAnsi="宋体"/>
          <w:color w:val="auto"/>
          <w:sz w:val="24"/>
          <w:szCs w:val="24"/>
          <w:highlight w:val="none"/>
        </w:rPr>
        <w:t>小时提交书面延期要求。</w:t>
      </w:r>
    </w:p>
    <w:p w14:paraId="7AF18A82">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关于延期最长不得超过：</w:t>
      </w:r>
      <w:r>
        <w:rPr>
          <w:rFonts w:ascii="宋体" w:hAnsi="宋体"/>
          <w:color w:val="auto"/>
          <w:sz w:val="24"/>
          <w:szCs w:val="24"/>
          <w:highlight w:val="none"/>
          <w:u w:val="single"/>
        </w:rPr>
        <w:t>48</w:t>
      </w:r>
      <w:r>
        <w:rPr>
          <w:rFonts w:hint="eastAsia" w:ascii="宋体" w:hAnsi="宋体"/>
          <w:color w:val="auto"/>
          <w:sz w:val="24"/>
          <w:szCs w:val="24"/>
          <w:highlight w:val="none"/>
        </w:rPr>
        <w:t>小时。</w:t>
      </w:r>
    </w:p>
    <w:p w14:paraId="75668586">
      <w:pPr>
        <w:spacing w:line="360" w:lineRule="auto"/>
        <w:rPr>
          <w:rFonts w:ascii="宋体" w:hAnsi="宋体"/>
          <w:color w:val="auto"/>
          <w:sz w:val="24"/>
          <w:szCs w:val="24"/>
          <w:highlight w:val="none"/>
        </w:rPr>
      </w:pPr>
      <w:r>
        <w:rPr>
          <w:rFonts w:ascii="宋体" w:hAnsi="宋体"/>
          <w:color w:val="auto"/>
          <w:sz w:val="24"/>
          <w:szCs w:val="24"/>
          <w:highlight w:val="none"/>
        </w:rPr>
        <w:t xml:space="preserve">6  </w:t>
      </w:r>
      <w:r>
        <w:rPr>
          <w:rFonts w:hint="eastAsia" w:ascii="宋体" w:hAnsi="宋体"/>
          <w:color w:val="auto"/>
          <w:sz w:val="24"/>
          <w:szCs w:val="24"/>
          <w:highlight w:val="none"/>
        </w:rPr>
        <w:t>安全文明施工与环境保护</w:t>
      </w:r>
    </w:p>
    <w:p w14:paraId="5D6BF8B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6.1  </w:t>
      </w:r>
      <w:r>
        <w:rPr>
          <w:rFonts w:hint="eastAsia" w:ascii="宋体" w:hAnsi="宋体"/>
          <w:color w:val="auto"/>
          <w:sz w:val="24"/>
          <w:szCs w:val="24"/>
          <w:highlight w:val="none"/>
        </w:rPr>
        <w:t>安全文明施工</w:t>
      </w:r>
    </w:p>
    <w:p w14:paraId="26F659B1">
      <w:pPr>
        <w:spacing w:line="360" w:lineRule="auto"/>
        <w:ind w:left="479" w:leftChars="228"/>
        <w:rPr>
          <w:rFonts w:hint="eastAsia" w:ascii="宋体" w:hAnsi="宋体"/>
          <w:color w:val="auto"/>
          <w:sz w:val="24"/>
          <w:szCs w:val="24"/>
          <w:highlight w:val="none"/>
          <w:u w:val="single"/>
        </w:rPr>
      </w:pPr>
      <w:r>
        <w:rPr>
          <w:rFonts w:ascii="宋体" w:hAnsi="宋体"/>
          <w:color w:val="auto"/>
          <w:sz w:val="24"/>
          <w:szCs w:val="24"/>
          <w:highlight w:val="none"/>
        </w:rPr>
        <w:t>6.1.1</w:t>
      </w:r>
      <w:r>
        <w:rPr>
          <w:rFonts w:hint="eastAsia" w:ascii="宋体" w:hAnsi="宋体"/>
          <w:color w:val="auto"/>
          <w:sz w:val="24"/>
          <w:szCs w:val="24"/>
          <w:highlight w:val="none"/>
        </w:rPr>
        <w:t>项目安全生产的达标目标及相应事项的约定：</w:t>
      </w:r>
      <w:r>
        <w:rPr>
          <w:rFonts w:hint="eastAsia" w:ascii="宋体" w:hAnsi="宋体"/>
          <w:color w:val="auto"/>
          <w:sz w:val="24"/>
          <w:szCs w:val="24"/>
          <w:highlight w:val="none"/>
          <w:u w:val="single"/>
        </w:rPr>
        <w:t>符合安全生产相关规定。</w:t>
      </w:r>
    </w:p>
    <w:p w14:paraId="7167B936">
      <w:pPr>
        <w:spacing w:line="360" w:lineRule="auto"/>
        <w:ind w:firstLine="480" w:firstLineChars="200"/>
        <w:rPr>
          <w:color w:val="auto"/>
          <w:highlight w:val="none"/>
        </w:rPr>
      </w:pPr>
      <w:r>
        <w:rPr>
          <w:rFonts w:hint="eastAsia" w:ascii="宋体" w:hAnsi="宋体"/>
          <w:color w:val="auto"/>
          <w:sz w:val="24"/>
          <w:szCs w:val="24"/>
          <w:highlight w:val="none"/>
        </w:rPr>
        <w:t>6.1.3</w:t>
      </w:r>
      <w:r>
        <w:rPr>
          <w:rFonts w:hint="eastAsia" w:ascii="宋体" w:hAnsi="宋体"/>
          <w:b/>
          <w:bCs/>
          <w:color w:val="auto"/>
          <w:sz w:val="24"/>
          <w:szCs w:val="24"/>
          <w:highlight w:val="none"/>
          <w:u w:val="single"/>
        </w:rPr>
        <w:t>超过一定规模的危险性较大的分部分项工程专项方案需组织专家论证会,所产生的专家论证费应由</w:t>
      </w:r>
      <w:r>
        <w:rPr>
          <w:rFonts w:hint="eastAsia" w:ascii="宋体" w:hAnsi="宋体"/>
          <w:b/>
          <w:bCs/>
          <w:color w:val="auto"/>
          <w:sz w:val="24"/>
          <w:szCs w:val="24"/>
          <w:highlight w:val="none"/>
          <w:u w:val="single"/>
          <w:lang w:eastAsia="zh-CN"/>
        </w:rPr>
        <w:t>承包人</w:t>
      </w:r>
      <w:r>
        <w:rPr>
          <w:rFonts w:hint="eastAsia" w:ascii="宋体" w:hAnsi="宋体"/>
          <w:b/>
          <w:bCs/>
          <w:color w:val="auto"/>
          <w:sz w:val="24"/>
          <w:szCs w:val="24"/>
          <w:highlight w:val="none"/>
          <w:u w:val="single"/>
        </w:rPr>
        <w:t xml:space="preserve">单位承担；根据鄂尔多斯市城乡建设委员会关于印发《鄂尔多斯市工程质量安全提升行动方案》的通知（鄂建发{2017}56号），使用国有资金项目全面实施样板引路制度，所有工程除对质量的要求外还需对安全文明施工做特殊要求，工程实施中结构、装饰、屋面、安装等分项节点所做样板产生的费用已包含在合同价中，后期不予调整。 </w:t>
      </w:r>
    </w:p>
    <w:p w14:paraId="5DBDD68E">
      <w:pPr>
        <w:spacing w:line="360" w:lineRule="auto"/>
        <w:rPr>
          <w:rFonts w:hint="eastAsia" w:ascii="宋体" w:hAnsi="宋体"/>
          <w:color w:val="auto"/>
          <w:sz w:val="24"/>
          <w:szCs w:val="24"/>
          <w:highlight w:val="none"/>
          <w:u w:val="single"/>
        </w:rPr>
      </w:pPr>
      <w:r>
        <w:rPr>
          <w:rFonts w:ascii="宋体" w:hAnsi="宋体"/>
          <w:color w:val="auto"/>
          <w:sz w:val="24"/>
          <w:szCs w:val="24"/>
          <w:highlight w:val="none"/>
        </w:rPr>
        <w:t xml:space="preserve">6.1.4 </w:t>
      </w:r>
      <w:r>
        <w:rPr>
          <w:rFonts w:hint="eastAsia" w:ascii="宋体" w:hAnsi="宋体"/>
          <w:color w:val="auto"/>
          <w:sz w:val="24"/>
          <w:szCs w:val="24"/>
          <w:highlight w:val="none"/>
        </w:rPr>
        <w:t xml:space="preserve"> 关于治安保卫的特别约定：</w:t>
      </w:r>
      <w:r>
        <w:rPr>
          <w:rFonts w:hint="eastAsia" w:ascii="宋体" w:hAnsi="宋体"/>
          <w:color w:val="auto"/>
          <w:sz w:val="24"/>
          <w:szCs w:val="24"/>
          <w:highlight w:val="none"/>
          <w:u w:val="single"/>
        </w:rPr>
        <w:t>承包人负责施工现场的安全保卫工作并承担所发生的全部费用，由于承包人原因造成安全事故发生，依据事故的严重程度，承包人向发包人支付违约金1-10万元并按合同约定及定额核减相关费用。</w:t>
      </w:r>
    </w:p>
    <w:p w14:paraId="7ED946D2">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疫情防控相关工作：</w:t>
      </w:r>
      <w:r>
        <w:rPr>
          <w:rFonts w:hint="eastAsia" w:ascii="宋体" w:hAnsi="宋体"/>
          <w:color w:val="auto"/>
          <w:sz w:val="24"/>
          <w:szCs w:val="24"/>
          <w:highlight w:val="none"/>
          <w:u w:val="single"/>
        </w:rPr>
        <w:t xml:space="preserve"> 符合国家及地方疫情防控要求。 </w:t>
      </w:r>
    </w:p>
    <w:p w14:paraId="13A91674">
      <w:pPr>
        <w:spacing w:line="360" w:lineRule="auto"/>
        <w:rPr>
          <w:rFonts w:hint="eastAsia" w:ascii="宋体" w:hAnsi="宋体"/>
          <w:color w:val="auto"/>
          <w:sz w:val="24"/>
          <w:szCs w:val="24"/>
          <w:highlight w:val="none"/>
          <w:u w:val="single"/>
        </w:rPr>
      </w:pPr>
      <w:r>
        <w:rPr>
          <w:rFonts w:hint="eastAsia" w:ascii="宋体" w:hAnsi="宋体"/>
          <w:color w:val="auto"/>
          <w:sz w:val="24"/>
          <w:szCs w:val="24"/>
          <w:highlight w:val="none"/>
        </w:rPr>
        <w:t>关于编制施工场地治安管理计划的约定：</w:t>
      </w:r>
      <w:r>
        <w:rPr>
          <w:rFonts w:hint="eastAsia" w:ascii="宋体" w:hAnsi="宋体"/>
          <w:color w:val="auto"/>
          <w:sz w:val="24"/>
          <w:szCs w:val="24"/>
          <w:highlight w:val="none"/>
          <w:u w:val="single"/>
        </w:rPr>
        <w:t>执行通用条款。</w:t>
      </w:r>
    </w:p>
    <w:p w14:paraId="61B2396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6.1.5 </w:t>
      </w:r>
      <w:r>
        <w:rPr>
          <w:rFonts w:hint="eastAsia" w:ascii="宋体" w:hAnsi="宋体"/>
          <w:color w:val="auto"/>
          <w:sz w:val="24"/>
          <w:szCs w:val="24"/>
          <w:highlight w:val="none"/>
        </w:rPr>
        <w:t xml:space="preserve"> 文明施工</w:t>
      </w:r>
    </w:p>
    <w:p w14:paraId="7E887530">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合同当事人对文明施工的要求：</w:t>
      </w:r>
      <w:r>
        <w:rPr>
          <w:rFonts w:hint="eastAsia" w:ascii="宋体" w:hAnsi="宋体"/>
          <w:color w:val="auto"/>
          <w:sz w:val="24"/>
          <w:szCs w:val="24"/>
          <w:highlight w:val="none"/>
          <w:u w:val="single"/>
        </w:rPr>
        <w:t>按工程所在地相关部门要求执行</w:t>
      </w:r>
      <w:r>
        <w:rPr>
          <w:rFonts w:hint="eastAsia" w:ascii="宋体" w:hAnsi="宋体"/>
          <w:color w:val="auto"/>
          <w:sz w:val="24"/>
          <w:szCs w:val="24"/>
          <w:highlight w:val="none"/>
        </w:rPr>
        <w:t>。</w:t>
      </w:r>
    </w:p>
    <w:p w14:paraId="748E539A">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6.1.6 </w:t>
      </w:r>
      <w:r>
        <w:rPr>
          <w:rFonts w:hint="eastAsia" w:ascii="宋体" w:hAnsi="宋体"/>
          <w:color w:val="auto"/>
          <w:sz w:val="24"/>
          <w:szCs w:val="24"/>
          <w:highlight w:val="none"/>
        </w:rPr>
        <w:t xml:space="preserve"> 关于安全文明施工费支付比例和支付期限的约定：</w:t>
      </w:r>
      <w:r>
        <w:rPr>
          <w:rFonts w:hint="eastAsia" w:ascii="宋体" w:hAnsi="宋体"/>
          <w:b/>
          <w:bCs/>
          <w:color w:val="auto"/>
          <w:sz w:val="24"/>
          <w:szCs w:val="24"/>
          <w:highlight w:val="none"/>
          <w:u w:val="single"/>
          <w:lang w:val="en-US" w:eastAsia="zh-CN"/>
        </w:rPr>
        <w:t>发包人在开工后28天内全额支付安全文明施工费，安全文明施工费以合同约定为准。</w:t>
      </w:r>
    </w:p>
    <w:p w14:paraId="10C05FDC">
      <w:pPr>
        <w:spacing w:line="360" w:lineRule="auto"/>
        <w:rPr>
          <w:rFonts w:ascii="宋体" w:hAnsi="宋体"/>
          <w:color w:val="auto"/>
          <w:sz w:val="24"/>
          <w:szCs w:val="24"/>
          <w:highlight w:val="none"/>
        </w:rPr>
      </w:pPr>
      <w:r>
        <w:rPr>
          <w:rFonts w:ascii="宋体" w:hAnsi="宋体"/>
          <w:color w:val="auto"/>
          <w:sz w:val="24"/>
          <w:szCs w:val="24"/>
          <w:highlight w:val="none"/>
        </w:rPr>
        <w:t xml:space="preserve">7  </w:t>
      </w:r>
      <w:r>
        <w:rPr>
          <w:rFonts w:hint="eastAsia" w:ascii="宋体" w:hAnsi="宋体"/>
          <w:color w:val="auto"/>
          <w:sz w:val="24"/>
          <w:szCs w:val="24"/>
          <w:highlight w:val="none"/>
        </w:rPr>
        <w:t>工期和进度</w:t>
      </w:r>
    </w:p>
    <w:p w14:paraId="6A145A08">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7.1  </w:t>
      </w:r>
      <w:r>
        <w:rPr>
          <w:rFonts w:hint="eastAsia" w:ascii="宋体" w:hAnsi="宋体"/>
          <w:color w:val="auto"/>
          <w:sz w:val="24"/>
          <w:szCs w:val="24"/>
          <w:highlight w:val="none"/>
        </w:rPr>
        <w:t>施工组织设计</w:t>
      </w:r>
    </w:p>
    <w:p w14:paraId="2FDB0DD1">
      <w:pPr>
        <w:autoSpaceDE w:val="0"/>
        <w:autoSpaceDN w:val="0"/>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7.1.1 </w:t>
      </w:r>
      <w:r>
        <w:rPr>
          <w:rFonts w:hint="eastAsia" w:ascii="宋体" w:hAnsi="宋体"/>
          <w:color w:val="auto"/>
          <w:sz w:val="24"/>
          <w:szCs w:val="24"/>
          <w:highlight w:val="none"/>
        </w:rPr>
        <w:t xml:space="preserve"> 合同当事人约定的施工组织设计应包括的其他内容：</w:t>
      </w:r>
      <w:r>
        <w:rPr>
          <w:rFonts w:hint="eastAsia" w:ascii="宋体" w:hAnsi="宋体"/>
          <w:color w:val="auto"/>
          <w:sz w:val="24"/>
          <w:szCs w:val="24"/>
          <w:highlight w:val="none"/>
          <w:u w:val="single"/>
        </w:rPr>
        <w:t>执行通用条款</w:t>
      </w:r>
      <w:r>
        <w:rPr>
          <w:rFonts w:hint="eastAsia" w:ascii="宋体" w:hAnsi="宋体"/>
          <w:color w:val="auto"/>
          <w:sz w:val="24"/>
          <w:szCs w:val="24"/>
          <w:highlight w:val="none"/>
        </w:rPr>
        <w:t>。</w:t>
      </w:r>
    </w:p>
    <w:p w14:paraId="7BFBFB10">
      <w:pPr>
        <w:autoSpaceDE w:val="0"/>
        <w:autoSpaceDN w:val="0"/>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7.1.2 </w:t>
      </w:r>
      <w:r>
        <w:rPr>
          <w:rFonts w:hint="eastAsia" w:ascii="宋体" w:hAnsi="宋体"/>
          <w:color w:val="auto"/>
          <w:sz w:val="24"/>
          <w:szCs w:val="24"/>
          <w:highlight w:val="none"/>
        </w:rPr>
        <w:t xml:space="preserve"> 施工组织设计的提交和修改</w:t>
      </w:r>
    </w:p>
    <w:p w14:paraId="41141F56">
      <w:pPr>
        <w:autoSpaceDE w:val="0"/>
        <w:autoSpaceDN w:val="0"/>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承包人提交详细施工组织设计的期限的约定：</w:t>
      </w:r>
      <w:r>
        <w:rPr>
          <w:rFonts w:hint="eastAsia" w:ascii="宋体" w:hAnsi="宋体"/>
          <w:color w:val="auto"/>
          <w:sz w:val="24"/>
          <w:szCs w:val="24"/>
          <w:highlight w:val="none"/>
          <w:u w:val="single"/>
        </w:rPr>
        <w:t>合同签订后7日内</w:t>
      </w:r>
      <w:r>
        <w:rPr>
          <w:rFonts w:hint="eastAsia" w:ascii="宋体" w:hAnsi="宋体"/>
          <w:color w:val="auto"/>
          <w:sz w:val="24"/>
          <w:szCs w:val="24"/>
          <w:highlight w:val="none"/>
        </w:rPr>
        <w:t>；</w:t>
      </w:r>
    </w:p>
    <w:p w14:paraId="45E40954">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发包人和监理人在收到详细的施工组织设计后确认或提出修改意见的期限：</w:t>
      </w:r>
      <w:r>
        <w:rPr>
          <w:rFonts w:hint="eastAsia" w:ascii="宋体" w:hAnsi="宋体" w:cs="宋体"/>
          <w:color w:val="auto"/>
          <w:sz w:val="24"/>
          <w:szCs w:val="24"/>
          <w:highlight w:val="none"/>
          <w:u w:val="single"/>
        </w:rPr>
        <w:t>收到施工组织设计后7天内</w:t>
      </w:r>
      <w:r>
        <w:rPr>
          <w:rFonts w:hint="eastAsia" w:ascii="宋体" w:hAnsi="宋体"/>
          <w:color w:val="auto"/>
          <w:sz w:val="24"/>
          <w:szCs w:val="24"/>
          <w:highlight w:val="none"/>
          <w:u w:val="single"/>
        </w:rPr>
        <w:t>。</w:t>
      </w:r>
    </w:p>
    <w:p w14:paraId="5857E879">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7.2  </w:t>
      </w:r>
      <w:r>
        <w:rPr>
          <w:rFonts w:hint="eastAsia" w:ascii="宋体" w:hAnsi="宋体"/>
          <w:color w:val="auto"/>
          <w:sz w:val="24"/>
          <w:szCs w:val="24"/>
          <w:highlight w:val="none"/>
        </w:rPr>
        <w:t>施工进度计划</w:t>
      </w:r>
    </w:p>
    <w:p w14:paraId="61E53B3C">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7.2.1</w:t>
      </w:r>
      <w:r>
        <w:rPr>
          <w:rFonts w:hint="eastAsia" w:ascii="宋体" w:hAnsi="宋体"/>
          <w:color w:val="auto"/>
          <w:sz w:val="24"/>
          <w:szCs w:val="24"/>
          <w:highlight w:val="none"/>
        </w:rPr>
        <w:t xml:space="preserve">  施工进度计划的编制</w:t>
      </w:r>
    </w:p>
    <w:p w14:paraId="6C5B7170">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承包人应按照第</w:t>
      </w:r>
      <w:r>
        <w:rPr>
          <w:rFonts w:ascii="宋体" w:hAnsi="宋体"/>
          <w:color w:val="auto"/>
          <w:sz w:val="24"/>
          <w:szCs w:val="24"/>
          <w:highlight w:val="none"/>
        </w:rPr>
        <w:t>7.1</w:t>
      </w:r>
      <w:r>
        <w:rPr>
          <w:rFonts w:hint="eastAsia" w:ascii="宋体" w:hAnsi="宋体"/>
          <w:color w:val="auto"/>
          <w:sz w:val="24"/>
          <w:szCs w:val="24"/>
          <w:highlight w:val="none"/>
        </w:rPr>
        <w:t>款〔施工组织设计〕约定提交详细的施工进度计划，承包人编制施工进度计划和施工方案说明的内容：</w:t>
      </w:r>
      <w:r>
        <w:rPr>
          <w:rFonts w:hint="eastAsia" w:ascii="宋体" w:hAnsi="宋体"/>
          <w:color w:val="auto"/>
          <w:sz w:val="24"/>
          <w:szCs w:val="24"/>
          <w:highlight w:val="none"/>
          <w:u w:val="single"/>
        </w:rPr>
        <w:t xml:space="preserve"> 应当符合国家法律规定和一般工程实践惯例 </w:t>
      </w:r>
      <w:r>
        <w:rPr>
          <w:rFonts w:hint="eastAsia" w:ascii="宋体" w:hAnsi="宋体"/>
          <w:color w:val="auto"/>
          <w:sz w:val="24"/>
          <w:szCs w:val="24"/>
          <w:highlight w:val="none"/>
        </w:rPr>
        <w:t xml:space="preserve"> ，施工进度计划中还应载明要求发包人组织设计人进行阶段性工程设计交底的时间。</w:t>
      </w:r>
    </w:p>
    <w:p w14:paraId="2F380D17">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承包人编制分阶段或分项施工进度计划和施工方案说明的内容：</w:t>
      </w:r>
      <w:r>
        <w:rPr>
          <w:rFonts w:hint="eastAsia" w:ascii="宋体" w:hAnsi="宋体"/>
          <w:color w:val="auto"/>
          <w:sz w:val="24"/>
          <w:szCs w:val="24"/>
          <w:highlight w:val="none"/>
          <w:u w:val="single"/>
        </w:rPr>
        <w:t xml:space="preserve"> 编制月进度计划和周进度计划特殊部位施工方案</w:t>
      </w:r>
      <w:r>
        <w:rPr>
          <w:rFonts w:hint="eastAsia" w:ascii="宋体" w:hAnsi="宋体"/>
          <w:color w:val="auto"/>
          <w:sz w:val="24"/>
          <w:szCs w:val="24"/>
          <w:highlight w:val="none"/>
        </w:rPr>
        <w:t>。</w:t>
      </w:r>
    </w:p>
    <w:p w14:paraId="48DE1BF1">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承包人报送分阶段或分项施工进度计划和施工方案说明的期限：</w:t>
      </w:r>
      <w:r>
        <w:rPr>
          <w:rFonts w:hint="eastAsia" w:ascii="宋体" w:hAnsi="宋体"/>
          <w:color w:val="auto"/>
          <w:sz w:val="24"/>
          <w:szCs w:val="24"/>
          <w:highlight w:val="none"/>
          <w:u w:val="single"/>
        </w:rPr>
        <w:t xml:space="preserve"> 分阶段分项工程提前7天报送</w:t>
      </w:r>
      <w:r>
        <w:rPr>
          <w:rFonts w:hint="eastAsia" w:ascii="宋体" w:hAnsi="宋体"/>
          <w:color w:val="auto"/>
          <w:sz w:val="24"/>
          <w:szCs w:val="24"/>
          <w:highlight w:val="none"/>
        </w:rPr>
        <w:t xml:space="preserve"> 。</w:t>
      </w:r>
    </w:p>
    <w:p w14:paraId="1A759B31">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7.2.2 </w:t>
      </w:r>
      <w:r>
        <w:rPr>
          <w:rFonts w:hint="eastAsia" w:ascii="宋体" w:hAnsi="宋体"/>
          <w:color w:val="auto"/>
          <w:sz w:val="24"/>
          <w:szCs w:val="24"/>
          <w:highlight w:val="none"/>
        </w:rPr>
        <w:t xml:space="preserve"> 施工进度计划的修订</w:t>
      </w:r>
    </w:p>
    <w:p w14:paraId="144D8836">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发包人和监理人在收到修订的施工进度计划后确认或提出修改意见的期限：</w:t>
      </w:r>
      <w:r>
        <w:rPr>
          <w:rFonts w:hint="eastAsia" w:ascii="宋体" w:hAnsi="宋体"/>
          <w:color w:val="auto"/>
          <w:sz w:val="24"/>
          <w:szCs w:val="24"/>
          <w:highlight w:val="none"/>
          <w:u w:val="single"/>
        </w:rPr>
        <w:t>执行通用条款</w:t>
      </w:r>
      <w:r>
        <w:rPr>
          <w:rFonts w:hint="eastAsia" w:ascii="宋体" w:hAnsi="宋体"/>
          <w:color w:val="auto"/>
          <w:sz w:val="24"/>
          <w:szCs w:val="24"/>
          <w:highlight w:val="none"/>
        </w:rPr>
        <w:t>。</w:t>
      </w:r>
    </w:p>
    <w:p w14:paraId="1B008CF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7.3  </w:t>
      </w:r>
      <w:r>
        <w:rPr>
          <w:rFonts w:hint="eastAsia" w:ascii="宋体" w:hAnsi="宋体"/>
          <w:color w:val="auto"/>
          <w:sz w:val="24"/>
          <w:szCs w:val="24"/>
          <w:highlight w:val="none"/>
        </w:rPr>
        <w:t>开工</w:t>
      </w:r>
    </w:p>
    <w:p w14:paraId="57217913">
      <w:pPr>
        <w:spacing w:line="360" w:lineRule="auto"/>
        <w:rPr>
          <w:rFonts w:ascii="宋体" w:hAnsi="宋体"/>
          <w:color w:val="auto"/>
          <w:sz w:val="24"/>
          <w:szCs w:val="24"/>
          <w:highlight w:val="none"/>
        </w:rPr>
      </w:pPr>
      <w:r>
        <w:rPr>
          <w:rFonts w:ascii="宋体" w:hAnsi="宋体"/>
          <w:color w:val="auto"/>
          <w:sz w:val="24"/>
          <w:szCs w:val="24"/>
          <w:highlight w:val="none"/>
        </w:rPr>
        <w:t xml:space="preserve">    7.3.1</w:t>
      </w:r>
      <w:r>
        <w:rPr>
          <w:rFonts w:hint="eastAsia" w:ascii="宋体" w:hAnsi="宋体"/>
          <w:color w:val="auto"/>
          <w:sz w:val="24"/>
          <w:szCs w:val="24"/>
          <w:highlight w:val="none"/>
        </w:rPr>
        <w:t xml:space="preserve"> 开工准备</w:t>
      </w:r>
    </w:p>
    <w:p w14:paraId="6DD6875B">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关于承包人提交工程开工报审表的期限：</w:t>
      </w:r>
      <w:r>
        <w:rPr>
          <w:rFonts w:hint="eastAsia" w:ascii="宋体" w:hAnsi="宋体"/>
          <w:color w:val="auto"/>
          <w:sz w:val="24"/>
          <w:szCs w:val="24"/>
          <w:highlight w:val="none"/>
          <w:u w:val="single"/>
        </w:rPr>
        <w:t>执行通用条款</w:t>
      </w:r>
      <w:r>
        <w:rPr>
          <w:rFonts w:hint="eastAsia" w:ascii="宋体" w:hAnsi="宋体"/>
          <w:color w:val="auto"/>
          <w:sz w:val="24"/>
          <w:szCs w:val="24"/>
          <w:highlight w:val="none"/>
        </w:rPr>
        <w:t>；</w:t>
      </w:r>
    </w:p>
    <w:p w14:paraId="1C17AD78">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关于发包人应完成的其他开工准备工作及期限：</w:t>
      </w:r>
      <w:r>
        <w:rPr>
          <w:rFonts w:hint="eastAsia" w:ascii="宋体" w:hAnsi="宋体"/>
          <w:color w:val="auto"/>
          <w:sz w:val="24"/>
          <w:szCs w:val="24"/>
          <w:highlight w:val="none"/>
          <w:u w:val="single"/>
        </w:rPr>
        <w:t>执行通用条款</w:t>
      </w:r>
      <w:r>
        <w:rPr>
          <w:rFonts w:hint="eastAsia" w:ascii="宋体" w:hAnsi="宋体"/>
          <w:color w:val="auto"/>
          <w:sz w:val="24"/>
          <w:szCs w:val="24"/>
          <w:highlight w:val="none"/>
        </w:rPr>
        <w:t>；</w:t>
      </w:r>
    </w:p>
    <w:p w14:paraId="0D103776">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关于承包人应完成的其他开工准备工作及期限：</w:t>
      </w:r>
      <w:r>
        <w:rPr>
          <w:rFonts w:hint="eastAsia" w:ascii="宋体" w:hAnsi="宋体"/>
          <w:color w:val="auto"/>
          <w:sz w:val="24"/>
          <w:szCs w:val="24"/>
          <w:highlight w:val="none"/>
          <w:u w:val="single"/>
        </w:rPr>
        <w:t>执行通用条款</w:t>
      </w:r>
      <w:r>
        <w:rPr>
          <w:rFonts w:hint="eastAsia" w:ascii="宋体" w:hAnsi="宋体"/>
          <w:color w:val="auto"/>
          <w:sz w:val="24"/>
          <w:szCs w:val="24"/>
          <w:highlight w:val="none"/>
        </w:rPr>
        <w:t>。</w:t>
      </w:r>
    </w:p>
    <w:p w14:paraId="08DD2863">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7.3.2 </w:t>
      </w:r>
      <w:r>
        <w:rPr>
          <w:rFonts w:hint="eastAsia" w:ascii="宋体" w:hAnsi="宋体"/>
          <w:color w:val="auto"/>
          <w:sz w:val="24"/>
          <w:szCs w:val="24"/>
          <w:highlight w:val="none"/>
        </w:rPr>
        <w:t xml:space="preserve"> 开工通知</w:t>
      </w:r>
    </w:p>
    <w:p w14:paraId="00EF25FF">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因发包人原因造成监理人未能在计划开工日期之日起</w:t>
      </w:r>
      <w:r>
        <w:rPr>
          <w:rFonts w:ascii="宋体" w:hAnsi="宋体"/>
          <w:color w:val="auto"/>
          <w:sz w:val="24"/>
          <w:szCs w:val="24"/>
          <w:highlight w:val="none"/>
          <w:u w:val="single"/>
        </w:rPr>
        <w:t xml:space="preserve"> 90</w:t>
      </w:r>
      <w:r>
        <w:rPr>
          <w:rFonts w:hint="eastAsia" w:ascii="宋体" w:hAnsi="宋体"/>
          <w:color w:val="auto"/>
          <w:sz w:val="24"/>
          <w:szCs w:val="24"/>
          <w:highlight w:val="none"/>
        </w:rPr>
        <w:t>天内发出开工通知的，工期按实际开工日期起算。</w:t>
      </w:r>
    </w:p>
    <w:p w14:paraId="150E504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7.4  </w:t>
      </w:r>
      <w:r>
        <w:rPr>
          <w:rFonts w:hint="eastAsia" w:ascii="宋体" w:hAnsi="宋体"/>
          <w:color w:val="auto"/>
          <w:sz w:val="24"/>
          <w:szCs w:val="24"/>
          <w:highlight w:val="none"/>
        </w:rPr>
        <w:t>测量放线</w:t>
      </w:r>
    </w:p>
    <w:p w14:paraId="0F2FA6F4">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7.4.1 </w:t>
      </w:r>
      <w:r>
        <w:rPr>
          <w:rFonts w:hint="eastAsia" w:ascii="宋体" w:hAnsi="宋体"/>
          <w:color w:val="auto"/>
          <w:sz w:val="24"/>
          <w:szCs w:val="24"/>
          <w:highlight w:val="none"/>
        </w:rPr>
        <w:t xml:space="preserve"> 发包人通过监理人向承包人提供测量基准点、基准线和水准点及其书面资料的期限：</w:t>
      </w:r>
      <w:r>
        <w:rPr>
          <w:rFonts w:hint="eastAsia" w:ascii="宋体" w:hAnsi="宋体"/>
          <w:color w:val="auto"/>
          <w:sz w:val="24"/>
          <w:szCs w:val="24"/>
          <w:highlight w:val="none"/>
          <w:u w:val="single"/>
        </w:rPr>
        <w:t>开工前</w:t>
      </w:r>
      <w:r>
        <w:rPr>
          <w:rFonts w:ascii="宋体" w:hAnsi="宋体"/>
          <w:color w:val="auto"/>
          <w:sz w:val="24"/>
          <w:szCs w:val="24"/>
          <w:highlight w:val="none"/>
          <w:u w:val="single"/>
        </w:rPr>
        <w:t>7</w:t>
      </w:r>
      <w:r>
        <w:rPr>
          <w:rFonts w:hint="eastAsia" w:ascii="宋体" w:hAnsi="宋体"/>
          <w:color w:val="auto"/>
          <w:sz w:val="24"/>
          <w:szCs w:val="24"/>
          <w:highlight w:val="none"/>
          <w:u w:val="single"/>
        </w:rPr>
        <w:t>天</w:t>
      </w:r>
      <w:r>
        <w:rPr>
          <w:rFonts w:hint="eastAsia" w:ascii="宋体" w:hAnsi="宋体"/>
          <w:color w:val="auto"/>
          <w:sz w:val="24"/>
          <w:szCs w:val="24"/>
          <w:highlight w:val="none"/>
        </w:rPr>
        <w:t>。</w:t>
      </w:r>
    </w:p>
    <w:p w14:paraId="70EF3A03">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承包人测设施工控制网的要求：</w:t>
      </w:r>
      <w:r>
        <w:rPr>
          <w:rFonts w:hint="eastAsia" w:ascii="宋体" w:hAnsi="宋体"/>
          <w:color w:val="auto"/>
          <w:sz w:val="24"/>
          <w:szCs w:val="24"/>
          <w:highlight w:val="none"/>
          <w:u w:val="single"/>
        </w:rPr>
        <w:t>必须满足施工要求，并且必须经过规划部门验收通过</w:t>
      </w:r>
      <w:r>
        <w:rPr>
          <w:rFonts w:hint="eastAsia" w:ascii="宋体" w:hAnsi="宋体"/>
          <w:color w:val="auto"/>
          <w:sz w:val="24"/>
          <w:szCs w:val="24"/>
          <w:highlight w:val="none"/>
        </w:rPr>
        <w:t>。</w:t>
      </w:r>
    </w:p>
    <w:p w14:paraId="170F9CD5">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承包人将施工控制网资料报送监理人审批的期限：</w:t>
      </w:r>
      <w:r>
        <w:rPr>
          <w:rFonts w:hint="eastAsia" w:ascii="宋体" w:hAnsi="宋体"/>
          <w:color w:val="auto"/>
          <w:sz w:val="24"/>
          <w:szCs w:val="24"/>
          <w:highlight w:val="none"/>
          <w:u w:val="single"/>
        </w:rPr>
        <w:t>3日内</w:t>
      </w:r>
      <w:r>
        <w:rPr>
          <w:rFonts w:hint="eastAsia" w:ascii="宋体" w:hAnsi="宋体"/>
          <w:color w:val="auto"/>
          <w:sz w:val="24"/>
          <w:szCs w:val="24"/>
          <w:highlight w:val="none"/>
        </w:rPr>
        <w:t>。</w:t>
      </w:r>
    </w:p>
    <w:p w14:paraId="5F759925">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7.5  </w:t>
      </w:r>
      <w:r>
        <w:rPr>
          <w:rFonts w:hint="eastAsia" w:ascii="宋体" w:hAnsi="宋体"/>
          <w:color w:val="auto"/>
          <w:sz w:val="24"/>
          <w:szCs w:val="24"/>
          <w:highlight w:val="none"/>
        </w:rPr>
        <w:t>工期延误</w:t>
      </w:r>
    </w:p>
    <w:p w14:paraId="4362E2E8">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7.5.1 </w:t>
      </w:r>
      <w:r>
        <w:rPr>
          <w:rFonts w:hint="eastAsia" w:ascii="宋体" w:hAnsi="宋体"/>
          <w:color w:val="auto"/>
          <w:sz w:val="24"/>
          <w:szCs w:val="24"/>
          <w:highlight w:val="none"/>
        </w:rPr>
        <w:t xml:space="preserve"> 因发包人原因导致工期延误</w:t>
      </w:r>
    </w:p>
    <w:p w14:paraId="1A4A9D16">
      <w:pPr>
        <w:spacing w:line="360" w:lineRule="auto"/>
        <w:rPr>
          <w:rFonts w:ascii="宋体" w:hAnsi="宋体"/>
          <w:color w:val="auto"/>
          <w:sz w:val="24"/>
          <w:szCs w:val="24"/>
          <w:highlight w:val="none"/>
          <w:u w:val="single"/>
        </w:rPr>
      </w:pPr>
      <w:r>
        <w:rPr>
          <w:rFonts w:hint="eastAsia" w:ascii="宋体" w:hAnsi="宋体"/>
          <w:color w:val="auto"/>
          <w:sz w:val="24"/>
          <w:szCs w:val="24"/>
          <w:highlight w:val="none"/>
        </w:rPr>
        <w:t>（</w:t>
      </w:r>
      <w:r>
        <w:rPr>
          <w:rFonts w:ascii="宋体" w:hAnsi="宋体"/>
          <w:color w:val="auto"/>
          <w:sz w:val="24"/>
          <w:szCs w:val="24"/>
          <w:highlight w:val="none"/>
        </w:rPr>
        <w:t>7</w:t>
      </w:r>
      <w:r>
        <w:rPr>
          <w:rFonts w:hint="eastAsia" w:ascii="宋体" w:hAnsi="宋体"/>
          <w:color w:val="auto"/>
          <w:sz w:val="24"/>
          <w:szCs w:val="24"/>
          <w:highlight w:val="none"/>
        </w:rPr>
        <w:t>）因发包人原因导致工期延误的其他情形</w:t>
      </w:r>
      <w:r>
        <w:rPr>
          <w:rFonts w:hint="eastAsia" w:ascii="宋体" w:hAnsi="宋体"/>
          <w:color w:val="auto"/>
          <w:sz w:val="24"/>
          <w:szCs w:val="24"/>
          <w:highlight w:val="none"/>
          <w:u w:val="single"/>
        </w:rPr>
        <w:t>：暂无，如发生其他情形，须</w:t>
      </w:r>
      <w:r>
        <w:rPr>
          <w:rFonts w:ascii="宋体" w:hAnsi="宋体"/>
          <w:color w:val="auto"/>
          <w:sz w:val="24"/>
          <w:szCs w:val="24"/>
          <w:highlight w:val="none"/>
          <w:u w:val="single"/>
        </w:rPr>
        <w:t>经发包人书面</w:t>
      </w:r>
      <w:r>
        <w:rPr>
          <w:rFonts w:hint="eastAsia" w:ascii="宋体" w:hAnsi="宋体"/>
          <w:color w:val="auto"/>
          <w:sz w:val="24"/>
          <w:szCs w:val="24"/>
          <w:highlight w:val="none"/>
          <w:u w:val="single"/>
        </w:rPr>
        <w:t>确认，但除工期顺延外发包人不承担承包人任何停工、窝工损失及其他赔偿责任</w:t>
      </w:r>
      <w:r>
        <w:rPr>
          <w:rFonts w:ascii="宋体" w:hAnsi="宋体"/>
          <w:color w:val="auto"/>
          <w:sz w:val="24"/>
          <w:szCs w:val="24"/>
          <w:highlight w:val="none"/>
          <w:u w:val="single"/>
        </w:rPr>
        <w:t>。</w:t>
      </w:r>
    </w:p>
    <w:p w14:paraId="504D5572">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7.5.2 </w:t>
      </w:r>
      <w:r>
        <w:rPr>
          <w:rFonts w:hint="eastAsia" w:ascii="宋体" w:hAnsi="宋体"/>
          <w:color w:val="auto"/>
          <w:sz w:val="24"/>
          <w:szCs w:val="24"/>
          <w:highlight w:val="none"/>
        </w:rPr>
        <w:t xml:space="preserve"> 因承包人原因导致工期延误</w:t>
      </w:r>
    </w:p>
    <w:p w14:paraId="2B3B4D40">
      <w:pPr>
        <w:spacing w:line="360" w:lineRule="auto"/>
        <w:ind w:firstLine="480" w:firstLineChars="200"/>
        <w:rPr>
          <w:rFonts w:hint="eastAsia" w:ascii="宋体" w:hAnsi="宋体"/>
          <w:color w:val="auto"/>
          <w:sz w:val="24"/>
          <w:szCs w:val="24"/>
          <w:highlight w:val="none"/>
          <w:lang w:val="en-US" w:eastAsia="zh-CN"/>
        </w:rPr>
      </w:pP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1）承包人应按照批准的进度计划组织实施，如发现过程工期延误应立刻采取赶工措施，否则视为无法按总工期完成，无条件接受违约金；</w:t>
      </w:r>
    </w:p>
    <w:p w14:paraId="778CCBE8">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（2）</w:t>
      </w:r>
      <w:r>
        <w:rPr>
          <w:rFonts w:hint="eastAsia" w:ascii="宋体" w:hAnsi="宋体"/>
          <w:color w:val="auto"/>
          <w:sz w:val="24"/>
          <w:szCs w:val="24"/>
          <w:highlight w:val="none"/>
        </w:rPr>
        <w:t>因承包人原因造成工期延误，逾期竣工违约金的计算方法为：</w:t>
      </w:r>
      <w:r>
        <w:rPr>
          <w:rFonts w:hint="eastAsia" w:ascii="宋体" w:hAnsi="宋体"/>
          <w:color w:val="auto"/>
          <w:sz w:val="24"/>
          <w:szCs w:val="24"/>
          <w:highlight w:val="none"/>
          <w:u w:val="single"/>
        </w:rPr>
        <w:t>由于承包人施工过程中组织不合理、材料采购不及时、订货程序不规范等原因，未按进度计划节点完成施工内容，导致工期延误，每延误一日，承包人向发包人支付合同总价款千分之一的违约金；延误超过</w:t>
      </w:r>
      <w:r>
        <w:rPr>
          <w:rFonts w:ascii="宋体" w:hAnsi="宋体"/>
          <w:color w:val="auto"/>
          <w:sz w:val="24"/>
          <w:szCs w:val="24"/>
          <w:highlight w:val="none"/>
          <w:u w:val="single"/>
        </w:rPr>
        <w:t>30</w:t>
      </w:r>
      <w:r>
        <w:rPr>
          <w:rFonts w:hint="eastAsia" w:ascii="宋体" w:hAnsi="宋体"/>
          <w:color w:val="auto"/>
          <w:sz w:val="24"/>
          <w:szCs w:val="24"/>
          <w:highlight w:val="none"/>
          <w:u w:val="single"/>
        </w:rPr>
        <w:t>日的，发包人可以选择单方</w:t>
      </w:r>
      <w:r>
        <w:rPr>
          <w:rFonts w:hint="eastAsia" w:ascii="宋体" w:hAnsi="宋体"/>
          <w:color w:val="auto"/>
          <w:sz w:val="24"/>
          <w:szCs w:val="24"/>
          <w:highlight w:val="none"/>
          <w:u w:val="single"/>
          <w:lang w:eastAsia="zh-CN"/>
        </w:rPr>
        <w:t>解除</w:t>
      </w:r>
      <w:r>
        <w:rPr>
          <w:rFonts w:hint="eastAsia" w:ascii="宋体" w:hAnsi="宋体"/>
          <w:color w:val="auto"/>
          <w:sz w:val="24"/>
          <w:szCs w:val="24"/>
          <w:highlight w:val="none"/>
          <w:u w:val="single"/>
        </w:rPr>
        <w:t>合同</w:t>
      </w:r>
      <w:r>
        <w:rPr>
          <w:rFonts w:hint="eastAsia" w:ascii="宋体" w:hAnsi="宋体"/>
          <w:color w:val="auto"/>
          <w:sz w:val="24"/>
          <w:szCs w:val="24"/>
          <w:highlight w:val="none"/>
          <w:u w:val="single"/>
          <w:lang w:eastAsia="zh-CN"/>
        </w:rPr>
        <w:t>，或将部分工程另行委托或责令承包人将工程未完成部分分包给其他单位完成，</w:t>
      </w:r>
      <w:r>
        <w:rPr>
          <w:rFonts w:hint="eastAsia" w:ascii="宋体" w:hAnsi="宋体"/>
          <w:color w:val="auto"/>
          <w:sz w:val="24"/>
          <w:szCs w:val="24"/>
          <w:highlight w:val="none"/>
          <w:u w:val="single"/>
          <w:lang w:val="en-US" w:eastAsia="zh-CN"/>
        </w:rPr>
        <w:t>所产生的费用由承包人承担;</w:t>
      </w:r>
      <w:r>
        <w:rPr>
          <w:rFonts w:hint="eastAsia" w:ascii="宋体" w:hAnsi="宋体"/>
          <w:color w:val="auto"/>
          <w:sz w:val="24"/>
          <w:szCs w:val="24"/>
          <w:highlight w:val="none"/>
          <w:u w:val="single"/>
        </w:rPr>
        <w:t>若发包人要求承包人继续履行合同的，承包人应继续履行合同，并按前述约定支付工期延误违约金。造成的经济损失由承包人负责。</w:t>
      </w:r>
    </w:p>
    <w:p w14:paraId="6AA062B5">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因承包人原因造成工期延误，逾期竣工违约金的上限：</w:t>
      </w:r>
      <w:r>
        <w:rPr>
          <w:rFonts w:hint="eastAsia" w:ascii="宋体" w:hAnsi="宋体"/>
          <w:color w:val="auto"/>
          <w:sz w:val="24"/>
          <w:szCs w:val="24"/>
          <w:highlight w:val="none"/>
          <w:u w:val="single"/>
          <w:lang w:eastAsia="zh-CN"/>
        </w:rPr>
        <w:t>无上限</w:t>
      </w:r>
      <w:r>
        <w:rPr>
          <w:rFonts w:hint="eastAsia" w:ascii="宋体" w:hAnsi="宋体"/>
          <w:color w:val="auto"/>
          <w:sz w:val="24"/>
          <w:szCs w:val="24"/>
          <w:highlight w:val="none"/>
          <w:u w:val="single"/>
        </w:rPr>
        <w:t>。</w:t>
      </w:r>
    </w:p>
    <w:p w14:paraId="05A83980">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7.6  </w:t>
      </w:r>
      <w:r>
        <w:rPr>
          <w:rFonts w:hint="eastAsia" w:ascii="宋体" w:hAnsi="宋体"/>
          <w:color w:val="auto"/>
          <w:sz w:val="24"/>
          <w:szCs w:val="24"/>
          <w:highlight w:val="none"/>
        </w:rPr>
        <w:t>不利物质条件</w:t>
      </w:r>
    </w:p>
    <w:p w14:paraId="15EAFE78">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不利物质条件的其他情形和有关约定：</w:t>
      </w:r>
      <w:r>
        <w:rPr>
          <w:rFonts w:hint="eastAsia" w:ascii="宋体" w:hAnsi="宋体"/>
          <w:color w:val="auto"/>
          <w:sz w:val="24"/>
          <w:szCs w:val="24"/>
          <w:highlight w:val="none"/>
          <w:u w:val="single"/>
        </w:rPr>
        <w:t>不利物质条件，是指承包人在施工场地遇到的不可预见的自然物质条件、非自然的物质障碍和污染物，包括地下和水文条件，但不包括气候条件；承包人遇到不可预见物质条件时，应采取适应不利物质条件的合理措施继续施工，并及时通知监理人，通知应载明不利物质条件的内容以及承包人认为不可预见的理由。当发生不利物质，由具有相应资质单位认定的范围，并按国家相关规定确认的内容执行</w:t>
      </w:r>
      <w:r>
        <w:rPr>
          <w:rFonts w:hint="eastAsia" w:ascii="宋体" w:hAnsi="宋体"/>
          <w:color w:val="auto"/>
          <w:sz w:val="24"/>
          <w:szCs w:val="24"/>
          <w:highlight w:val="none"/>
        </w:rPr>
        <w:t>。</w:t>
      </w:r>
    </w:p>
    <w:p w14:paraId="00699B8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7.7  </w:t>
      </w:r>
      <w:r>
        <w:rPr>
          <w:rFonts w:hint="eastAsia" w:ascii="宋体" w:hAnsi="宋体"/>
          <w:color w:val="auto"/>
          <w:sz w:val="24"/>
          <w:szCs w:val="24"/>
          <w:highlight w:val="none"/>
        </w:rPr>
        <w:t>异常恶劣的气候条件</w:t>
      </w:r>
    </w:p>
    <w:p w14:paraId="52C6DD50">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发包人和承包人同意以下情形视为异常恶劣的气候条件：</w:t>
      </w:r>
    </w:p>
    <w:p w14:paraId="52B0E160">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1</w:t>
      </w:r>
      <w:r>
        <w:rPr>
          <w:rFonts w:hint="eastAsia" w:ascii="宋体" w:hAnsi="宋体"/>
          <w:color w:val="auto"/>
          <w:sz w:val="24"/>
          <w:szCs w:val="24"/>
          <w:highlight w:val="none"/>
        </w:rPr>
        <w:t>）</w:t>
      </w:r>
      <w:r>
        <w:rPr>
          <w:rFonts w:hint="eastAsia" w:ascii="宋体" w:hAnsi="宋体"/>
          <w:color w:val="auto"/>
          <w:sz w:val="24"/>
          <w:szCs w:val="24"/>
          <w:highlight w:val="none"/>
          <w:u w:val="single"/>
        </w:rPr>
        <w:t xml:space="preserve"> 无 </w:t>
      </w:r>
      <w:r>
        <w:rPr>
          <w:rFonts w:hint="eastAsia" w:ascii="宋体" w:hAnsi="宋体"/>
          <w:color w:val="auto"/>
          <w:sz w:val="24"/>
          <w:szCs w:val="24"/>
          <w:highlight w:val="none"/>
        </w:rPr>
        <w:t>；</w:t>
      </w:r>
    </w:p>
    <w:p w14:paraId="2CEBC25E">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2</w:t>
      </w:r>
      <w:r>
        <w:rPr>
          <w:rFonts w:hint="eastAsia" w:ascii="宋体" w:hAnsi="宋体"/>
          <w:color w:val="auto"/>
          <w:sz w:val="24"/>
          <w:szCs w:val="24"/>
          <w:highlight w:val="none"/>
        </w:rPr>
        <w:t>）</w:t>
      </w:r>
      <w:r>
        <w:rPr>
          <w:rFonts w:hint="eastAsia" w:ascii="宋体" w:hAnsi="宋体"/>
          <w:color w:val="auto"/>
          <w:sz w:val="24"/>
          <w:szCs w:val="24"/>
          <w:highlight w:val="none"/>
          <w:u w:val="single"/>
        </w:rPr>
        <w:t xml:space="preserve">无 </w:t>
      </w:r>
      <w:r>
        <w:rPr>
          <w:rFonts w:hint="eastAsia" w:ascii="宋体" w:hAnsi="宋体"/>
          <w:color w:val="auto"/>
          <w:sz w:val="24"/>
          <w:szCs w:val="24"/>
          <w:highlight w:val="none"/>
        </w:rPr>
        <w:t>；</w:t>
      </w:r>
    </w:p>
    <w:p w14:paraId="20DEE4D4">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3</w:t>
      </w:r>
      <w:r>
        <w:rPr>
          <w:rFonts w:hint="eastAsia" w:ascii="宋体" w:hAnsi="宋体"/>
          <w:color w:val="auto"/>
          <w:sz w:val="24"/>
          <w:szCs w:val="24"/>
          <w:highlight w:val="none"/>
        </w:rPr>
        <w:t>）</w:t>
      </w:r>
      <w:r>
        <w:rPr>
          <w:rFonts w:hint="eastAsia" w:ascii="宋体" w:hAnsi="宋体"/>
          <w:color w:val="auto"/>
          <w:sz w:val="24"/>
          <w:szCs w:val="24"/>
          <w:highlight w:val="none"/>
          <w:u w:val="single"/>
        </w:rPr>
        <w:t xml:space="preserve">无 </w:t>
      </w:r>
      <w:r>
        <w:rPr>
          <w:rFonts w:hint="eastAsia" w:ascii="宋体" w:hAnsi="宋体"/>
          <w:color w:val="auto"/>
          <w:sz w:val="24"/>
          <w:szCs w:val="24"/>
          <w:highlight w:val="none"/>
        </w:rPr>
        <w:t>；</w:t>
      </w:r>
    </w:p>
    <w:p w14:paraId="330B9FF8">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7.9  </w:t>
      </w:r>
      <w:r>
        <w:rPr>
          <w:rFonts w:hint="eastAsia" w:ascii="宋体" w:hAnsi="宋体"/>
          <w:color w:val="auto"/>
          <w:sz w:val="24"/>
          <w:szCs w:val="24"/>
          <w:highlight w:val="none"/>
        </w:rPr>
        <w:t>提前竣工的奖励</w:t>
      </w:r>
    </w:p>
    <w:p w14:paraId="4968404A">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7.9.2 </w:t>
      </w:r>
      <w:r>
        <w:rPr>
          <w:rFonts w:hint="eastAsia" w:ascii="宋体" w:hAnsi="宋体"/>
          <w:color w:val="auto"/>
          <w:sz w:val="24"/>
          <w:szCs w:val="24"/>
          <w:highlight w:val="none"/>
        </w:rPr>
        <w:t xml:space="preserve"> 提前竣工的奖励：</w:t>
      </w:r>
      <w:r>
        <w:rPr>
          <w:rFonts w:hint="eastAsia" w:ascii="宋体" w:hAnsi="宋体"/>
          <w:color w:val="auto"/>
          <w:sz w:val="24"/>
          <w:szCs w:val="24"/>
          <w:highlight w:val="none"/>
          <w:u w:val="single"/>
        </w:rPr>
        <w:t xml:space="preserve"> 无 </w:t>
      </w:r>
      <w:r>
        <w:rPr>
          <w:rFonts w:hint="eastAsia" w:ascii="宋体" w:hAnsi="宋体"/>
          <w:color w:val="auto"/>
          <w:sz w:val="24"/>
          <w:szCs w:val="24"/>
          <w:highlight w:val="none"/>
        </w:rPr>
        <w:t>。</w:t>
      </w:r>
    </w:p>
    <w:p w14:paraId="3F7A447C">
      <w:pPr>
        <w:spacing w:line="360" w:lineRule="auto"/>
        <w:rPr>
          <w:rFonts w:ascii="宋体" w:hAnsi="宋体"/>
          <w:color w:val="auto"/>
          <w:sz w:val="24"/>
          <w:szCs w:val="24"/>
          <w:highlight w:val="none"/>
        </w:rPr>
      </w:pPr>
      <w:r>
        <w:rPr>
          <w:rFonts w:ascii="宋体" w:hAnsi="宋体"/>
          <w:color w:val="auto"/>
          <w:sz w:val="24"/>
          <w:szCs w:val="24"/>
          <w:highlight w:val="none"/>
        </w:rPr>
        <w:t xml:space="preserve">8  </w:t>
      </w:r>
      <w:r>
        <w:rPr>
          <w:rFonts w:hint="eastAsia" w:ascii="宋体" w:hAnsi="宋体"/>
          <w:color w:val="auto"/>
          <w:sz w:val="24"/>
          <w:szCs w:val="24"/>
          <w:highlight w:val="none"/>
        </w:rPr>
        <w:t>材料与设备</w:t>
      </w:r>
    </w:p>
    <w:p w14:paraId="05C75B65">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8.1  </w:t>
      </w:r>
      <w:r>
        <w:rPr>
          <w:rFonts w:hint="eastAsia" w:ascii="宋体" w:hAnsi="宋体"/>
          <w:color w:val="auto"/>
          <w:sz w:val="24"/>
          <w:szCs w:val="24"/>
          <w:highlight w:val="none"/>
        </w:rPr>
        <w:t>发包人供应材料与工程设备</w:t>
      </w:r>
    </w:p>
    <w:p w14:paraId="78D158EE">
      <w:pPr>
        <w:autoSpaceDE w:val="0"/>
        <w:autoSpaceDN w:val="0"/>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发包人提供的材料和工程设备验收后，由承包人负责接收、运输和保管。</w:t>
      </w:r>
    </w:p>
    <w:p w14:paraId="5BE045FC">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8.2  </w:t>
      </w:r>
      <w:r>
        <w:rPr>
          <w:rFonts w:hint="eastAsia" w:ascii="宋体" w:hAnsi="宋体"/>
          <w:color w:val="auto"/>
          <w:sz w:val="24"/>
          <w:szCs w:val="24"/>
          <w:highlight w:val="none"/>
        </w:rPr>
        <w:t>承包人采购材料与工程设备</w:t>
      </w:r>
    </w:p>
    <w:p w14:paraId="2C1F8DFF">
      <w:pPr>
        <w:pStyle w:val="7"/>
        <w:spacing w:line="360" w:lineRule="auto"/>
        <w:ind w:firstLine="240"/>
        <w:rPr>
          <w:rFonts w:ascii="宋体" w:hAnsi="宋体"/>
          <w:color w:val="auto"/>
          <w:sz w:val="24"/>
          <w:szCs w:val="24"/>
          <w:highlight w:val="none"/>
          <w:u w:val="single"/>
        </w:rPr>
      </w:pPr>
      <w:r>
        <w:rPr>
          <w:rFonts w:hint="eastAsia" w:ascii="宋体" w:hAnsi="宋体"/>
          <w:color w:val="auto"/>
          <w:sz w:val="24"/>
          <w:szCs w:val="24"/>
          <w:highlight w:val="none"/>
        </w:rPr>
        <w:t>承包人将由其提供的材料和工程设备的供货人及品种、规格、数量和供货时间等报送发包人及监理人审批的期限：</w:t>
      </w:r>
      <w:r>
        <w:rPr>
          <w:rFonts w:hint="eastAsia" w:ascii="宋体" w:hAnsi="宋体"/>
          <w:color w:val="auto"/>
          <w:sz w:val="24"/>
          <w:szCs w:val="24"/>
          <w:highlight w:val="none"/>
          <w:u w:val="single"/>
        </w:rPr>
        <w:t>收到文件之日起7日内。影响装饰效果的面层装饰材料在采购前必须经发包人书面同意后方可采购，否则发包人有权要求承包人更换，由此产生的一切责任均由承包人承担。</w:t>
      </w:r>
    </w:p>
    <w:p w14:paraId="5105043E">
      <w:pPr>
        <w:spacing w:line="360" w:lineRule="auto"/>
        <w:ind w:firstLine="482" w:firstLineChars="200"/>
        <w:rPr>
          <w:rFonts w:hint="eastAsia" w:ascii="宋体" w:hAnsi="宋体"/>
          <w:b/>
          <w:bCs/>
          <w:color w:val="0000FF"/>
          <w:sz w:val="24"/>
          <w:szCs w:val="24"/>
          <w:highlight w:val="none"/>
          <w:u w:val="single"/>
        </w:rPr>
      </w:pPr>
      <w:r>
        <w:rPr>
          <w:rFonts w:hint="eastAsia" w:ascii="宋体" w:hAnsi="宋体"/>
          <w:b/>
          <w:bCs/>
          <w:color w:val="auto"/>
          <w:sz w:val="24"/>
          <w:szCs w:val="24"/>
          <w:highlight w:val="none"/>
        </w:rPr>
        <w:t>注：</w:t>
      </w:r>
      <w:r>
        <w:rPr>
          <w:rFonts w:hint="eastAsia" w:ascii="宋体" w:hAnsi="宋体"/>
          <w:b/>
          <w:bCs/>
          <w:color w:val="auto"/>
          <w:sz w:val="24"/>
          <w:szCs w:val="24"/>
          <w:highlight w:val="none"/>
          <w:u w:val="single"/>
        </w:rPr>
        <w:t>1、由于本项目是维修工程，为了保证原有设备材料的一致性以及配套的要求，所有主要装饰材料设备应当从招标</w:t>
      </w:r>
      <w:r>
        <w:rPr>
          <w:rFonts w:hint="eastAsia" w:ascii="宋体" w:hAnsi="宋体"/>
          <w:b/>
          <w:bCs/>
          <w:color w:val="auto"/>
          <w:sz w:val="24"/>
          <w:szCs w:val="24"/>
          <w:highlight w:val="none"/>
          <w:u w:val="single"/>
          <w:lang w:eastAsia="zh-CN"/>
        </w:rPr>
        <w:t>“参考表”</w:t>
      </w:r>
      <w:r>
        <w:rPr>
          <w:rFonts w:hint="eastAsia" w:ascii="宋体" w:hAnsi="宋体"/>
          <w:b/>
          <w:bCs/>
          <w:color w:val="auto"/>
          <w:sz w:val="24"/>
          <w:szCs w:val="24"/>
          <w:highlight w:val="none"/>
          <w:u w:val="single"/>
        </w:rPr>
        <w:t>品牌中选择，且同时满足以下条件：（1）品牌的选择必须满足招标文件中相当或高于“参考表”的品质及口碑等相关标准</w:t>
      </w:r>
      <w:r>
        <w:rPr>
          <w:rFonts w:hint="eastAsia" w:ascii="宋体" w:hAnsi="宋体"/>
          <w:b/>
          <w:bCs/>
          <w:color w:val="auto"/>
          <w:sz w:val="24"/>
          <w:szCs w:val="24"/>
          <w:highlight w:val="none"/>
          <w:u w:val="single"/>
          <w:lang w:eastAsia="zh-CN"/>
        </w:rPr>
        <w:t>。</w:t>
      </w:r>
      <w:r>
        <w:rPr>
          <w:rFonts w:hint="eastAsia" w:ascii="宋体" w:hAnsi="宋体"/>
          <w:b/>
          <w:bCs/>
          <w:color w:val="auto"/>
          <w:sz w:val="24"/>
          <w:szCs w:val="24"/>
          <w:highlight w:val="none"/>
          <w:u w:val="single"/>
        </w:rPr>
        <w:t>（2）技术参数必须满足或优于招标文件的要求（3）主要材料设备的投标报价不得低于公示价中主要材料、设备价格的9</w:t>
      </w:r>
      <w:r>
        <w:rPr>
          <w:rFonts w:hint="eastAsia" w:ascii="宋体" w:hAnsi="宋体"/>
          <w:b/>
          <w:bCs/>
          <w:color w:val="auto"/>
          <w:sz w:val="24"/>
          <w:szCs w:val="24"/>
          <w:highlight w:val="none"/>
          <w:u w:val="single"/>
          <w:lang w:val="en-US" w:eastAsia="zh-CN"/>
        </w:rPr>
        <w:t>5</w:t>
      </w:r>
      <w:r>
        <w:rPr>
          <w:rFonts w:hint="eastAsia" w:ascii="宋体" w:hAnsi="宋体"/>
          <w:b/>
          <w:bCs/>
          <w:color w:val="auto"/>
          <w:sz w:val="24"/>
          <w:szCs w:val="24"/>
          <w:highlight w:val="none"/>
          <w:u w:val="single"/>
        </w:rPr>
        <w:t>%（详见工程量清单编制说明）；如投标文件中投标品牌低于“参考表”的档次标准，导致设备和材料不满足设计要求的，承包人应该无条件按照发包人要求更换且材料、设备价不予调整。</w:t>
      </w:r>
    </w:p>
    <w:p w14:paraId="1C4ECDBC">
      <w:pPr>
        <w:spacing w:line="360" w:lineRule="auto"/>
        <w:ind w:firstLine="480" w:firstLineChars="200"/>
        <w:rPr>
          <w:color w:val="auto"/>
          <w:highlight w:val="none"/>
        </w:rPr>
      </w:pPr>
      <w:r>
        <w:rPr>
          <w:rFonts w:hint="eastAsia" w:ascii="宋体" w:hAnsi="宋体"/>
          <w:color w:val="auto"/>
          <w:sz w:val="24"/>
          <w:szCs w:val="24"/>
          <w:highlight w:val="none"/>
        </w:rPr>
        <w:t>8.3.2</w:t>
      </w:r>
      <w:r>
        <w:rPr>
          <w:rFonts w:hint="eastAsia" w:ascii="宋体" w:hAnsi="宋体"/>
          <w:b/>
          <w:bCs/>
          <w:color w:val="auto"/>
          <w:sz w:val="24"/>
          <w:szCs w:val="24"/>
          <w:highlight w:val="none"/>
          <w:u w:val="single"/>
        </w:rPr>
        <w:t>在施工阶段选择材料时，要求承包人在材料/设备进场前提供报审材料（进口设备/材料需提供原厂证明、代理商授权、代理商营业执照、设备材料报告单、厂家针对本项目出具的售后服务承诺函等资料；国产设备/材料需提供原厂证明、代理商授权、代理商营业执照、设备材料的出厂检测报告、第三方检验报告、合格证以及厂家针对本项目出具的售后服务承诺函等资料）。</w:t>
      </w:r>
    </w:p>
    <w:p w14:paraId="69861040">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8.4  </w:t>
      </w:r>
      <w:r>
        <w:rPr>
          <w:rFonts w:hint="eastAsia" w:ascii="宋体" w:hAnsi="宋体"/>
          <w:color w:val="auto"/>
          <w:sz w:val="24"/>
          <w:szCs w:val="24"/>
          <w:highlight w:val="none"/>
        </w:rPr>
        <w:t>材料与工程设备的保管与使用</w:t>
      </w:r>
    </w:p>
    <w:p w14:paraId="35DC2566">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8.4.1 </w:t>
      </w:r>
      <w:r>
        <w:rPr>
          <w:rFonts w:hint="eastAsia" w:ascii="宋体" w:hAnsi="宋体"/>
          <w:color w:val="auto"/>
          <w:sz w:val="24"/>
          <w:szCs w:val="24"/>
          <w:highlight w:val="none"/>
        </w:rPr>
        <w:t xml:space="preserve"> 发包人供应的材料设备的保管费用的承担：</w:t>
      </w:r>
      <w:r>
        <w:rPr>
          <w:rFonts w:hint="eastAsia" w:ascii="宋体" w:hAnsi="宋体"/>
          <w:color w:val="auto"/>
          <w:sz w:val="24"/>
          <w:szCs w:val="24"/>
          <w:highlight w:val="none"/>
          <w:u w:val="single"/>
        </w:rPr>
        <w:t>承包人</w:t>
      </w:r>
      <w:r>
        <w:rPr>
          <w:rFonts w:hint="eastAsia" w:ascii="宋体" w:hAnsi="宋体"/>
          <w:color w:val="auto"/>
          <w:sz w:val="24"/>
          <w:szCs w:val="24"/>
          <w:highlight w:val="none"/>
        </w:rPr>
        <w:t>。</w:t>
      </w:r>
    </w:p>
    <w:p w14:paraId="2CB9306D">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8.6  </w:t>
      </w:r>
      <w:r>
        <w:rPr>
          <w:rFonts w:hint="eastAsia" w:ascii="宋体" w:hAnsi="宋体"/>
          <w:color w:val="auto"/>
          <w:sz w:val="24"/>
          <w:szCs w:val="24"/>
          <w:highlight w:val="none"/>
        </w:rPr>
        <w:t>样品</w:t>
      </w:r>
    </w:p>
    <w:p w14:paraId="5C31E577">
      <w:pPr>
        <w:autoSpaceDE w:val="0"/>
        <w:autoSpaceDN w:val="0"/>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8.6.1 </w:t>
      </w:r>
      <w:r>
        <w:rPr>
          <w:rFonts w:hint="eastAsia" w:ascii="宋体" w:hAnsi="宋体"/>
          <w:color w:val="auto"/>
          <w:sz w:val="24"/>
          <w:szCs w:val="24"/>
          <w:highlight w:val="none"/>
        </w:rPr>
        <w:t xml:space="preserve"> 样品的报送与封存</w:t>
      </w:r>
    </w:p>
    <w:p w14:paraId="72E7015E">
      <w:pPr>
        <w:autoSpaceDE w:val="0"/>
        <w:autoSpaceDN w:val="0"/>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需要承包人报送样品的材料或工程设备，样品的种类、名称、规格、数量要求：</w:t>
      </w:r>
      <w:r>
        <w:rPr>
          <w:rFonts w:hint="eastAsia" w:ascii="宋体" w:hAnsi="宋体" w:cs="宋体"/>
          <w:b/>
          <w:bCs/>
          <w:color w:val="auto"/>
          <w:sz w:val="24"/>
          <w:szCs w:val="24"/>
          <w:highlight w:val="none"/>
          <w:u w:val="single"/>
        </w:rPr>
        <w:t>规格、数量等按发包人现场要求提供。承包人购买选定材料时，应按招标文件中推荐品牌提供样品，需经发包人同意确认封样后使用。否则发包人拒绝支付相关费用。</w:t>
      </w:r>
    </w:p>
    <w:p w14:paraId="156B0E78">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8.8  </w:t>
      </w:r>
      <w:r>
        <w:rPr>
          <w:rFonts w:hint="eastAsia" w:ascii="宋体" w:hAnsi="宋体"/>
          <w:color w:val="auto"/>
          <w:sz w:val="24"/>
          <w:szCs w:val="24"/>
          <w:highlight w:val="none"/>
        </w:rPr>
        <w:t>施工设备和临时设施</w:t>
      </w:r>
    </w:p>
    <w:p w14:paraId="11FA411E">
      <w:pPr>
        <w:autoSpaceDE w:val="0"/>
        <w:autoSpaceDN w:val="0"/>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8.8.1 </w:t>
      </w:r>
      <w:r>
        <w:rPr>
          <w:rFonts w:hint="eastAsia" w:ascii="宋体" w:hAnsi="宋体"/>
          <w:color w:val="auto"/>
          <w:sz w:val="24"/>
          <w:szCs w:val="24"/>
          <w:highlight w:val="none"/>
        </w:rPr>
        <w:t xml:space="preserve"> 承包人提供的施工设备和临时设施</w:t>
      </w:r>
    </w:p>
    <w:p w14:paraId="1B032B8E">
      <w:pPr>
        <w:spacing w:line="360" w:lineRule="auto"/>
        <w:ind w:firstLine="480" w:firstLineChars="200"/>
        <w:rPr>
          <w:rFonts w:hint="eastAsia" w:ascii="宋体" w:hAnsi="宋体"/>
          <w:color w:val="auto"/>
          <w:sz w:val="24"/>
          <w:szCs w:val="24"/>
          <w:highlight w:val="none"/>
          <w:u w:val="single"/>
        </w:rPr>
      </w:pPr>
      <w:r>
        <w:rPr>
          <w:rFonts w:hint="eastAsia" w:ascii="宋体" w:hAnsi="宋体"/>
          <w:color w:val="auto"/>
          <w:sz w:val="24"/>
          <w:szCs w:val="24"/>
          <w:highlight w:val="none"/>
        </w:rPr>
        <w:t>关于修建临时设施费用承担的约定：</w:t>
      </w:r>
      <w:r>
        <w:rPr>
          <w:rFonts w:hint="eastAsia" w:ascii="宋体" w:hAnsi="宋体"/>
          <w:b/>
          <w:bCs/>
          <w:color w:val="auto"/>
          <w:sz w:val="24"/>
          <w:szCs w:val="24"/>
          <w:highlight w:val="none"/>
          <w:u w:val="single"/>
        </w:rPr>
        <w:t>承包人免费为发包人代表及监理单位驻施工现场管理人员提供办公和生活用房。</w:t>
      </w:r>
    </w:p>
    <w:p w14:paraId="08F34F81">
      <w:pPr>
        <w:autoSpaceDE w:val="0"/>
        <w:autoSpaceDN w:val="0"/>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8.8.2</w:t>
      </w:r>
      <w:r>
        <w:rPr>
          <w:rFonts w:hint="eastAsia" w:ascii="宋体" w:hAnsi="宋体"/>
          <w:color w:val="auto"/>
          <w:sz w:val="24"/>
          <w:szCs w:val="24"/>
          <w:highlight w:val="none"/>
        </w:rPr>
        <w:t xml:space="preserve">  发包人提供的施工设备和临时设施</w:t>
      </w:r>
    </w:p>
    <w:p w14:paraId="0262DD94">
      <w:pPr>
        <w:autoSpaceDE w:val="0"/>
        <w:autoSpaceDN w:val="0"/>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发包人提供的施工设备和临时设施：</w:t>
      </w:r>
      <w:r>
        <w:rPr>
          <w:rFonts w:hint="eastAsia" w:ascii="宋体" w:hAnsi="宋体"/>
          <w:color w:val="auto"/>
          <w:sz w:val="24"/>
          <w:szCs w:val="24"/>
          <w:highlight w:val="none"/>
          <w:u w:val="single"/>
        </w:rPr>
        <w:t>无</w:t>
      </w:r>
      <w:r>
        <w:rPr>
          <w:rFonts w:hint="eastAsia" w:ascii="宋体" w:hAnsi="宋体"/>
          <w:color w:val="auto"/>
          <w:sz w:val="24"/>
          <w:szCs w:val="24"/>
          <w:highlight w:val="none"/>
        </w:rPr>
        <w:t>。</w:t>
      </w:r>
    </w:p>
    <w:p w14:paraId="7110BF39">
      <w:pPr>
        <w:spacing w:line="360" w:lineRule="auto"/>
        <w:rPr>
          <w:rFonts w:ascii="宋体" w:hAnsi="宋体"/>
          <w:color w:val="auto"/>
          <w:sz w:val="24"/>
          <w:szCs w:val="24"/>
          <w:highlight w:val="none"/>
        </w:rPr>
      </w:pPr>
      <w:r>
        <w:rPr>
          <w:rFonts w:ascii="宋体" w:hAnsi="宋体"/>
          <w:color w:val="auto"/>
          <w:sz w:val="24"/>
          <w:szCs w:val="24"/>
          <w:highlight w:val="none"/>
        </w:rPr>
        <w:t xml:space="preserve">9  </w:t>
      </w:r>
      <w:r>
        <w:rPr>
          <w:rFonts w:hint="eastAsia" w:ascii="宋体" w:hAnsi="宋体"/>
          <w:color w:val="auto"/>
          <w:sz w:val="24"/>
          <w:szCs w:val="24"/>
          <w:highlight w:val="none"/>
        </w:rPr>
        <w:t>试验与检验</w:t>
      </w:r>
    </w:p>
    <w:p w14:paraId="4E9882D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9.1  </w:t>
      </w:r>
      <w:r>
        <w:rPr>
          <w:rFonts w:hint="eastAsia" w:ascii="宋体" w:hAnsi="宋体"/>
          <w:color w:val="auto"/>
          <w:sz w:val="24"/>
          <w:szCs w:val="24"/>
          <w:highlight w:val="none"/>
        </w:rPr>
        <w:t>试验设备与试验人员</w:t>
      </w:r>
    </w:p>
    <w:p w14:paraId="2E7ABD25">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9.1.2 </w:t>
      </w:r>
      <w:r>
        <w:rPr>
          <w:rFonts w:hint="eastAsia" w:ascii="宋体" w:hAnsi="宋体"/>
          <w:color w:val="auto"/>
          <w:sz w:val="24"/>
          <w:szCs w:val="24"/>
          <w:highlight w:val="none"/>
        </w:rPr>
        <w:t xml:space="preserve"> 试验设备</w:t>
      </w:r>
    </w:p>
    <w:p w14:paraId="64CF9924">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施工现场需要配置的试验场所：</w:t>
      </w:r>
      <w:r>
        <w:rPr>
          <w:rFonts w:hint="eastAsia" w:ascii="宋体" w:hAnsi="宋体"/>
          <w:color w:val="auto"/>
          <w:sz w:val="24"/>
          <w:szCs w:val="24"/>
          <w:highlight w:val="none"/>
          <w:u w:val="single"/>
        </w:rPr>
        <w:t>无</w:t>
      </w:r>
      <w:r>
        <w:rPr>
          <w:rFonts w:hint="eastAsia" w:ascii="宋体" w:hAnsi="宋体"/>
          <w:color w:val="auto"/>
          <w:sz w:val="24"/>
          <w:szCs w:val="24"/>
          <w:highlight w:val="none"/>
        </w:rPr>
        <w:t>；</w:t>
      </w:r>
    </w:p>
    <w:p w14:paraId="6CD08942">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施工现场需要配备的试验设备：</w:t>
      </w:r>
      <w:r>
        <w:rPr>
          <w:rFonts w:hint="eastAsia" w:ascii="宋体" w:hAnsi="宋体"/>
          <w:color w:val="auto"/>
          <w:sz w:val="24"/>
          <w:szCs w:val="24"/>
          <w:highlight w:val="none"/>
          <w:u w:val="single"/>
        </w:rPr>
        <w:t>无</w:t>
      </w:r>
      <w:r>
        <w:rPr>
          <w:rFonts w:hint="eastAsia" w:ascii="宋体" w:hAnsi="宋体"/>
          <w:color w:val="auto"/>
          <w:sz w:val="24"/>
          <w:szCs w:val="24"/>
          <w:highlight w:val="none"/>
        </w:rPr>
        <w:t>；</w:t>
      </w:r>
    </w:p>
    <w:p w14:paraId="0983FDE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施工现场需要具备的其他试验条件：</w:t>
      </w:r>
      <w:r>
        <w:rPr>
          <w:rFonts w:hint="eastAsia" w:ascii="宋体" w:hAnsi="宋体"/>
          <w:color w:val="auto"/>
          <w:sz w:val="24"/>
          <w:szCs w:val="24"/>
          <w:highlight w:val="none"/>
          <w:u w:val="single"/>
        </w:rPr>
        <w:t>无</w:t>
      </w:r>
      <w:r>
        <w:rPr>
          <w:rFonts w:hint="eastAsia" w:ascii="宋体" w:hAnsi="宋体"/>
          <w:color w:val="auto"/>
          <w:sz w:val="24"/>
          <w:szCs w:val="24"/>
          <w:highlight w:val="none"/>
        </w:rPr>
        <w:t>。</w:t>
      </w:r>
    </w:p>
    <w:p w14:paraId="6D2D362C">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9.4  </w:t>
      </w:r>
      <w:r>
        <w:rPr>
          <w:rFonts w:hint="eastAsia" w:ascii="宋体" w:hAnsi="宋体"/>
          <w:color w:val="auto"/>
          <w:sz w:val="24"/>
          <w:szCs w:val="24"/>
          <w:highlight w:val="none"/>
        </w:rPr>
        <w:t>现场工艺试验</w:t>
      </w:r>
    </w:p>
    <w:p w14:paraId="70D6F8D0">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现场工艺试验的有关约定：</w:t>
      </w:r>
      <w:r>
        <w:rPr>
          <w:rFonts w:hint="eastAsia" w:ascii="宋体" w:hAnsi="宋体"/>
          <w:color w:val="auto"/>
          <w:sz w:val="24"/>
          <w:szCs w:val="24"/>
          <w:highlight w:val="none"/>
          <w:u w:val="single"/>
        </w:rPr>
        <w:t xml:space="preserve">         /        </w:t>
      </w:r>
      <w:r>
        <w:rPr>
          <w:rFonts w:hint="eastAsia" w:ascii="宋体" w:hAnsi="宋体"/>
          <w:color w:val="auto"/>
          <w:sz w:val="24"/>
          <w:szCs w:val="24"/>
          <w:highlight w:val="none"/>
        </w:rPr>
        <w:t>。</w:t>
      </w:r>
    </w:p>
    <w:p w14:paraId="574C396D">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10  变更</w:t>
      </w:r>
    </w:p>
    <w:p w14:paraId="7D1D651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10.1  变更的范围</w:t>
      </w:r>
    </w:p>
    <w:p w14:paraId="6B1CD859">
      <w:pPr>
        <w:spacing w:line="360" w:lineRule="auto"/>
        <w:ind w:firstLine="480" w:firstLineChars="200"/>
        <w:rPr>
          <w:rFonts w:ascii="宋体" w:hAnsi="宋体"/>
          <w:color w:val="auto"/>
          <w:sz w:val="24"/>
          <w:szCs w:val="24"/>
          <w:highlight w:val="none"/>
        </w:rPr>
      </w:pPr>
      <w:r>
        <w:rPr>
          <w:rFonts w:hint="eastAsia" w:ascii="宋体" w:hAnsi="宋体" w:cs="宋体"/>
          <w:color w:val="auto"/>
          <w:sz w:val="24"/>
          <w:szCs w:val="24"/>
          <w:highlight w:val="none"/>
        </w:rPr>
        <w:t>10.1.1  关于变更的范围的约定：</w:t>
      </w:r>
      <w:r>
        <w:rPr>
          <w:rFonts w:hint="eastAsia" w:ascii="宋体" w:hAnsi="宋体"/>
          <w:color w:val="auto"/>
          <w:sz w:val="24"/>
          <w:szCs w:val="24"/>
          <w:highlight w:val="none"/>
          <w:u w:val="single"/>
        </w:rPr>
        <w:t>所有变更应经发包人审批后实施，否则所有责任由承包人承担</w:t>
      </w:r>
      <w:r>
        <w:rPr>
          <w:rFonts w:hint="eastAsia" w:ascii="宋体" w:hAnsi="宋体"/>
          <w:color w:val="auto"/>
          <w:sz w:val="24"/>
          <w:szCs w:val="24"/>
          <w:highlight w:val="none"/>
        </w:rPr>
        <w:t>。</w:t>
      </w:r>
    </w:p>
    <w:p w14:paraId="09DED383">
      <w:pPr>
        <w:spacing w:line="360" w:lineRule="auto"/>
        <w:ind w:firstLine="480" w:firstLineChars="200"/>
        <w:rPr>
          <w:rFonts w:ascii="宋体" w:hAnsi="宋体" w:cs="宋体"/>
          <w:color w:val="auto"/>
          <w:sz w:val="24"/>
          <w:szCs w:val="24"/>
          <w:highlight w:val="none"/>
          <w:u w:val="single"/>
        </w:rPr>
      </w:pPr>
      <w:r>
        <w:rPr>
          <w:rFonts w:ascii="宋体" w:hAnsi="宋体"/>
          <w:color w:val="auto"/>
          <w:sz w:val="24"/>
          <w:szCs w:val="24"/>
          <w:highlight w:val="none"/>
        </w:rPr>
        <w:t xml:space="preserve">10.1.2 </w:t>
      </w:r>
      <w:r>
        <w:rPr>
          <w:rFonts w:hint="eastAsia" w:ascii="宋体" w:hAnsi="宋体"/>
          <w:color w:val="auto"/>
          <w:sz w:val="24"/>
          <w:szCs w:val="24"/>
          <w:highlight w:val="none"/>
        </w:rPr>
        <w:t xml:space="preserve"> 变更签批：</w:t>
      </w:r>
      <w:r>
        <w:rPr>
          <w:rFonts w:hint="eastAsia" w:ascii="宋体" w:hAnsi="宋体"/>
          <w:color w:val="auto"/>
          <w:sz w:val="24"/>
          <w:szCs w:val="24"/>
          <w:highlight w:val="none"/>
          <w:u w:val="single"/>
        </w:rPr>
        <w:t>设计变更须经设计单位、发包人、监理工程师和承包人四方签字确认并盖章后生效，技术洽商或现场签证须经发包人、监理工程师、承包人及</w:t>
      </w:r>
      <w:r>
        <w:rPr>
          <w:rFonts w:hint="eastAsia" w:ascii="宋体" w:hAnsi="宋体"/>
          <w:color w:val="auto"/>
          <w:sz w:val="24"/>
          <w:szCs w:val="24"/>
          <w:highlight w:val="none"/>
          <w:u w:val="single"/>
          <w:lang w:eastAsia="zh-CN"/>
        </w:rPr>
        <w:t>造价咨询</w:t>
      </w:r>
      <w:r>
        <w:rPr>
          <w:rFonts w:hint="eastAsia" w:ascii="宋体" w:hAnsi="宋体"/>
          <w:color w:val="auto"/>
          <w:sz w:val="24"/>
          <w:szCs w:val="24"/>
          <w:highlight w:val="none"/>
          <w:u w:val="single"/>
        </w:rPr>
        <w:t>四方签字确认并盖章后生效，方可作为结算的依据。</w:t>
      </w:r>
      <w:r>
        <w:rPr>
          <w:rFonts w:hint="eastAsia" w:ascii="宋体" w:hAnsi="宋体"/>
          <w:color w:val="auto"/>
          <w:sz w:val="24"/>
          <w:szCs w:val="24"/>
          <w:highlight w:val="none"/>
          <w:u w:val="single"/>
          <w:lang w:eastAsia="zh-CN"/>
        </w:rPr>
        <w:t>补充合同金额不超过主合同总额的</w:t>
      </w:r>
      <w:r>
        <w:rPr>
          <w:rFonts w:hint="eastAsia" w:ascii="宋体" w:hAnsi="宋体"/>
          <w:color w:val="auto"/>
          <w:sz w:val="24"/>
          <w:szCs w:val="24"/>
          <w:highlight w:val="none"/>
          <w:u w:val="single"/>
          <w:lang w:val="en-US" w:eastAsia="zh-CN"/>
        </w:rPr>
        <w:t>10%</w:t>
      </w:r>
      <w:r>
        <w:rPr>
          <w:rFonts w:hint="eastAsia" w:ascii="宋体" w:hAnsi="宋体"/>
          <w:color w:val="auto"/>
          <w:sz w:val="24"/>
          <w:szCs w:val="24"/>
          <w:highlight w:val="none"/>
          <w:u w:val="single"/>
          <w:lang w:eastAsia="zh-CN"/>
        </w:rPr>
        <w:t>且</w:t>
      </w:r>
      <w:r>
        <w:rPr>
          <w:rFonts w:hint="eastAsia" w:ascii="宋体" w:hAnsi="宋体"/>
          <w:color w:val="auto"/>
          <w:sz w:val="24"/>
          <w:szCs w:val="24"/>
          <w:highlight w:val="none"/>
          <w:u w:val="single"/>
        </w:rPr>
        <w:t>补充合同金额</w:t>
      </w:r>
      <w:r>
        <w:rPr>
          <w:rFonts w:hint="eastAsia" w:ascii="宋体" w:hAnsi="宋体"/>
          <w:color w:val="auto"/>
          <w:sz w:val="24"/>
          <w:szCs w:val="24"/>
          <w:highlight w:val="none"/>
          <w:u w:val="single"/>
          <w:lang w:eastAsia="zh-CN"/>
        </w:rPr>
        <w:t>与原合同金额之和不超过采购预算金额</w:t>
      </w:r>
      <w:r>
        <w:rPr>
          <w:rFonts w:hint="eastAsia" w:ascii="宋体" w:hAnsi="宋体"/>
          <w:color w:val="auto"/>
          <w:sz w:val="24"/>
          <w:szCs w:val="24"/>
          <w:highlight w:val="none"/>
          <w:u w:val="single"/>
          <w:lang w:val="en-US" w:eastAsia="zh-CN"/>
        </w:rPr>
        <w:t>。</w:t>
      </w:r>
      <w:r>
        <w:rPr>
          <w:rFonts w:hint="eastAsia" w:ascii="宋体" w:hAnsi="宋体"/>
          <w:color w:val="auto"/>
          <w:sz w:val="24"/>
          <w:szCs w:val="24"/>
          <w:highlight w:val="none"/>
          <w:u w:val="single"/>
        </w:rPr>
        <w:t>未涉及事宜执行</w:t>
      </w:r>
      <w:r>
        <w:rPr>
          <w:rFonts w:hint="eastAsia" w:ascii="宋体" w:hAnsi="宋体"/>
          <w:color w:val="auto"/>
          <w:sz w:val="24"/>
          <w:szCs w:val="24"/>
          <w:highlight w:val="none"/>
          <w:u w:val="single"/>
          <w:lang w:eastAsia="zh-CN"/>
        </w:rPr>
        <w:t>《鄂尔多斯市政府投资项目代建中心工程变更工作规程（试行）》</w:t>
      </w:r>
      <w:r>
        <w:rPr>
          <w:rFonts w:hint="eastAsia" w:ascii="宋体" w:hAnsi="宋体"/>
          <w:color w:val="auto"/>
          <w:sz w:val="24"/>
          <w:szCs w:val="24"/>
          <w:highlight w:val="none"/>
          <w:u w:val="single"/>
        </w:rPr>
        <w:t>。</w:t>
      </w:r>
    </w:p>
    <w:p w14:paraId="4D030B3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10.4  </w:t>
      </w:r>
      <w:r>
        <w:rPr>
          <w:rFonts w:hint="eastAsia" w:ascii="宋体" w:hAnsi="宋体"/>
          <w:color w:val="auto"/>
          <w:sz w:val="24"/>
          <w:szCs w:val="24"/>
          <w:highlight w:val="none"/>
        </w:rPr>
        <w:t>变更估价</w:t>
      </w:r>
    </w:p>
    <w:p w14:paraId="00142BF5">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10.4.1</w:t>
      </w:r>
      <w:r>
        <w:rPr>
          <w:rFonts w:hint="eastAsia" w:ascii="宋体" w:hAnsi="宋体"/>
          <w:color w:val="auto"/>
          <w:sz w:val="24"/>
          <w:szCs w:val="24"/>
          <w:highlight w:val="none"/>
        </w:rPr>
        <w:t xml:space="preserve">  变更估价原则</w:t>
      </w:r>
    </w:p>
    <w:p w14:paraId="6D371A97">
      <w:pPr>
        <w:spacing w:line="360" w:lineRule="auto"/>
        <w:ind w:firstLine="482" w:firstLineChars="200"/>
        <w:rPr>
          <w:rFonts w:ascii="宋体" w:hAnsi="宋体"/>
          <w:color w:val="auto"/>
          <w:sz w:val="24"/>
          <w:szCs w:val="24"/>
          <w:highlight w:val="none"/>
          <w:u w:val="single"/>
        </w:rPr>
      </w:pPr>
      <w:r>
        <w:rPr>
          <w:rFonts w:hint="eastAsia" w:ascii="宋体" w:hAnsi="宋体"/>
          <w:b/>
          <w:bCs/>
          <w:color w:val="auto"/>
          <w:sz w:val="24"/>
          <w:szCs w:val="24"/>
          <w:highlight w:val="none"/>
        </w:rPr>
        <w:t>关于变更估价的约定：</w:t>
      </w:r>
      <w:r>
        <w:rPr>
          <w:rFonts w:hint="eastAsia" w:ascii="宋体" w:hAnsi="宋体"/>
          <w:b/>
          <w:bCs/>
          <w:color w:val="auto"/>
          <w:sz w:val="24"/>
          <w:szCs w:val="24"/>
          <w:highlight w:val="none"/>
          <w:u w:val="single"/>
        </w:rPr>
        <w:t xml:space="preserve"> </w:t>
      </w:r>
      <w:r>
        <w:rPr>
          <w:rFonts w:hint="eastAsia" w:ascii="宋体" w:hAnsi="宋体"/>
          <w:b/>
          <w:bCs/>
          <w:color w:val="auto"/>
          <w:sz w:val="24"/>
          <w:szCs w:val="24"/>
          <w:highlight w:val="none"/>
          <w:u w:val="single"/>
          <w:lang w:eastAsia="zh-CN"/>
        </w:rPr>
        <w:t>执行二次报价中相同项目的综合单价</w:t>
      </w:r>
      <w:r>
        <w:rPr>
          <w:rFonts w:hint="eastAsia" w:ascii="宋体" w:hAnsi="宋体"/>
          <w:b/>
          <w:bCs/>
          <w:color w:val="auto"/>
          <w:sz w:val="24"/>
          <w:szCs w:val="24"/>
          <w:highlight w:val="none"/>
          <w:u w:val="single"/>
        </w:rPr>
        <w:t>。</w:t>
      </w:r>
    </w:p>
    <w:p w14:paraId="141005D5">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10.4.2 </w:t>
      </w:r>
      <w:r>
        <w:rPr>
          <w:rFonts w:hint="eastAsia" w:ascii="宋体" w:hAnsi="宋体"/>
          <w:color w:val="auto"/>
          <w:sz w:val="24"/>
          <w:szCs w:val="24"/>
          <w:highlight w:val="none"/>
        </w:rPr>
        <w:t xml:space="preserve"> 变更估价程序</w:t>
      </w:r>
    </w:p>
    <w:p w14:paraId="1E8AE52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承包人提交变更报价书的期限：</w:t>
      </w:r>
      <w:r>
        <w:rPr>
          <w:rFonts w:hint="eastAsia" w:ascii="宋体" w:hAnsi="宋体" w:cs="宋体"/>
          <w:color w:val="auto"/>
          <w:sz w:val="24"/>
          <w:szCs w:val="24"/>
          <w:highlight w:val="none"/>
          <w:u w:val="single"/>
        </w:rPr>
        <w:t>与工程变更审批单同步提供</w:t>
      </w:r>
      <w:r>
        <w:rPr>
          <w:rFonts w:hint="eastAsia" w:ascii="宋体" w:hAnsi="宋体" w:cs="宋体"/>
          <w:color w:val="auto"/>
          <w:sz w:val="24"/>
          <w:szCs w:val="24"/>
          <w:highlight w:val="none"/>
        </w:rPr>
        <w:t>。</w:t>
      </w:r>
    </w:p>
    <w:p w14:paraId="007AE9F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监理人商定或确定变更价格的期限：</w:t>
      </w:r>
      <w:r>
        <w:rPr>
          <w:rFonts w:hint="eastAsia" w:ascii="宋体" w:hAnsi="宋体" w:cs="宋体"/>
          <w:color w:val="auto"/>
          <w:sz w:val="24"/>
          <w:szCs w:val="24"/>
          <w:highlight w:val="none"/>
          <w:u w:val="single"/>
        </w:rPr>
        <w:t>执行通用条款</w:t>
      </w:r>
      <w:r>
        <w:rPr>
          <w:rFonts w:hint="eastAsia" w:ascii="宋体" w:hAnsi="宋体" w:cs="宋体"/>
          <w:color w:val="auto"/>
          <w:sz w:val="24"/>
          <w:szCs w:val="24"/>
          <w:highlight w:val="none"/>
        </w:rPr>
        <w:t>。</w:t>
      </w:r>
    </w:p>
    <w:p w14:paraId="0FA0C7F4">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10.5  </w:t>
      </w:r>
      <w:r>
        <w:rPr>
          <w:rFonts w:hint="eastAsia" w:ascii="宋体" w:hAnsi="宋体"/>
          <w:color w:val="auto"/>
          <w:sz w:val="24"/>
          <w:szCs w:val="24"/>
          <w:highlight w:val="none"/>
        </w:rPr>
        <w:t>承包人的合理化建议</w:t>
      </w:r>
    </w:p>
    <w:p w14:paraId="315D329E">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监理人审查承包人合理化建议的期限：</w:t>
      </w:r>
      <w:r>
        <w:rPr>
          <w:rFonts w:hint="eastAsia" w:ascii="宋体" w:hAnsi="宋体"/>
          <w:color w:val="auto"/>
          <w:sz w:val="24"/>
          <w:szCs w:val="24"/>
          <w:highlight w:val="none"/>
          <w:u w:val="single"/>
        </w:rPr>
        <w:t>执行通用条款</w:t>
      </w:r>
      <w:r>
        <w:rPr>
          <w:rFonts w:hint="eastAsia" w:ascii="宋体" w:hAnsi="宋体"/>
          <w:color w:val="auto"/>
          <w:sz w:val="24"/>
          <w:szCs w:val="24"/>
          <w:highlight w:val="none"/>
        </w:rPr>
        <w:t>；</w:t>
      </w:r>
    </w:p>
    <w:p w14:paraId="0128DB78">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发包人审批承包人合理化建议的期限：</w:t>
      </w:r>
      <w:r>
        <w:rPr>
          <w:rFonts w:hint="eastAsia" w:ascii="宋体" w:hAnsi="宋体"/>
          <w:color w:val="auto"/>
          <w:sz w:val="24"/>
          <w:szCs w:val="24"/>
          <w:highlight w:val="none"/>
          <w:u w:val="single"/>
        </w:rPr>
        <w:t>执行通用条款</w:t>
      </w:r>
      <w:r>
        <w:rPr>
          <w:rFonts w:hint="eastAsia" w:ascii="宋体" w:hAnsi="宋体"/>
          <w:color w:val="auto"/>
          <w:sz w:val="24"/>
          <w:szCs w:val="24"/>
          <w:highlight w:val="none"/>
        </w:rPr>
        <w:t>。</w:t>
      </w:r>
    </w:p>
    <w:p w14:paraId="0E710334">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承包人提出的合理化建议降低了合同价格或者提高了工程经济效益的奖励的方法和金额为：</w:t>
      </w:r>
      <w:r>
        <w:rPr>
          <w:rFonts w:hint="eastAsia" w:ascii="宋体" w:hAnsi="宋体"/>
          <w:color w:val="auto"/>
          <w:sz w:val="24"/>
          <w:szCs w:val="24"/>
          <w:highlight w:val="none"/>
          <w:u w:val="single"/>
        </w:rPr>
        <w:t>无</w:t>
      </w:r>
      <w:r>
        <w:rPr>
          <w:rFonts w:hint="eastAsia" w:ascii="宋体" w:hAnsi="宋体"/>
          <w:color w:val="auto"/>
          <w:sz w:val="24"/>
          <w:szCs w:val="24"/>
          <w:highlight w:val="none"/>
        </w:rPr>
        <w:t>。</w:t>
      </w:r>
    </w:p>
    <w:p w14:paraId="69FE4E3A">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10.7  </w:t>
      </w:r>
      <w:r>
        <w:rPr>
          <w:rFonts w:hint="eastAsia" w:ascii="宋体" w:hAnsi="宋体"/>
          <w:color w:val="auto"/>
          <w:sz w:val="24"/>
          <w:szCs w:val="24"/>
          <w:highlight w:val="none"/>
        </w:rPr>
        <w:t>暂估价</w:t>
      </w:r>
    </w:p>
    <w:p w14:paraId="20CBA505">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暂估价材料和工程设备的明细详见附件11：《暂估价一览表》。</w:t>
      </w:r>
    </w:p>
    <w:p w14:paraId="72439835">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10.7.1  依法必须招标的暂估价项目</w:t>
      </w:r>
    </w:p>
    <w:p w14:paraId="5C7DB6CB">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对于依法必须招标的暂估价项目的确认和批准采取第</w:t>
      </w:r>
      <w:r>
        <w:rPr>
          <w:rFonts w:hint="eastAsia" w:ascii="宋体" w:hAnsi="宋体"/>
          <w:color w:val="auto"/>
          <w:sz w:val="24"/>
          <w:szCs w:val="24"/>
          <w:highlight w:val="none"/>
          <w:u w:val="single"/>
        </w:rPr>
        <w:t>2</w:t>
      </w:r>
      <w:r>
        <w:rPr>
          <w:rFonts w:hint="eastAsia" w:ascii="宋体" w:hAnsi="宋体"/>
          <w:color w:val="auto"/>
          <w:sz w:val="24"/>
          <w:szCs w:val="24"/>
          <w:highlight w:val="none"/>
        </w:rPr>
        <w:t>种方式确定。</w:t>
      </w:r>
    </w:p>
    <w:p w14:paraId="48FFA47D">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10.7.2  不属于依法必须招标的暂估价项目</w:t>
      </w:r>
    </w:p>
    <w:p w14:paraId="52573DEF">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不属于依法必须招标的暂估价项目的确认和批准采取第</w:t>
      </w:r>
      <w:r>
        <w:rPr>
          <w:rFonts w:hint="eastAsia" w:ascii="宋体" w:hAnsi="宋体"/>
          <w:color w:val="auto"/>
          <w:sz w:val="24"/>
          <w:szCs w:val="24"/>
          <w:highlight w:val="none"/>
          <w:u w:val="single"/>
        </w:rPr>
        <w:t>3</w:t>
      </w:r>
      <w:r>
        <w:rPr>
          <w:rFonts w:hint="eastAsia" w:ascii="宋体" w:hAnsi="宋体"/>
          <w:color w:val="auto"/>
          <w:sz w:val="24"/>
          <w:szCs w:val="24"/>
          <w:highlight w:val="none"/>
        </w:rPr>
        <w:t>种方式确定。</w:t>
      </w:r>
    </w:p>
    <w:p w14:paraId="05612D84">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承包人直接实施的暂估价项目的约定：</w:t>
      </w:r>
      <w:r>
        <w:rPr>
          <w:rFonts w:hint="eastAsia" w:ascii="宋体" w:hAnsi="宋体"/>
          <w:color w:val="auto"/>
          <w:sz w:val="24"/>
          <w:szCs w:val="24"/>
          <w:highlight w:val="none"/>
          <w:u w:val="single"/>
        </w:rPr>
        <w:t>无</w:t>
      </w:r>
      <w:r>
        <w:rPr>
          <w:rFonts w:hint="eastAsia" w:ascii="宋体" w:hAnsi="宋体"/>
          <w:color w:val="auto"/>
          <w:sz w:val="24"/>
          <w:szCs w:val="24"/>
          <w:highlight w:val="none"/>
        </w:rPr>
        <w:t>。</w:t>
      </w:r>
    </w:p>
    <w:p w14:paraId="6E0EC4E4">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10.8  </w:t>
      </w:r>
      <w:r>
        <w:rPr>
          <w:rFonts w:hint="eastAsia" w:ascii="宋体" w:hAnsi="宋体"/>
          <w:color w:val="auto"/>
          <w:sz w:val="24"/>
          <w:szCs w:val="24"/>
          <w:highlight w:val="none"/>
        </w:rPr>
        <w:t>暂列金额</w:t>
      </w:r>
    </w:p>
    <w:p w14:paraId="1DBF161E">
      <w:pPr>
        <w:autoSpaceDE w:val="0"/>
        <w:autoSpaceDN w:val="0"/>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合同当事人关于暂列金额使用的约定：</w:t>
      </w:r>
      <w:r>
        <w:rPr>
          <w:rFonts w:hint="eastAsia" w:ascii="宋体" w:hAnsi="宋体"/>
          <w:color w:val="auto"/>
          <w:sz w:val="24"/>
          <w:szCs w:val="24"/>
          <w:highlight w:val="none"/>
          <w:u w:val="single"/>
        </w:rPr>
        <w:t>按照发包人的要求使用</w:t>
      </w:r>
      <w:r>
        <w:rPr>
          <w:rFonts w:hint="eastAsia" w:ascii="宋体" w:hAnsi="宋体"/>
          <w:color w:val="auto"/>
          <w:sz w:val="24"/>
          <w:szCs w:val="24"/>
          <w:highlight w:val="none"/>
        </w:rPr>
        <w:t>。</w:t>
      </w:r>
    </w:p>
    <w:p w14:paraId="763FAEB4">
      <w:pPr>
        <w:spacing w:line="360" w:lineRule="auto"/>
        <w:rPr>
          <w:rFonts w:ascii="宋体" w:hAnsi="宋体"/>
          <w:color w:val="auto"/>
          <w:sz w:val="24"/>
          <w:szCs w:val="24"/>
          <w:highlight w:val="none"/>
        </w:rPr>
      </w:pPr>
      <w:r>
        <w:rPr>
          <w:rFonts w:ascii="宋体" w:hAnsi="宋体"/>
          <w:color w:val="auto"/>
          <w:sz w:val="24"/>
          <w:szCs w:val="24"/>
          <w:highlight w:val="none"/>
        </w:rPr>
        <w:t xml:space="preserve">11  </w:t>
      </w:r>
      <w:r>
        <w:rPr>
          <w:rFonts w:hint="eastAsia" w:ascii="宋体" w:hAnsi="宋体"/>
          <w:color w:val="auto"/>
          <w:sz w:val="24"/>
          <w:szCs w:val="24"/>
          <w:highlight w:val="none"/>
        </w:rPr>
        <w:t>价格调整</w:t>
      </w:r>
    </w:p>
    <w:p w14:paraId="13D05B63">
      <w:pPr>
        <w:spacing w:line="360" w:lineRule="auto"/>
        <w:ind w:firstLine="480" w:firstLineChars="200"/>
        <w:rPr>
          <w:rFonts w:ascii="宋体" w:hAnsi="宋体"/>
          <w:color w:val="auto"/>
          <w:sz w:val="24"/>
          <w:szCs w:val="24"/>
          <w:highlight w:val="none"/>
          <w:u w:val="single"/>
        </w:rPr>
      </w:pPr>
      <w:r>
        <w:rPr>
          <w:rFonts w:ascii="宋体" w:hAnsi="宋体"/>
          <w:color w:val="auto"/>
          <w:sz w:val="24"/>
          <w:szCs w:val="24"/>
          <w:highlight w:val="none"/>
        </w:rPr>
        <w:t xml:space="preserve">11.1  </w:t>
      </w:r>
      <w:r>
        <w:rPr>
          <w:rFonts w:hint="eastAsia" w:ascii="宋体" w:hAnsi="宋体"/>
          <w:color w:val="auto"/>
          <w:sz w:val="24"/>
          <w:szCs w:val="24"/>
          <w:highlight w:val="none"/>
        </w:rPr>
        <w:t>市场价格波动引起的调整：</w:t>
      </w:r>
    </w:p>
    <w:p w14:paraId="7F90B06B">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市场价格波动是否调整合同价格的约定</w:t>
      </w:r>
      <w:r>
        <w:rPr>
          <w:rFonts w:hint="eastAsia" w:ascii="宋体" w:hAnsi="宋体"/>
          <w:color w:val="auto"/>
          <w:sz w:val="24"/>
          <w:szCs w:val="24"/>
          <w:highlight w:val="none"/>
          <w:u w:val="single"/>
        </w:rPr>
        <w:t>：不调整。</w:t>
      </w:r>
    </w:p>
    <w:p w14:paraId="38DFC8D6">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第</w:t>
      </w:r>
      <w:r>
        <w:rPr>
          <w:rFonts w:ascii="宋体" w:hAnsi="宋体"/>
          <w:color w:val="auto"/>
          <w:sz w:val="24"/>
          <w:szCs w:val="24"/>
          <w:highlight w:val="none"/>
        </w:rPr>
        <w:t>1</w:t>
      </w:r>
      <w:r>
        <w:rPr>
          <w:rFonts w:hint="eastAsia" w:ascii="宋体" w:hAnsi="宋体"/>
          <w:color w:val="auto"/>
          <w:sz w:val="24"/>
          <w:szCs w:val="24"/>
          <w:highlight w:val="none"/>
        </w:rPr>
        <w:t>种方式：采用价格指数进行价格调整。</w:t>
      </w:r>
    </w:p>
    <w:p w14:paraId="72DDE1BA">
      <w:pPr>
        <w:tabs>
          <w:tab w:val="left" w:pos="0"/>
          <w:tab w:val="left" w:pos="360"/>
          <w:tab w:val="left" w:pos="540"/>
        </w:tabs>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关于各可调因子、定值和变值权重，以及基本价格指数及其来源的约定：</w:t>
      </w:r>
      <w:r>
        <w:rPr>
          <w:rFonts w:hint="eastAsia" w:ascii="宋体" w:hAnsi="宋体"/>
          <w:color w:val="auto"/>
          <w:sz w:val="24"/>
          <w:szCs w:val="24"/>
          <w:highlight w:val="none"/>
          <w:u w:val="single"/>
        </w:rPr>
        <w:t xml:space="preserve">  无 </w:t>
      </w:r>
      <w:r>
        <w:rPr>
          <w:rFonts w:hint="eastAsia" w:ascii="宋体" w:hAnsi="宋体"/>
          <w:color w:val="auto"/>
          <w:sz w:val="24"/>
          <w:szCs w:val="24"/>
          <w:highlight w:val="none"/>
        </w:rPr>
        <w:t>。</w:t>
      </w:r>
    </w:p>
    <w:p w14:paraId="340E95E4">
      <w:pPr>
        <w:tabs>
          <w:tab w:val="left" w:pos="0"/>
          <w:tab w:val="left" w:pos="360"/>
          <w:tab w:val="left" w:pos="540"/>
        </w:tabs>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第</w:t>
      </w:r>
      <w:r>
        <w:rPr>
          <w:rFonts w:ascii="宋体" w:hAnsi="宋体"/>
          <w:color w:val="auto"/>
          <w:sz w:val="24"/>
          <w:szCs w:val="24"/>
          <w:highlight w:val="none"/>
        </w:rPr>
        <w:t>2</w:t>
      </w:r>
      <w:r>
        <w:rPr>
          <w:rFonts w:hint="eastAsia" w:ascii="宋体" w:hAnsi="宋体"/>
          <w:color w:val="auto"/>
          <w:sz w:val="24"/>
          <w:szCs w:val="24"/>
          <w:highlight w:val="none"/>
        </w:rPr>
        <w:t>种方式：采用造价信息进行价格调整。</w:t>
      </w:r>
    </w:p>
    <w:p w14:paraId="52BBF3B2">
      <w:pPr>
        <w:tabs>
          <w:tab w:val="left" w:pos="0"/>
          <w:tab w:val="left" w:pos="360"/>
          <w:tab w:val="left" w:pos="540"/>
        </w:tabs>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（2）关于基准价格的约定：</w:t>
      </w:r>
      <w:r>
        <w:rPr>
          <w:rFonts w:hint="eastAsia" w:ascii="宋体" w:hAnsi="宋体"/>
          <w:color w:val="auto"/>
          <w:sz w:val="24"/>
          <w:szCs w:val="24"/>
          <w:highlight w:val="none"/>
          <w:u w:val="single"/>
        </w:rPr>
        <w:t>///</w:t>
      </w:r>
      <w:r>
        <w:rPr>
          <w:rFonts w:hint="eastAsia" w:ascii="宋体" w:hAnsi="宋体"/>
          <w:color w:val="auto"/>
          <w:sz w:val="24"/>
          <w:szCs w:val="24"/>
          <w:highlight w:val="none"/>
        </w:rPr>
        <w:t>。</w:t>
      </w:r>
    </w:p>
    <w:p w14:paraId="28F972E7">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color w:val="auto"/>
          <w:sz w:val="24"/>
          <w:szCs w:val="24"/>
          <w:highlight w:val="none"/>
          <w:u w:val="single"/>
        </w:rPr>
        <w:t xml:space="preserve"> / </w:t>
      </w:r>
      <w:r>
        <w:rPr>
          <w:rFonts w:ascii="宋体" w:hAnsi="宋体"/>
          <w:color w:val="auto"/>
          <w:sz w:val="24"/>
          <w:szCs w:val="24"/>
          <w:highlight w:val="none"/>
        </w:rPr>
        <w:t>%</w:t>
      </w:r>
      <w:r>
        <w:rPr>
          <w:rFonts w:hint="eastAsia" w:ascii="宋体" w:hAnsi="宋体"/>
          <w:color w:val="auto"/>
          <w:sz w:val="24"/>
          <w:szCs w:val="24"/>
          <w:highlight w:val="none"/>
        </w:rPr>
        <w:t>时，或材料单价跌幅以已标价工程量清单或预算书中载明材料单价为基础超过</w:t>
      </w:r>
      <w:r>
        <w:rPr>
          <w:rFonts w:hint="eastAsia" w:ascii="宋体" w:hAnsi="宋体"/>
          <w:color w:val="auto"/>
          <w:sz w:val="24"/>
          <w:szCs w:val="24"/>
          <w:highlight w:val="none"/>
          <w:u w:val="single"/>
        </w:rPr>
        <w:t xml:space="preserve">/ </w:t>
      </w:r>
      <w:r>
        <w:rPr>
          <w:rFonts w:ascii="宋体" w:hAnsi="宋体"/>
          <w:color w:val="auto"/>
          <w:sz w:val="24"/>
          <w:szCs w:val="24"/>
          <w:highlight w:val="none"/>
        </w:rPr>
        <w:t>%</w:t>
      </w:r>
      <w:r>
        <w:rPr>
          <w:rFonts w:hint="eastAsia" w:ascii="宋体" w:hAnsi="宋体"/>
          <w:color w:val="auto"/>
          <w:sz w:val="24"/>
          <w:szCs w:val="24"/>
          <w:highlight w:val="none"/>
        </w:rPr>
        <w:t>时，其超过部分据实调整。②承包人在已标价工程量清单或预算书中载明的材料单价高于基准价格的：专用合同条款合同履行期间材料单价跌幅以基准价格为基础超过</w:t>
      </w:r>
      <w:r>
        <w:rPr>
          <w:rFonts w:hint="eastAsia" w:ascii="宋体" w:hAnsi="宋体"/>
          <w:color w:val="auto"/>
          <w:sz w:val="24"/>
          <w:szCs w:val="24"/>
          <w:highlight w:val="none"/>
          <w:u w:val="single"/>
        </w:rPr>
        <w:t xml:space="preserve"> / </w:t>
      </w:r>
      <w:r>
        <w:rPr>
          <w:rFonts w:ascii="宋体" w:hAnsi="宋体"/>
          <w:color w:val="auto"/>
          <w:sz w:val="24"/>
          <w:szCs w:val="24"/>
          <w:highlight w:val="none"/>
        </w:rPr>
        <w:t>%</w:t>
      </w:r>
      <w:r>
        <w:rPr>
          <w:rFonts w:hint="eastAsia" w:ascii="宋体" w:hAnsi="宋体"/>
          <w:color w:val="auto"/>
          <w:sz w:val="24"/>
          <w:szCs w:val="24"/>
          <w:highlight w:val="none"/>
        </w:rPr>
        <w:t>时，材料单价涨幅以已标价工程量清单或预算书中载明材料单价为基础超过</w:t>
      </w:r>
      <w:r>
        <w:rPr>
          <w:rFonts w:hint="eastAsia" w:ascii="宋体" w:hAnsi="宋体"/>
          <w:color w:val="auto"/>
          <w:sz w:val="24"/>
          <w:szCs w:val="24"/>
          <w:highlight w:val="none"/>
          <w:u w:val="single"/>
        </w:rPr>
        <w:t xml:space="preserve"> / </w:t>
      </w:r>
      <w:r>
        <w:rPr>
          <w:rFonts w:ascii="宋体" w:hAnsi="宋体"/>
          <w:color w:val="auto"/>
          <w:sz w:val="24"/>
          <w:szCs w:val="24"/>
          <w:highlight w:val="none"/>
        </w:rPr>
        <w:t>%</w:t>
      </w:r>
      <w:r>
        <w:rPr>
          <w:rFonts w:hint="eastAsia" w:ascii="宋体" w:hAnsi="宋体"/>
          <w:color w:val="auto"/>
          <w:sz w:val="24"/>
          <w:szCs w:val="24"/>
          <w:highlight w:val="none"/>
        </w:rPr>
        <w:t>时，其超过部分据实调整。③承包人在已标价工程量清单或预算书中载明的材料单价等于基准单价的：专用合同条款合同履行期间材料单价涨跌幅以基准单价为基础超过±</w:t>
      </w:r>
      <w:r>
        <w:rPr>
          <w:rFonts w:hint="eastAsia" w:ascii="宋体" w:hAnsi="宋体"/>
          <w:color w:val="auto"/>
          <w:sz w:val="24"/>
          <w:szCs w:val="24"/>
          <w:highlight w:val="none"/>
          <w:u w:val="single"/>
        </w:rPr>
        <w:t xml:space="preserve"> / </w:t>
      </w:r>
      <w:r>
        <w:rPr>
          <w:rFonts w:ascii="宋体" w:hAnsi="宋体"/>
          <w:color w:val="auto"/>
          <w:sz w:val="24"/>
          <w:szCs w:val="24"/>
          <w:highlight w:val="none"/>
        </w:rPr>
        <w:t>%</w:t>
      </w:r>
      <w:r>
        <w:rPr>
          <w:rFonts w:hint="eastAsia" w:ascii="宋体" w:hAnsi="宋体"/>
          <w:color w:val="auto"/>
          <w:sz w:val="24"/>
          <w:szCs w:val="24"/>
          <w:highlight w:val="none"/>
        </w:rPr>
        <w:t>时，其超过部分据实调整。</w:t>
      </w:r>
    </w:p>
    <w:p w14:paraId="1F49D92F">
      <w:pPr>
        <w:spacing w:line="360" w:lineRule="auto"/>
        <w:ind w:firstLine="480" w:firstLineChars="200"/>
        <w:rPr>
          <w:rFonts w:hint="eastAsia" w:ascii="宋体" w:hAnsi="宋体"/>
          <w:b/>
          <w:bCs/>
          <w:color w:val="auto"/>
          <w:sz w:val="24"/>
          <w:szCs w:val="24"/>
          <w:highlight w:val="none"/>
          <w:u w:val="single"/>
          <w:lang w:eastAsia="zh-CN"/>
        </w:rPr>
      </w:pPr>
      <w:r>
        <w:rPr>
          <w:rFonts w:hint="eastAsia" w:ascii="宋体" w:hAnsi="宋体"/>
          <w:color w:val="auto"/>
          <w:sz w:val="24"/>
          <w:szCs w:val="24"/>
          <w:highlight w:val="none"/>
        </w:rPr>
        <w:t>第</w:t>
      </w:r>
      <w:r>
        <w:rPr>
          <w:rFonts w:ascii="宋体" w:hAnsi="宋体"/>
          <w:color w:val="auto"/>
          <w:sz w:val="24"/>
          <w:szCs w:val="24"/>
          <w:highlight w:val="none"/>
        </w:rPr>
        <w:t>3</w:t>
      </w:r>
      <w:r>
        <w:rPr>
          <w:rFonts w:hint="eastAsia" w:ascii="宋体" w:hAnsi="宋体"/>
          <w:color w:val="auto"/>
          <w:sz w:val="24"/>
          <w:szCs w:val="24"/>
          <w:highlight w:val="none"/>
        </w:rPr>
        <w:t>种方式：其他价格调整方式。</w:t>
      </w:r>
      <w:r>
        <w:rPr>
          <w:rFonts w:hint="eastAsia" w:ascii="宋体" w:hAnsi="宋体"/>
          <w:b/>
          <w:bCs/>
          <w:color w:val="auto"/>
          <w:sz w:val="24"/>
          <w:szCs w:val="24"/>
          <w:highlight w:val="none"/>
          <w:u w:val="single"/>
        </w:rPr>
        <w:t>施工图纸范围内工程量除下列情形外，其他</w:t>
      </w:r>
      <w:r>
        <w:rPr>
          <w:rFonts w:hint="eastAsia" w:ascii="宋体" w:hAnsi="宋体"/>
          <w:b/>
          <w:bCs/>
          <w:color w:val="auto"/>
          <w:sz w:val="24"/>
          <w:szCs w:val="24"/>
          <w:highlight w:val="none"/>
          <w:u w:val="single"/>
          <w:lang w:eastAsia="zh-CN"/>
        </w:rPr>
        <w:t>（如物价波动及政策性调整等）</w:t>
      </w:r>
      <w:r>
        <w:rPr>
          <w:rFonts w:hint="eastAsia" w:ascii="宋体" w:hAnsi="宋体"/>
          <w:b/>
          <w:bCs/>
          <w:color w:val="auto"/>
          <w:sz w:val="24"/>
          <w:szCs w:val="24"/>
          <w:highlight w:val="none"/>
          <w:u w:val="single"/>
        </w:rPr>
        <w:t>均不予调整</w:t>
      </w:r>
      <w:r>
        <w:rPr>
          <w:rFonts w:hint="eastAsia" w:ascii="宋体" w:hAnsi="宋体"/>
          <w:b/>
          <w:bCs/>
          <w:color w:val="auto"/>
          <w:sz w:val="24"/>
          <w:szCs w:val="24"/>
          <w:highlight w:val="none"/>
          <w:u w:val="single"/>
          <w:lang w:eastAsia="zh-CN"/>
        </w:rPr>
        <w:t>合同价。</w:t>
      </w:r>
      <w:r>
        <w:rPr>
          <w:rFonts w:hint="eastAsia" w:ascii="宋体" w:hAnsi="宋体"/>
          <w:b/>
          <w:bCs/>
          <w:color w:val="auto"/>
          <w:sz w:val="24"/>
          <w:szCs w:val="24"/>
          <w:highlight w:val="none"/>
          <w:u w:val="single"/>
        </w:rPr>
        <w:t>单个子目清单招标工程量与招标图纸造价偏差超过±</w:t>
      </w:r>
      <w:r>
        <w:rPr>
          <w:rFonts w:hint="eastAsia" w:ascii="宋体" w:hAnsi="宋体"/>
          <w:b/>
          <w:bCs/>
          <w:color w:val="auto"/>
          <w:sz w:val="24"/>
          <w:szCs w:val="24"/>
          <w:highlight w:val="none"/>
          <w:u w:val="single"/>
          <w:lang w:val="en-US" w:eastAsia="zh-CN"/>
        </w:rPr>
        <w:t>0.5</w:t>
      </w:r>
      <w:r>
        <w:rPr>
          <w:rFonts w:hint="eastAsia" w:ascii="宋体" w:hAnsi="宋体"/>
          <w:b/>
          <w:bCs/>
          <w:color w:val="auto"/>
          <w:sz w:val="24"/>
          <w:szCs w:val="24"/>
          <w:highlight w:val="none"/>
          <w:u w:val="single"/>
        </w:rPr>
        <w:t>万元</w:t>
      </w:r>
      <w:r>
        <w:rPr>
          <w:rFonts w:hint="eastAsia" w:ascii="宋体" w:hAnsi="宋体"/>
          <w:b/>
          <w:bCs/>
          <w:color w:val="auto"/>
          <w:sz w:val="24"/>
          <w:szCs w:val="24"/>
          <w:highlight w:val="none"/>
          <w:u w:val="single"/>
          <w:lang w:eastAsia="zh-CN"/>
        </w:rPr>
        <w:t>的，</w:t>
      </w:r>
      <w:r>
        <w:rPr>
          <w:rFonts w:hint="eastAsia" w:ascii="宋体" w:hAnsi="宋体"/>
          <w:b/>
          <w:bCs/>
          <w:color w:val="auto"/>
          <w:sz w:val="24"/>
          <w:szCs w:val="24"/>
          <w:highlight w:val="none"/>
          <w:u w:val="single"/>
        </w:rPr>
        <w:t>由承包人在合同签订后</w:t>
      </w:r>
      <w:r>
        <w:rPr>
          <w:rFonts w:hint="eastAsia" w:ascii="宋体" w:hAnsi="宋体"/>
          <w:b/>
          <w:bCs/>
          <w:color w:val="auto"/>
          <w:sz w:val="24"/>
          <w:szCs w:val="24"/>
          <w:highlight w:val="none"/>
          <w:u w:val="single"/>
          <w:lang w:val="en-US" w:eastAsia="zh-CN"/>
        </w:rPr>
        <w:t>15</w:t>
      </w:r>
      <w:r>
        <w:rPr>
          <w:rFonts w:hint="eastAsia" w:ascii="宋体" w:hAnsi="宋体"/>
          <w:b/>
          <w:bCs/>
          <w:color w:val="auto"/>
          <w:sz w:val="24"/>
          <w:szCs w:val="24"/>
          <w:highlight w:val="none"/>
          <w:u w:val="single"/>
        </w:rPr>
        <w:t>日历天内以公司红头文件上报</w:t>
      </w:r>
      <w:r>
        <w:rPr>
          <w:rFonts w:hint="eastAsia" w:ascii="宋体" w:hAnsi="宋体"/>
          <w:b/>
          <w:bCs/>
          <w:color w:val="auto"/>
          <w:sz w:val="24"/>
          <w:szCs w:val="24"/>
          <w:highlight w:val="none"/>
          <w:u w:val="single"/>
          <w:lang w:eastAsia="zh-CN"/>
        </w:rPr>
        <w:t>发包人</w:t>
      </w:r>
      <w:r>
        <w:rPr>
          <w:rFonts w:hint="eastAsia" w:ascii="宋体" w:hAnsi="宋体"/>
          <w:b/>
          <w:bCs/>
          <w:color w:val="auto"/>
          <w:sz w:val="24"/>
          <w:szCs w:val="24"/>
          <w:highlight w:val="none"/>
          <w:u w:val="single"/>
        </w:rPr>
        <w:t>，经与</w:t>
      </w:r>
      <w:r>
        <w:rPr>
          <w:rFonts w:hint="eastAsia" w:ascii="宋体" w:hAnsi="宋体"/>
          <w:b/>
          <w:bCs/>
          <w:color w:val="auto"/>
          <w:sz w:val="24"/>
          <w:szCs w:val="24"/>
          <w:highlight w:val="none"/>
          <w:u w:val="single"/>
          <w:lang w:eastAsia="zh-CN"/>
        </w:rPr>
        <w:t>造价咨询</w:t>
      </w:r>
      <w:r>
        <w:rPr>
          <w:rFonts w:hint="eastAsia" w:ascii="宋体" w:hAnsi="宋体"/>
          <w:b/>
          <w:bCs/>
          <w:color w:val="auto"/>
          <w:sz w:val="24"/>
          <w:szCs w:val="24"/>
          <w:highlight w:val="none"/>
          <w:u w:val="single"/>
        </w:rPr>
        <w:t>单位核对</w:t>
      </w:r>
      <w:r>
        <w:rPr>
          <w:rFonts w:hint="eastAsia" w:ascii="宋体" w:hAnsi="宋体"/>
          <w:b/>
          <w:bCs/>
          <w:color w:val="auto"/>
          <w:sz w:val="24"/>
          <w:szCs w:val="24"/>
          <w:highlight w:val="none"/>
          <w:u w:val="single"/>
          <w:lang w:eastAsia="zh-CN"/>
        </w:rPr>
        <w:t>后</w:t>
      </w:r>
      <w:r>
        <w:rPr>
          <w:rFonts w:hint="eastAsia" w:ascii="宋体" w:hAnsi="宋体"/>
          <w:b/>
          <w:bCs/>
          <w:color w:val="auto"/>
          <w:sz w:val="24"/>
          <w:szCs w:val="24"/>
          <w:highlight w:val="none"/>
          <w:u w:val="single"/>
        </w:rPr>
        <w:t>据实调整。</w:t>
      </w:r>
      <w:r>
        <w:rPr>
          <w:rFonts w:hint="eastAsia" w:ascii="宋体" w:hAnsi="宋体"/>
          <w:b/>
          <w:bCs/>
          <w:color w:val="auto"/>
          <w:sz w:val="24"/>
          <w:szCs w:val="24"/>
          <w:highlight w:val="none"/>
          <w:u w:val="single"/>
          <w:lang w:eastAsia="zh-CN"/>
        </w:rPr>
        <w:t>根据《中华人民共和国政府采购法》第四十八条规定“</w:t>
      </w:r>
      <w:r>
        <w:rPr>
          <w:rFonts w:hint="eastAsia" w:ascii="宋体" w:hAnsi="宋体"/>
          <w:b/>
          <w:bCs/>
          <w:color w:val="auto"/>
          <w:sz w:val="24"/>
          <w:szCs w:val="24"/>
          <w:highlight w:val="none"/>
          <w:u w:val="single"/>
        </w:rPr>
        <w:t>政府采购合同履行中，采购人需追加与合同标的相同的货物、工程或者服务的，在不改变合同其他条款的前提下，可以与供应商协商签订补充合同，但所有补充合同的采购金额不得超过原合同采购金额的百分之十</w:t>
      </w:r>
      <w:r>
        <w:rPr>
          <w:rFonts w:hint="eastAsia" w:ascii="宋体" w:hAnsi="宋体"/>
          <w:b/>
          <w:bCs/>
          <w:color w:val="auto"/>
          <w:sz w:val="24"/>
          <w:szCs w:val="24"/>
          <w:highlight w:val="none"/>
          <w:u w:val="single"/>
          <w:lang w:eastAsia="zh-CN"/>
        </w:rPr>
        <w:t>且原合同</w:t>
      </w:r>
      <w:r>
        <w:rPr>
          <w:rFonts w:hint="eastAsia" w:ascii="宋体" w:hAnsi="宋体"/>
          <w:b/>
          <w:bCs/>
          <w:color w:val="auto"/>
          <w:sz w:val="24"/>
          <w:szCs w:val="24"/>
          <w:highlight w:val="none"/>
          <w:u w:val="single"/>
        </w:rPr>
        <w:t>采购</w:t>
      </w:r>
      <w:r>
        <w:rPr>
          <w:rFonts w:hint="eastAsia" w:ascii="宋体" w:hAnsi="宋体"/>
          <w:b/>
          <w:bCs/>
          <w:color w:val="auto"/>
          <w:sz w:val="24"/>
          <w:szCs w:val="24"/>
          <w:highlight w:val="none"/>
          <w:u w:val="single"/>
          <w:lang w:eastAsia="zh-CN"/>
        </w:rPr>
        <w:t>金额与补充合同金额之和不超过采购预算金额”</w:t>
      </w:r>
      <w:r>
        <w:rPr>
          <w:rFonts w:hint="eastAsia"/>
          <w:b/>
          <w:bCs/>
          <w:color w:val="auto"/>
          <w:sz w:val="24"/>
          <w:szCs w:val="24"/>
          <w:highlight w:val="none"/>
          <w:u w:val="single"/>
          <w:lang w:eastAsia="zh-CN"/>
        </w:rPr>
        <w:t>。</w:t>
      </w:r>
    </w:p>
    <w:p w14:paraId="0C1FF4B4">
      <w:pPr>
        <w:spacing w:line="360" w:lineRule="auto"/>
        <w:rPr>
          <w:rFonts w:ascii="宋体" w:hAnsi="宋体"/>
          <w:color w:val="auto"/>
          <w:sz w:val="24"/>
          <w:szCs w:val="24"/>
          <w:highlight w:val="none"/>
        </w:rPr>
      </w:pPr>
      <w:r>
        <w:rPr>
          <w:rFonts w:ascii="宋体" w:hAnsi="宋体"/>
          <w:color w:val="auto"/>
          <w:sz w:val="24"/>
          <w:szCs w:val="24"/>
          <w:highlight w:val="none"/>
        </w:rPr>
        <w:t xml:space="preserve">12  </w:t>
      </w:r>
      <w:r>
        <w:rPr>
          <w:rFonts w:hint="eastAsia" w:ascii="宋体" w:hAnsi="宋体"/>
          <w:color w:val="auto"/>
          <w:sz w:val="24"/>
          <w:szCs w:val="24"/>
          <w:highlight w:val="none"/>
        </w:rPr>
        <w:t>合同价格、计量与支付</w:t>
      </w:r>
    </w:p>
    <w:p w14:paraId="03DA48C1">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12.1  </w:t>
      </w:r>
      <w:r>
        <w:rPr>
          <w:rFonts w:hint="eastAsia" w:ascii="宋体" w:hAnsi="宋体"/>
          <w:color w:val="auto"/>
          <w:sz w:val="24"/>
          <w:szCs w:val="24"/>
          <w:highlight w:val="none"/>
        </w:rPr>
        <w:t>合同价格形式</w:t>
      </w:r>
    </w:p>
    <w:p w14:paraId="058A7F67">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、单价合同。</w:t>
      </w:r>
    </w:p>
    <w:p w14:paraId="513A6C0C">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综合单价包含的风险范围：</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w:t>
      </w:r>
    </w:p>
    <w:p w14:paraId="31BAB418">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风险费用的计算方法：</w:t>
      </w:r>
      <w:r>
        <w:rPr>
          <w:rFonts w:hint="eastAsia" w:ascii="宋体" w:hAnsi="宋体"/>
          <w:color w:val="auto"/>
          <w:sz w:val="24"/>
          <w:szCs w:val="24"/>
          <w:highlight w:val="none"/>
          <w:u w:val="single"/>
        </w:rPr>
        <w:t>///</w:t>
      </w:r>
      <w:r>
        <w:rPr>
          <w:rFonts w:hint="eastAsia" w:ascii="宋体" w:hAnsi="宋体"/>
          <w:color w:val="auto"/>
          <w:sz w:val="24"/>
          <w:szCs w:val="24"/>
          <w:highlight w:val="none"/>
        </w:rPr>
        <w:t>。</w:t>
      </w:r>
    </w:p>
    <w:p w14:paraId="58BFFCED">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风险范围以外合同价格的调整方法：</w:t>
      </w:r>
      <w:r>
        <w:rPr>
          <w:rFonts w:hint="eastAsia" w:ascii="宋体" w:hAnsi="宋体"/>
          <w:color w:val="auto"/>
          <w:sz w:val="24"/>
          <w:szCs w:val="24"/>
          <w:highlight w:val="none"/>
          <w:u w:val="single"/>
        </w:rPr>
        <w:t>///</w:t>
      </w:r>
      <w:r>
        <w:rPr>
          <w:rFonts w:hint="eastAsia" w:ascii="宋体" w:hAnsi="宋体"/>
          <w:color w:val="auto"/>
          <w:sz w:val="24"/>
          <w:szCs w:val="24"/>
          <w:highlight w:val="none"/>
        </w:rPr>
        <w:t>。</w:t>
      </w:r>
    </w:p>
    <w:p w14:paraId="04D2AED5">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2</w:t>
      </w:r>
      <w:r>
        <w:rPr>
          <w:rFonts w:hint="eastAsia" w:ascii="宋体" w:hAnsi="宋体"/>
          <w:color w:val="auto"/>
          <w:sz w:val="24"/>
          <w:szCs w:val="24"/>
          <w:highlight w:val="none"/>
        </w:rPr>
        <w:t>、总价合同。</w:t>
      </w:r>
    </w:p>
    <w:p w14:paraId="398A3B24">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总价包含的风险范围：</w:t>
      </w:r>
      <w:r>
        <w:rPr>
          <w:rFonts w:hint="eastAsia" w:ascii="宋体" w:hAnsi="宋体"/>
          <w:color w:val="auto"/>
          <w:sz w:val="24"/>
          <w:szCs w:val="24"/>
          <w:highlight w:val="none"/>
          <w:u w:val="single"/>
        </w:rPr>
        <w:t>所有风险</w:t>
      </w:r>
      <w:r>
        <w:rPr>
          <w:rFonts w:hint="eastAsia" w:ascii="宋体" w:hAnsi="宋体"/>
          <w:color w:val="auto"/>
          <w:sz w:val="24"/>
          <w:szCs w:val="24"/>
          <w:highlight w:val="none"/>
        </w:rPr>
        <w:t>。</w:t>
      </w:r>
    </w:p>
    <w:p w14:paraId="036CC9FE">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风险费用的计算方法：</w:t>
      </w:r>
      <w:r>
        <w:rPr>
          <w:rFonts w:hint="eastAsia" w:ascii="宋体" w:hAnsi="宋体"/>
          <w:color w:val="auto"/>
          <w:sz w:val="24"/>
          <w:szCs w:val="24"/>
          <w:highlight w:val="none"/>
          <w:u w:val="single"/>
        </w:rPr>
        <w:t>按上述规定</w:t>
      </w:r>
      <w:r>
        <w:rPr>
          <w:rFonts w:hint="eastAsia" w:ascii="宋体" w:hAnsi="宋体"/>
          <w:color w:val="auto"/>
          <w:sz w:val="24"/>
          <w:szCs w:val="24"/>
          <w:highlight w:val="none"/>
        </w:rPr>
        <w:t>。</w:t>
      </w:r>
    </w:p>
    <w:p w14:paraId="39F8ABF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风险范围以外合同价格的调整方法：</w:t>
      </w:r>
      <w:r>
        <w:rPr>
          <w:rFonts w:hint="eastAsia" w:ascii="宋体" w:hAnsi="宋体"/>
          <w:color w:val="auto"/>
          <w:sz w:val="24"/>
          <w:szCs w:val="24"/>
          <w:highlight w:val="none"/>
          <w:u w:val="single"/>
        </w:rPr>
        <w:t xml:space="preserve"> 无</w:t>
      </w:r>
      <w:r>
        <w:rPr>
          <w:rFonts w:hint="eastAsia" w:ascii="宋体" w:hAnsi="宋体"/>
          <w:color w:val="auto"/>
          <w:sz w:val="24"/>
          <w:szCs w:val="24"/>
          <w:highlight w:val="none"/>
        </w:rPr>
        <w:t>。</w:t>
      </w:r>
    </w:p>
    <w:p w14:paraId="0D15EA1A">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3</w:t>
      </w:r>
      <w:r>
        <w:rPr>
          <w:rFonts w:hint="eastAsia" w:ascii="宋体" w:hAnsi="宋体"/>
          <w:color w:val="auto"/>
          <w:sz w:val="24"/>
          <w:szCs w:val="24"/>
          <w:highlight w:val="none"/>
        </w:rPr>
        <w:t>、其他价格方式：</w:t>
      </w:r>
      <w:r>
        <w:rPr>
          <w:rFonts w:hint="eastAsia" w:ascii="宋体" w:hAnsi="宋体"/>
          <w:color w:val="auto"/>
          <w:sz w:val="24"/>
          <w:szCs w:val="24"/>
          <w:highlight w:val="none"/>
          <w:u w:val="single"/>
        </w:rPr>
        <w:t>/</w:t>
      </w:r>
      <w:r>
        <w:rPr>
          <w:rFonts w:hint="eastAsia" w:ascii="宋体" w:hAnsi="宋体"/>
          <w:color w:val="auto"/>
          <w:sz w:val="24"/>
          <w:szCs w:val="24"/>
          <w:highlight w:val="none"/>
        </w:rPr>
        <w:t>。</w:t>
      </w:r>
    </w:p>
    <w:p w14:paraId="40572418">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12.2  </w:t>
      </w:r>
      <w:r>
        <w:rPr>
          <w:rFonts w:hint="eastAsia" w:ascii="宋体" w:hAnsi="宋体"/>
          <w:color w:val="auto"/>
          <w:sz w:val="24"/>
          <w:szCs w:val="24"/>
          <w:highlight w:val="none"/>
        </w:rPr>
        <w:t>预付款</w:t>
      </w:r>
    </w:p>
    <w:p w14:paraId="12E69AE5">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12.2.1 </w:t>
      </w:r>
      <w:r>
        <w:rPr>
          <w:rFonts w:hint="eastAsia" w:ascii="宋体" w:hAnsi="宋体"/>
          <w:color w:val="auto"/>
          <w:sz w:val="24"/>
          <w:szCs w:val="24"/>
          <w:highlight w:val="none"/>
        </w:rPr>
        <w:t xml:space="preserve"> 预付款的支付</w:t>
      </w:r>
    </w:p>
    <w:p w14:paraId="107891B6">
      <w:pPr>
        <w:spacing w:line="360" w:lineRule="auto"/>
        <w:ind w:firstLine="426" w:firstLineChars="177"/>
        <w:rPr>
          <w:rFonts w:hint="eastAsia" w:ascii="宋体" w:hAnsi="宋体" w:eastAsia="宋体"/>
          <w:b/>
          <w:bCs/>
          <w:color w:val="auto"/>
          <w:sz w:val="24"/>
          <w:szCs w:val="24"/>
          <w:highlight w:val="none"/>
          <w:lang w:eastAsia="zh-CN"/>
        </w:rPr>
      </w:pPr>
      <w:r>
        <w:rPr>
          <w:rFonts w:hint="eastAsia" w:ascii="宋体" w:hAnsi="宋体"/>
          <w:b/>
          <w:bCs/>
          <w:color w:val="auto"/>
          <w:sz w:val="24"/>
          <w:szCs w:val="24"/>
          <w:highlight w:val="none"/>
        </w:rPr>
        <w:t>预付款支付比例或金额：</w:t>
      </w:r>
      <w:r>
        <w:rPr>
          <w:rFonts w:hint="eastAsia" w:ascii="宋体" w:hAnsi="宋体"/>
          <w:b/>
          <w:bCs/>
          <w:color w:val="auto"/>
          <w:sz w:val="24"/>
          <w:szCs w:val="24"/>
          <w:highlight w:val="none"/>
          <w:u w:val="single"/>
          <w:lang w:val="en-US" w:eastAsia="zh-CN"/>
        </w:rPr>
        <w:t xml:space="preserve">      </w:t>
      </w:r>
      <w:r>
        <w:rPr>
          <w:rFonts w:hint="eastAsia" w:ascii="宋体" w:hAnsi="宋体"/>
          <w:b/>
          <w:bCs/>
          <w:color w:val="auto"/>
          <w:sz w:val="24"/>
          <w:szCs w:val="24"/>
          <w:highlight w:val="none"/>
          <w:u w:val="single"/>
          <w:lang w:eastAsia="zh-CN"/>
        </w:rPr>
        <w:t>；</w:t>
      </w:r>
    </w:p>
    <w:p w14:paraId="62EFF8F0">
      <w:pPr>
        <w:spacing w:line="360" w:lineRule="auto"/>
        <w:ind w:left="420" w:leftChars="200"/>
        <w:rPr>
          <w:rFonts w:ascii="宋体" w:hAnsi="宋体"/>
          <w:b/>
          <w:bCs/>
          <w:color w:val="auto"/>
          <w:sz w:val="24"/>
          <w:szCs w:val="24"/>
          <w:highlight w:val="none"/>
          <w:u w:val="single"/>
        </w:rPr>
      </w:pPr>
      <w:r>
        <w:rPr>
          <w:rFonts w:hint="eastAsia" w:ascii="宋体" w:hAnsi="宋体"/>
          <w:b/>
          <w:bCs/>
          <w:color w:val="auto"/>
          <w:sz w:val="24"/>
          <w:szCs w:val="24"/>
          <w:highlight w:val="none"/>
        </w:rPr>
        <w:t>预付款担保办理期限：</w:t>
      </w:r>
      <w:r>
        <w:rPr>
          <w:rFonts w:hint="eastAsia" w:ascii="宋体" w:hAnsi="宋体"/>
          <w:b/>
          <w:bCs/>
          <w:color w:val="auto"/>
          <w:sz w:val="24"/>
          <w:szCs w:val="24"/>
          <w:highlight w:val="none"/>
          <w:u w:val="single"/>
          <w:lang w:val="en-US" w:eastAsia="zh-CN"/>
        </w:rPr>
        <w:t>//</w:t>
      </w:r>
      <w:r>
        <w:rPr>
          <w:rFonts w:hint="eastAsia" w:ascii="宋体" w:hAnsi="宋体"/>
          <w:b/>
          <w:bCs/>
          <w:color w:val="auto"/>
          <w:sz w:val="24"/>
          <w:szCs w:val="24"/>
          <w:highlight w:val="none"/>
          <w:u w:val="single"/>
          <w:lang w:eastAsia="zh-CN"/>
        </w:rPr>
        <w:t>；</w:t>
      </w:r>
    </w:p>
    <w:p w14:paraId="41AD3F7C">
      <w:pPr>
        <w:spacing w:line="360" w:lineRule="auto"/>
        <w:ind w:firstLine="482" w:firstLineChars="200"/>
        <w:rPr>
          <w:rFonts w:hint="eastAsia" w:ascii="宋体" w:hAnsi="宋体" w:eastAsia="宋体"/>
          <w:b/>
          <w:bCs/>
          <w:i/>
          <w:iCs/>
          <w:color w:val="auto"/>
          <w:sz w:val="24"/>
          <w:szCs w:val="24"/>
          <w:highlight w:val="none"/>
          <w:lang w:eastAsia="zh-CN"/>
        </w:rPr>
      </w:pPr>
      <w:r>
        <w:rPr>
          <w:rFonts w:hint="eastAsia" w:ascii="宋体" w:hAnsi="宋体"/>
          <w:b/>
          <w:bCs/>
          <w:i/>
          <w:iCs/>
          <w:color w:val="auto"/>
          <w:sz w:val="24"/>
          <w:szCs w:val="24"/>
          <w:highlight w:val="none"/>
        </w:rPr>
        <w:t>预付款支付期限：</w:t>
      </w:r>
      <w:r>
        <w:rPr>
          <w:rFonts w:hint="eastAsia" w:ascii="宋体" w:hAnsi="宋体"/>
          <w:b/>
          <w:bCs/>
          <w:i/>
          <w:iCs/>
          <w:color w:val="auto"/>
          <w:sz w:val="24"/>
          <w:szCs w:val="24"/>
          <w:highlight w:val="none"/>
          <w:u w:val="single"/>
          <w:lang w:eastAsia="zh-CN"/>
        </w:rPr>
        <w:t>合同签订后支付</w:t>
      </w:r>
      <w:r>
        <w:rPr>
          <w:rFonts w:hint="eastAsia" w:ascii="宋体" w:hAnsi="宋体"/>
          <w:b/>
          <w:bCs/>
          <w:i/>
          <w:iCs/>
          <w:color w:val="auto"/>
          <w:sz w:val="24"/>
          <w:szCs w:val="24"/>
          <w:highlight w:val="none"/>
          <w:u w:val="single"/>
        </w:rPr>
        <w:t xml:space="preserve"> </w:t>
      </w:r>
      <w:r>
        <w:rPr>
          <w:rFonts w:hint="eastAsia" w:ascii="宋体" w:hAnsi="宋体"/>
          <w:b/>
          <w:bCs/>
          <w:i/>
          <w:iCs/>
          <w:color w:val="auto"/>
          <w:sz w:val="24"/>
          <w:szCs w:val="24"/>
          <w:highlight w:val="none"/>
          <w:u w:val="single"/>
          <w:lang w:eastAsia="zh-CN"/>
        </w:rPr>
        <w:t>；</w:t>
      </w:r>
    </w:p>
    <w:p w14:paraId="2A3B8150">
      <w:pPr>
        <w:pStyle w:val="12"/>
        <w:spacing w:line="360" w:lineRule="auto"/>
        <w:ind w:firstLine="482" w:firstLineChars="200"/>
        <w:rPr>
          <w:b/>
          <w:bCs/>
          <w:color w:val="auto"/>
        </w:rPr>
      </w:pPr>
      <w:r>
        <w:rPr>
          <w:rFonts w:hint="eastAsia" w:ascii="宋体" w:hAnsi="宋体" w:eastAsia="宋体" w:cs="Times New Roman"/>
          <w:b/>
          <w:bCs/>
          <w:i/>
          <w:iCs/>
          <w:color w:val="auto"/>
          <w:kern w:val="2"/>
          <w:sz w:val="24"/>
          <w:szCs w:val="24"/>
          <w:highlight w:val="none"/>
          <w:lang w:val="en-US" w:eastAsia="zh-CN" w:bidi="ar-SA"/>
        </w:rPr>
        <w:t>预付款起扣点=</w:t>
      </w:r>
      <w:r>
        <w:rPr>
          <w:rFonts w:hint="eastAsia" w:ascii="宋体" w:hAnsi="宋体" w:eastAsia="宋体" w:cs="Times New Roman"/>
          <w:b/>
          <w:bCs/>
          <w:i/>
          <w:iCs/>
          <w:color w:val="auto"/>
          <w:kern w:val="2"/>
          <w:sz w:val="24"/>
          <w:szCs w:val="24"/>
          <w:highlight w:val="none"/>
          <w:u w:val="single"/>
          <w:lang w:val="en-US" w:eastAsia="zh-CN" w:bidi="ar-SA"/>
        </w:rPr>
        <w:t>（合同总价</w:t>
      </w:r>
      <w:r>
        <w:rPr>
          <w:rFonts w:hint="default" w:ascii="宋体" w:hAnsi="宋体" w:eastAsia="宋体" w:cs="Times New Roman"/>
          <w:b/>
          <w:bCs/>
          <w:i/>
          <w:iCs/>
          <w:color w:val="auto"/>
          <w:kern w:val="2"/>
          <w:sz w:val="24"/>
          <w:szCs w:val="24"/>
          <w:highlight w:val="none"/>
          <w:u w:val="single"/>
          <w:lang w:val="en-US" w:eastAsia="zh-CN" w:bidi="ar-SA"/>
        </w:rPr>
        <w:t>-</w:t>
      </w:r>
      <w:r>
        <w:rPr>
          <w:rFonts w:hint="eastAsia" w:ascii="宋体" w:hAnsi="宋体" w:eastAsia="宋体" w:cs="Times New Roman"/>
          <w:b/>
          <w:bCs/>
          <w:i/>
          <w:iCs/>
          <w:color w:val="auto"/>
          <w:kern w:val="2"/>
          <w:sz w:val="24"/>
          <w:szCs w:val="24"/>
          <w:highlight w:val="none"/>
          <w:u w:val="single"/>
          <w:lang w:val="en-US" w:eastAsia="zh-CN" w:bidi="ar-SA"/>
        </w:rPr>
        <w:t>预付款</w:t>
      </w:r>
      <w:r>
        <w:rPr>
          <w:rFonts w:hint="eastAsia" w:ascii="宋体" w:hAnsi="宋体" w:eastAsia="宋体" w:cs="Times New Roman"/>
          <w:b/>
          <w:bCs/>
          <w:color w:val="auto"/>
          <w:kern w:val="2"/>
          <w:sz w:val="24"/>
          <w:szCs w:val="24"/>
          <w:highlight w:val="none"/>
          <w:u w:val="single"/>
          <w:lang w:val="en-US" w:eastAsia="zh-CN" w:bidi="ar-SA"/>
        </w:rPr>
        <w:t>金额</w:t>
      </w:r>
      <w:r>
        <w:rPr>
          <w:rFonts w:hint="default" w:ascii="宋体" w:hAnsi="宋体" w:eastAsia="宋体" w:cs="Times New Roman"/>
          <w:b/>
          <w:bCs/>
          <w:color w:val="auto"/>
          <w:kern w:val="2"/>
          <w:sz w:val="24"/>
          <w:szCs w:val="24"/>
          <w:highlight w:val="none"/>
          <w:u w:val="single"/>
          <w:lang w:val="en-US" w:eastAsia="zh-CN" w:bidi="ar-SA"/>
        </w:rPr>
        <w:t>/</w:t>
      </w:r>
      <w:r>
        <w:rPr>
          <w:rFonts w:hint="eastAsia" w:ascii="宋体" w:hAnsi="宋体" w:eastAsia="宋体" w:cs="Times New Roman"/>
          <w:b/>
          <w:bCs/>
          <w:color w:val="auto"/>
          <w:kern w:val="2"/>
          <w:sz w:val="24"/>
          <w:szCs w:val="24"/>
          <w:highlight w:val="none"/>
          <w:u w:val="single"/>
          <w:lang w:val="en-US" w:eastAsia="zh-CN" w:bidi="ar-SA"/>
        </w:rPr>
        <w:t>主要材料及设备占比</w:t>
      </w:r>
      <w:r>
        <w:rPr>
          <w:rFonts w:hint="eastAsia" w:ascii="宋体" w:hAnsi="宋体" w:cs="Times New Roman"/>
          <w:b/>
          <w:bCs/>
          <w:color w:val="auto"/>
          <w:kern w:val="2"/>
          <w:sz w:val="24"/>
          <w:szCs w:val="24"/>
          <w:highlight w:val="none"/>
          <w:u w:val="single"/>
          <w:lang w:val="en-US" w:eastAsia="zh-CN" w:bidi="ar-SA"/>
        </w:rPr>
        <w:t>*80%</w:t>
      </w:r>
      <w:r>
        <w:rPr>
          <w:rFonts w:hint="eastAsia" w:ascii="宋体" w:hAnsi="宋体" w:eastAsia="宋体" w:cs="Times New Roman"/>
          <w:b/>
          <w:bCs/>
          <w:color w:val="auto"/>
          <w:kern w:val="2"/>
          <w:sz w:val="24"/>
          <w:szCs w:val="24"/>
          <w:highlight w:val="none"/>
          <w:u w:val="single"/>
          <w:lang w:val="en-US" w:eastAsia="zh-CN" w:bidi="ar-SA"/>
        </w:rPr>
        <w:t>），预付款扣留方式为</w:t>
      </w:r>
      <w:r>
        <w:rPr>
          <w:rFonts w:hint="eastAsia" w:ascii="宋体" w:hAnsi="宋体" w:cs="Times New Roman"/>
          <w:b/>
          <w:bCs/>
          <w:color w:val="auto"/>
          <w:kern w:val="2"/>
          <w:sz w:val="24"/>
          <w:szCs w:val="24"/>
          <w:highlight w:val="none"/>
          <w:u w:val="single"/>
          <w:lang w:val="en-US" w:eastAsia="zh-CN" w:bidi="ar-SA"/>
        </w:rPr>
        <w:t>达到起扣点后</w:t>
      </w:r>
      <w:r>
        <w:rPr>
          <w:rFonts w:hint="eastAsia" w:ascii="宋体" w:hAnsi="宋体" w:eastAsia="宋体" w:cs="Times New Roman"/>
          <w:b/>
          <w:bCs/>
          <w:color w:val="auto"/>
          <w:kern w:val="2"/>
          <w:sz w:val="24"/>
          <w:szCs w:val="24"/>
          <w:highlight w:val="none"/>
          <w:u w:val="single"/>
          <w:lang w:val="en-US" w:eastAsia="zh-CN" w:bidi="ar-SA"/>
        </w:rPr>
        <w:t>从每次</w:t>
      </w:r>
      <w:r>
        <w:rPr>
          <w:rFonts w:hint="eastAsia" w:ascii="宋体" w:hAnsi="宋体" w:cs="Times New Roman"/>
          <w:b/>
          <w:bCs/>
          <w:color w:val="auto"/>
          <w:kern w:val="2"/>
          <w:sz w:val="24"/>
          <w:szCs w:val="24"/>
          <w:highlight w:val="none"/>
          <w:u w:val="single"/>
          <w:lang w:val="en-US" w:eastAsia="zh-CN" w:bidi="ar-SA"/>
        </w:rPr>
        <w:t>进度</w:t>
      </w:r>
      <w:r>
        <w:rPr>
          <w:rFonts w:hint="eastAsia" w:ascii="宋体" w:hAnsi="宋体" w:eastAsia="宋体" w:cs="Times New Roman"/>
          <w:b/>
          <w:bCs/>
          <w:color w:val="auto"/>
          <w:kern w:val="2"/>
          <w:sz w:val="24"/>
          <w:szCs w:val="24"/>
          <w:highlight w:val="none"/>
          <w:u w:val="single"/>
          <w:lang w:val="en-US" w:eastAsia="zh-CN" w:bidi="ar-SA"/>
        </w:rPr>
        <w:t>工程价款中按材料及构件比重扣</w:t>
      </w:r>
      <w:r>
        <w:rPr>
          <w:rFonts w:hint="eastAsia" w:ascii="宋体" w:hAnsi="宋体" w:cs="Times New Roman"/>
          <w:b/>
          <w:bCs/>
          <w:color w:val="auto"/>
          <w:kern w:val="2"/>
          <w:sz w:val="24"/>
          <w:szCs w:val="24"/>
          <w:highlight w:val="none"/>
          <w:u w:val="single"/>
          <w:lang w:val="en-US" w:eastAsia="zh-CN" w:bidi="ar-SA"/>
        </w:rPr>
        <w:t>回</w:t>
      </w:r>
      <w:r>
        <w:rPr>
          <w:rFonts w:hint="eastAsia" w:ascii="宋体" w:hAnsi="宋体" w:eastAsia="宋体" w:cs="Times New Roman"/>
          <w:b/>
          <w:bCs/>
          <w:color w:val="auto"/>
          <w:kern w:val="2"/>
          <w:sz w:val="24"/>
          <w:szCs w:val="24"/>
          <w:highlight w:val="none"/>
          <w:u w:val="single"/>
          <w:lang w:val="en-US" w:eastAsia="zh-CN" w:bidi="ar-SA"/>
        </w:rPr>
        <w:t>工程预付款，至竣工之前全部扣清</w:t>
      </w:r>
      <w:r>
        <w:rPr>
          <w:rFonts w:hint="eastAsia" w:ascii="宋体" w:hAnsi="宋体" w:cs="Times New Roman"/>
          <w:b/>
          <w:bCs/>
          <w:color w:val="auto"/>
          <w:kern w:val="2"/>
          <w:sz w:val="24"/>
          <w:szCs w:val="24"/>
          <w:highlight w:val="none"/>
          <w:u w:val="single"/>
          <w:lang w:val="en-US" w:eastAsia="zh-CN" w:bidi="ar-SA"/>
        </w:rPr>
        <w:t>。</w:t>
      </w:r>
    </w:p>
    <w:p w14:paraId="5EE6C3C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12.3  </w:t>
      </w:r>
      <w:r>
        <w:rPr>
          <w:rFonts w:hint="eastAsia" w:ascii="宋体" w:hAnsi="宋体"/>
          <w:color w:val="auto"/>
          <w:sz w:val="24"/>
          <w:szCs w:val="24"/>
          <w:highlight w:val="none"/>
        </w:rPr>
        <w:t>计量</w:t>
      </w:r>
    </w:p>
    <w:p w14:paraId="1250EAC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12.3.1 </w:t>
      </w:r>
      <w:r>
        <w:rPr>
          <w:rFonts w:hint="eastAsia" w:ascii="宋体" w:hAnsi="宋体"/>
          <w:color w:val="auto"/>
          <w:sz w:val="24"/>
          <w:szCs w:val="24"/>
          <w:highlight w:val="none"/>
        </w:rPr>
        <w:t xml:space="preserve"> 计量原则</w:t>
      </w:r>
    </w:p>
    <w:p w14:paraId="3BBF4D02">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工程量计算规则：</w:t>
      </w:r>
      <w:r>
        <w:rPr>
          <w:rFonts w:hint="eastAsia" w:ascii="宋体" w:hAnsi="宋体"/>
          <w:color w:val="auto"/>
          <w:sz w:val="24"/>
          <w:szCs w:val="24"/>
          <w:highlight w:val="none"/>
          <w:u w:val="single"/>
        </w:rPr>
        <w:t>按承包人在履行合同义务过程中实际完成的工程量计量；按照现行工程量清单计价规范、现行房屋建筑与装饰工程计算规范、现行通用安装工程工程量计算规范、现行内蒙古自治区建设工程计价依据及相关规定计算</w:t>
      </w:r>
      <w:r>
        <w:rPr>
          <w:rFonts w:hint="eastAsia" w:ascii="宋体" w:hAnsi="宋体"/>
          <w:color w:val="auto"/>
          <w:sz w:val="24"/>
          <w:szCs w:val="24"/>
          <w:highlight w:val="none"/>
        </w:rPr>
        <w:t>。</w:t>
      </w:r>
    </w:p>
    <w:p w14:paraId="77AC7F27">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12.3.2 </w:t>
      </w:r>
      <w:r>
        <w:rPr>
          <w:rFonts w:hint="eastAsia" w:ascii="宋体" w:hAnsi="宋体"/>
          <w:color w:val="auto"/>
          <w:sz w:val="24"/>
          <w:szCs w:val="24"/>
          <w:highlight w:val="none"/>
        </w:rPr>
        <w:t xml:space="preserve"> 计量周期</w:t>
      </w:r>
    </w:p>
    <w:p w14:paraId="068A95B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关于计量周期的约定：</w:t>
      </w:r>
      <w:r>
        <w:rPr>
          <w:rFonts w:hint="eastAsia" w:ascii="宋体" w:hAnsi="宋体"/>
          <w:color w:val="auto"/>
          <w:sz w:val="24"/>
          <w:szCs w:val="24"/>
          <w:highlight w:val="none"/>
          <w:u w:val="single"/>
        </w:rPr>
        <w:t>按月进行</w:t>
      </w:r>
      <w:r>
        <w:rPr>
          <w:rFonts w:hint="eastAsia" w:ascii="宋体" w:hAnsi="宋体"/>
          <w:color w:val="auto"/>
          <w:sz w:val="24"/>
          <w:szCs w:val="24"/>
          <w:highlight w:val="none"/>
        </w:rPr>
        <w:t>。</w:t>
      </w:r>
    </w:p>
    <w:p w14:paraId="1A1A2871">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12.3.</w:t>
      </w:r>
      <w:r>
        <w:rPr>
          <w:rFonts w:hint="eastAsia" w:ascii="宋体" w:hAnsi="宋体"/>
          <w:color w:val="auto"/>
          <w:sz w:val="24"/>
          <w:szCs w:val="24"/>
          <w:highlight w:val="none"/>
        </w:rPr>
        <w:t>4</w:t>
      </w:r>
      <w:r>
        <w:rPr>
          <w:rFonts w:ascii="宋体" w:hAnsi="宋体"/>
          <w:color w:val="auto"/>
          <w:sz w:val="24"/>
          <w:szCs w:val="24"/>
          <w:highlight w:val="none"/>
        </w:rPr>
        <w:t xml:space="preserve"> </w:t>
      </w:r>
      <w:r>
        <w:rPr>
          <w:rFonts w:hint="eastAsia" w:ascii="宋体" w:hAnsi="宋体"/>
          <w:color w:val="auto"/>
          <w:sz w:val="24"/>
          <w:szCs w:val="24"/>
          <w:highlight w:val="none"/>
        </w:rPr>
        <w:t xml:space="preserve"> 总价合同的计量</w:t>
      </w:r>
    </w:p>
    <w:p w14:paraId="777951C9">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关于总价合同计量的约定：（具体时间节点及流程执行《</w:t>
      </w:r>
      <w:r>
        <w:rPr>
          <w:rFonts w:hint="eastAsia" w:ascii="宋体" w:hAnsi="宋体" w:cs="宋体"/>
          <w:color w:val="auto"/>
          <w:sz w:val="24"/>
          <w:szCs w:val="24"/>
          <w:highlight w:val="none"/>
        </w:rPr>
        <w:t>鄂尔多斯市政府投资项目代建中心</w:t>
      </w:r>
      <w:r>
        <w:rPr>
          <w:rFonts w:hint="eastAsia" w:ascii="宋体" w:hAnsi="宋体"/>
          <w:color w:val="auto"/>
          <w:sz w:val="24"/>
          <w:szCs w:val="24"/>
          <w:highlight w:val="none"/>
        </w:rPr>
        <w:t>验工计价及进度款支付管理流程》、预算科及项目组规定）</w:t>
      </w:r>
    </w:p>
    <w:p w14:paraId="5D838FD1">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u w:val="single"/>
        </w:rPr>
        <w:t>每月1日由总承包人组织各施工单位、建设单位（由工程管理科、工程设备科、工程预决算科及相关科室现场代表组成）、监理单位共同对上月完成工程的形象进度进行核实，以书面形式《月施工形象进度确认单》三方签字确认作为进度款计价依据（无此确认单不进行当月产值审核）。</w:t>
      </w:r>
    </w:p>
    <w:p w14:paraId="20B1AFEA">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12.4  </w:t>
      </w:r>
      <w:r>
        <w:rPr>
          <w:rFonts w:hint="eastAsia" w:ascii="宋体" w:hAnsi="宋体"/>
          <w:color w:val="auto"/>
          <w:sz w:val="24"/>
          <w:szCs w:val="24"/>
          <w:highlight w:val="none"/>
        </w:rPr>
        <w:t>工程进度款支付</w:t>
      </w:r>
    </w:p>
    <w:p w14:paraId="1C0CCCAA">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12.4.1 </w:t>
      </w:r>
      <w:r>
        <w:rPr>
          <w:rFonts w:hint="eastAsia" w:ascii="宋体" w:hAnsi="宋体"/>
          <w:color w:val="auto"/>
          <w:sz w:val="24"/>
          <w:szCs w:val="24"/>
          <w:highlight w:val="none"/>
        </w:rPr>
        <w:t xml:space="preserve"> 付款周期</w:t>
      </w:r>
    </w:p>
    <w:p w14:paraId="6FA41537">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关于付款周期的约定：</w:t>
      </w:r>
      <w:r>
        <w:rPr>
          <w:rFonts w:hint="eastAsia" w:ascii="宋体" w:hAnsi="宋体"/>
          <w:color w:val="auto"/>
          <w:sz w:val="24"/>
          <w:szCs w:val="24"/>
          <w:highlight w:val="none"/>
          <w:u w:val="single"/>
        </w:rPr>
        <w:t>按月进行</w:t>
      </w:r>
      <w:r>
        <w:rPr>
          <w:rFonts w:hint="eastAsia" w:ascii="宋体" w:hAnsi="宋体"/>
          <w:color w:val="auto"/>
          <w:sz w:val="24"/>
          <w:szCs w:val="24"/>
          <w:highlight w:val="none"/>
        </w:rPr>
        <w:t>。</w:t>
      </w:r>
    </w:p>
    <w:p w14:paraId="6DAC14C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12.4.2 </w:t>
      </w:r>
      <w:r>
        <w:rPr>
          <w:rFonts w:hint="eastAsia" w:ascii="宋体" w:hAnsi="宋体"/>
          <w:color w:val="auto"/>
          <w:sz w:val="24"/>
          <w:szCs w:val="24"/>
          <w:highlight w:val="none"/>
        </w:rPr>
        <w:t xml:space="preserve"> 进度付款申请单的编制</w:t>
      </w:r>
    </w:p>
    <w:p w14:paraId="72DD8BBC">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进度付款申请单的份数：</w:t>
      </w:r>
      <w:r>
        <w:rPr>
          <w:rFonts w:hint="eastAsia" w:ascii="宋体" w:hAnsi="宋体" w:cs="宋体"/>
          <w:color w:val="auto"/>
          <w:sz w:val="24"/>
          <w:szCs w:val="24"/>
          <w:highlight w:val="none"/>
          <w:u w:val="single"/>
        </w:rPr>
        <w:t>四份</w:t>
      </w:r>
      <w:r>
        <w:rPr>
          <w:rFonts w:hint="eastAsia" w:ascii="宋体" w:hAnsi="宋体" w:cs="宋体"/>
          <w:color w:val="auto"/>
          <w:sz w:val="24"/>
          <w:szCs w:val="24"/>
          <w:highlight w:val="none"/>
        </w:rPr>
        <w:t>。</w:t>
      </w:r>
    </w:p>
    <w:p w14:paraId="5FA99680">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关于进度付款申请单编制的约定：</w:t>
      </w:r>
      <w:r>
        <w:rPr>
          <w:rFonts w:hint="eastAsia" w:ascii="宋体" w:hAnsi="宋体"/>
          <w:color w:val="auto"/>
          <w:sz w:val="24"/>
          <w:szCs w:val="24"/>
          <w:highlight w:val="none"/>
          <w:u w:val="single"/>
        </w:rPr>
        <w:t>按通用合同条款执行</w:t>
      </w:r>
      <w:r>
        <w:rPr>
          <w:rFonts w:hint="eastAsia" w:ascii="宋体" w:hAnsi="宋体"/>
          <w:color w:val="auto"/>
          <w:sz w:val="24"/>
          <w:szCs w:val="24"/>
          <w:highlight w:val="none"/>
        </w:rPr>
        <w:t>。</w:t>
      </w:r>
    </w:p>
    <w:p w14:paraId="073579B2">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12.4.3 </w:t>
      </w:r>
      <w:r>
        <w:rPr>
          <w:rFonts w:hint="eastAsia" w:ascii="宋体" w:hAnsi="宋体"/>
          <w:color w:val="auto"/>
          <w:sz w:val="24"/>
          <w:szCs w:val="24"/>
          <w:highlight w:val="none"/>
        </w:rPr>
        <w:t xml:space="preserve"> 进度付款申请单的提交</w:t>
      </w:r>
    </w:p>
    <w:p w14:paraId="14C1355F">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1</w:t>
      </w:r>
      <w:r>
        <w:rPr>
          <w:rFonts w:hint="eastAsia" w:ascii="宋体" w:hAnsi="宋体"/>
          <w:color w:val="auto"/>
          <w:sz w:val="24"/>
          <w:szCs w:val="24"/>
          <w:highlight w:val="none"/>
        </w:rPr>
        <w:t>）单价合同进度付款申请单提交的约定：</w:t>
      </w:r>
      <w:r>
        <w:rPr>
          <w:rFonts w:hint="eastAsia" w:ascii="宋体" w:hAnsi="宋体"/>
          <w:color w:val="auto"/>
          <w:sz w:val="24"/>
          <w:szCs w:val="24"/>
          <w:highlight w:val="none"/>
          <w:u w:val="single"/>
          <w:lang w:val="en-US" w:eastAsia="zh-CN"/>
        </w:rPr>
        <w:t>/</w:t>
      </w:r>
      <w:r>
        <w:rPr>
          <w:rFonts w:hint="eastAsia" w:ascii="宋体" w:hAnsi="宋体"/>
          <w:color w:val="auto"/>
          <w:sz w:val="24"/>
          <w:szCs w:val="24"/>
          <w:highlight w:val="none"/>
        </w:rPr>
        <w:t>；</w:t>
      </w:r>
    </w:p>
    <w:p w14:paraId="2DE651A0">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2</w:t>
      </w:r>
      <w:r>
        <w:rPr>
          <w:rFonts w:hint="eastAsia" w:ascii="宋体" w:hAnsi="宋体"/>
          <w:color w:val="auto"/>
          <w:sz w:val="24"/>
          <w:szCs w:val="24"/>
          <w:highlight w:val="none"/>
        </w:rPr>
        <w:t>）总价合同进度付款申请单提交的约定：</w:t>
      </w:r>
      <w:r>
        <w:rPr>
          <w:rFonts w:hint="eastAsia" w:ascii="宋体" w:hAnsi="宋体"/>
          <w:color w:val="auto"/>
          <w:sz w:val="24"/>
          <w:szCs w:val="24"/>
          <w:highlight w:val="none"/>
          <w:u w:val="single"/>
        </w:rPr>
        <w:t>按通用合同条款执行</w:t>
      </w:r>
      <w:r>
        <w:rPr>
          <w:rFonts w:hint="eastAsia" w:ascii="宋体" w:hAnsi="宋体"/>
          <w:color w:val="auto"/>
          <w:sz w:val="24"/>
          <w:szCs w:val="24"/>
          <w:highlight w:val="none"/>
        </w:rPr>
        <w:t>；</w:t>
      </w:r>
    </w:p>
    <w:p w14:paraId="057032BD">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3</w:t>
      </w:r>
      <w:r>
        <w:rPr>
          <w:rFonts w:hint="eastAsia" w:ascii="宋体" w:hAnsi="宋体"/>
          <w:color w:val="auto"/>
          <w:sz w:val="24"/>
          <w:szCs w:val="24"/>
          <w:highlight w:val="none"/>
        </w:rPr>
        <w:t>）其他价格形式合同进度付款申请单提交的约定：</w:t>
      </w:r>
      <w:r>
        <w:rPr>
          <w:rFonts w:hint="eastAsia" w:ascii="宋体" w:hAnsi="宋体"/>
          <w:color w:val="auto"/>
          <w:sz w:val="24"/>
          <w:szCs w:val="24"/>
          <w:highlight w:val="none"/>
          <w:u w:val="single"/>
        </w:rPr>
        <w:t>/</w:t>
      </w:r>
      <w:r>
        <w:rPr>
          <w:rFonts w:hint="eastAsia" w:ascii="宋体" w:hAnsi="宋体"/>
          <w:color w:val="auto"/>
          <w:sz w:val="24"/>
          <w:szCs w:val="24"/>
          <w:highlight w:val="none"/>
        </w:rPr>
        <w:t>。</w:t>
      </w:r>
    </w:p>
    <w:p w14:paraId="471B71F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12.4.4 </w:t>
      </w:r>
      <w:r>
        <w:rPr>
          <w:rFonts w:hint="eastAsia" w:ascii="宋体" w:hAnsi="宋体"/>
          <w:color w:val="auto"/>
          <w:sz w:val="24"/>
          <w:szCs w:val="24"/>
          <w:highlight w:val="none"/>
        </w:rPr>
        <w:t xml:space="preserve"> 进度款审核和支付</w:t>
      </w:r>
    </w:p>
    <w:p w14:paraId="003473E9">
      <w:pPr>
        <w:pStyle w:val="13"/>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w:t>
      </w:r>
      <w:r>
        <w:rPr>
          <w:rFonts w:ascii="宋体" w:hAnsi="宋体"/>
          <w:color w:val="auto"/>
          <w:sz w:val="24"/>
          <w:szCs w:val="24"/>
          <w:highlight w:val="none"/>
        </w:rPr>
        <w:t>1</w:t>
      </w:r>
      <w:r>
        <w:rPr>
          <w:rFonts w:hint="eastAsia" w:ascii="宋体" w:hAnsi="宋体"/>
          <w:color w:val="auto"/>
          <w:sz w:val="24"/>
          <w:szCs w:val="24"/>
          <w:highlight w:val="none"/>
        </w:rPr>
        <w:t>）监理人审查并报送发包人的期限：</w:t>
      </w:r>
      <w:r>
        <w:rPr>
          <w:rFonts w:hint="eastAsia" w:ascii="宋体" w:hAnsi="宋体"/>
          <w:color w:val="auto"/>
          <w:sz w:val="24"/>
          <w:szCs w:val="24"/>
          <w:highlight w:val="none"/>
          <w:u w:val="single"/>
        </w:rPr>
        <w:t>承包人向监理人报送已完成的工程量报告，并附进度付款申请单、已完成工程量报表和有关资料；监理人应在当日完成对承包人提交的工程量报表的审核并返还承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E73A04B">
      <w:pPr>
        <w:pStyle w:val="13"/>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（2）发包人完成审批并支付进度款的期限：</w:t>
      </w:r>
      <w:r>
        <w:rPr>
          <w:rFonts w:ascii="宋体" w:hAnsi="宋体" w:cs="Calibri"/>
          <w:color w:val="auto"/>
          <w:sz w:val="24"/>
          <w:szCs w:val="24"/>
          <w:highlight w:val="none"/>
          <w:u w:val="single"/>
        </w:rPr>
        <w:t>①</w:t>
      </w:r>
      <w:r>
        <w:rPr>
          <w:rFonts w:hint="eastAsia" w:ascii="宋体" w:hAnsi="宋体"/>
          <w:color w:val="auto"/>
          <w:sz w:val="24"/>
          <w:szCs w:val="24"/>
          <w:highlight w:val="none"/>
          <w:u w:val="single"/>
        </w:rPr>
        <w:t>承包人必须将经监理单位和工程管理科或工程设备科（项目现场代表和项目组长）审核确认后的工程进度款审核资料（及电子版）报</w:t>
      </w:r>
      <w:r>
        <w:rPr>
          <w:rFonts w:hint="eastAsia" w:ascii="宋体" w:hAnsi="宋体"/>
          <w:color w:val="auto"/>
          <w:sz w:val="24"/>
          <w:szCs w:val="24"/>
          <w:highlight w:val="none"/>
          <w:u w:val="single"/>
          <w:lang w:eastAsia="zh-CN"/>
        </w:rPr>
        <w:t>造价咨询单位</w:t>
      </w:r>
      <w:r>
        <w:rPr>
          <w:rFonts w:hint="eastAsia" w:ascii="宋体" w:hAnsi="宋体"/>
          <w:color w:val="auto"/>
          <w:sz w:val="24"/>
          <w:szCs w:val="24"/>
          <w:highlight w:val="none"/>
          <w:u w:val="single"/>
        </w:rPr>
        <w:t>审核，逾期将不予受理，由此造成当月进度款不能支付的，其责任由施工单位自负。</w:t>
      </w:r>
      <w:r>
        <w:rPr>
          <w:rFonts w:ascii="宋体" w:hAnsi="宋体" w:cs="Calibri"/>
          <w:color w:val="auto"/>
          <w:sz w:val="24"/>
          <w:szCs w:val="24"/>
          <w:highlight w:val="none"/>
          <w:u w:val="single"/>
        </w:rPr>
        <w:t>②</w:t>
      </w:r>
      <w:r>
        <w:rPr>
          <w:rFonts w:hint="eastAsia" w:ascii="宋体" w:hAnsi="宋体"/>
          <w:color w:val="auto"/>
          <w:sz w:val="24"/>
          <w:szCs w:val="24"/>
          <w:highlight w:val="none"/>
          <w:u w:val="single"/>
          <w:lang w:eastAsia="zh-CN"/>
        </w:rPr>
        <w:t>造价咨询</w:t>
      </w:r>
      <w:r>
        <w:rPr>
          <w:rFonts w:hint="eastAsia" w:ascii="宋体" w:hAnsi="宋体"/>
          <w:color w:val="auto"/>
          <w:sz w:val="24"/>
          <w:szCs w:val="24"/>
          <w:highlight w:val="none"/>
          <w:u w:val="single"/>
        </w:rPr>
        <w:t>单位审核完成后，经项目组组长签字确认，报计划财务科。</w:t>
      </w:r>
      <w:r>
        <w:rPr>
          <w:rFonts w:ascii="宋体" w:hAnsi="宋体" w:cs="Calibri"/>
          <w:color w:val="auto"/>
          <w:sz w:val="24"/>
          <w:szCs w:val="24"/>
          <w:highlight w:val="none"/>
          <w:u w:val="single"/>
        </w:rPr>
        <w:t>③</w:t>
      </w:r>
      <w:r>
        <w:rPr>
          <w:rFonts w:hint="eastAsia" w:ascii="宋体" w:hAnsi="宋体" w:cs="Calibri"/>
          <w:color w:val="auto"/>
          <w:sz w:val="24"/>
          <w:szCs w:val="24"/>
          <w:highlight w:val="none"/>
          <w:u w:val="single"/>
        </w:rPr>
        <w:t>由计划财务科提交中心党组会同意后</w:t>
      </w:r>
      <w:r>
        <w:rPr>
          <w:rFonts w:hint="eastAsia" w:ascii="宋体" w:hAnsi="宋体" w:cs="Calibri"/>
          <w:color w:val="auto"/>
          <w:sz w:val="24"/>
          <w:szCs w:val="24"/>
          <w:highlight w:val="none"/>
          <w:u w:val="single"/>
          <w:lang w:eastAsia="zh-CN"/>
        </w:rPr>
        <w:t>，</w:t>
      </w:r>
      <w:r>
        <w:rPr>
          <w:rFonts w:hint="eastAsia" w:ascii="宋体" w:hAnsi="宋体"/>
          <w:color w:val="auto"/>
          <w:sz w:val="24"/>
          <w:szCs w:val="24"/>
          <w:highlight w:val="none"/>
          <w:u w:val="single"/>
        </w:rPr>
        <w:t>审核完成的产值及有关资料经市公共资源交易中心公示后，按财政主管部门相关规定支付</w:t>
      </w:r>
      <w:r>
        <w:rPr>
          <w:rFonts w:hint="eastAsia" w:ascii="宋体" w:hAnsi="宋体"/>
          <w:color w:val="auto"/>
          <w:sz w:val="24"/>
          <w:szCs w:val="24"/>
          <w:highlight w:val="none"/>
        </w:rPr>
        <w:t>。</w:t>
      </w:r>
    </w:p>
    <w:p w14:paraId="2A779BD5">
      <w:pPr>
        <w:spacing w:line="360" w:lineRule="auto"/>
        <w:ind w:firstLine="482" w:firstLineChars="200"/>
        <w:rPr>
          <w:rFonts w:hint="eastAsia" w:ascii="宋体" w:hAnsi="宋体" w:eastAsia="宋体"/>
          <w:b/>
          <w:bCs/>
          <w:color w:val="auto"/>
          <w:sz w:val="24"/>
          <w:szCs w:val="24"/>
          <w:highlight w:val="none"/>
          <w:u w:val="single"/>
          <w:lang w:eastAsia="zh-CN"/>
        </w:rPr>
      </w:pPr>
      <w:r>
        <w:rPr>
          <w:rFonts w:hint="eastAsia" w:ascii="宋体" w:hAnsi="宋体"/>
          <w:b/>
          <w:bCs/>
          <w:color w:val="auto"/>
          <w:sz w:val="24"/>
          <w:szCs w:val="24"/>
          <w:highlight w:val="none"/>
        </w:rPr>
        <w:t>（3）进度款的约定：</w:t>
      </w:r>
      <w:r>
        <w:rPr>
          <w:rFonts w:hint="eastAsia" w:ascii="宋体" w:hAnsi="宋体"/>
          <w:b/>
          <w:bCs/>
          <w:color w:val="auto"/>
          <w:sz w:val="24"/>
          <w:szCs w:val="24"/>
          <w:highlight w:val="none"/>
          <w:u w:val="single"/>
        </w:rPr>
        <w:t>进度款按每月完成审定产值的80％并扣除</w:t>
      </w:r>
      <w:r>
        <w:rPr>
          <w:rFonts w:hint="eastAsia" w:ascii="宋体" w:hAnsi="宋体"/>
          <w:b/>
          <w:bCs/>
          <w:color w:val="auto"/>
          <w:sz w:val="24"/>
          <w:szCs w:val="24"/>
          <w:highlight w:val="none"/>
          <w:u w:val="single"/>
          <w:lang w:eastAsia="zh-CN"/>
        </w:rPr>
        <w:t>发包人</w:t>
      </w:r>
      <w:r>
        <w:rPr>
          <w:rFonts w:hint="eastAsia" w:ascii="宋体" w:hAnsi="宋体"/>
          <w:b/>
          <w:bCs/>
          <w:color w:val="auto"/>
          <w:sz w:val="24"/>
          <w:szCs w:val="24"/>
          <w:highlight w:val="none"/>
          <w:u w:val="single"/>
        </w:rPr>
        <w:t>当月应扣款项后支付；所有工程竣工验收合格并完成资料归档后付至合同价款的90%；经</w:t>
      </w:r>
      <w:r>
        <w:rPr>
          <w:rFonts w:hint="eastAsia" w:ascii="宋体" w:hAnsi="宋体"/>
          <w:b/>
          <w:bCs/>
          <w:color w:val="auto"/>
          <w:sz w:val="24"/>
          <w:szCs w:val="24"/>
          <w:highlight w:val="none"/>
          <w:u w:val="single"/>
          <w:lang w:eastAsia="zh-CN"/>
        </w:rPr>
        <w:t>造价咨询单位</w:t>
      </w:r>
      <w:r>
        <w:rPr>
          <w:rFonts w:hint="eastAsia" w:ascii="宋体" w:hAnsi="宋体"/>
          <w:b/>
          <w:bCs/>
          <w:color w:val="auto"/>
          <w:sz w:val="24"/>
          <w:szCs w:val="24"/>
          <w:highlight w:val="none"/>
          <w:u w:val="single"/>
        </w:rPr>
        <w:t>审定后，</w:t>
      </w:r>
      <w:r>
        <w:rPr>
          <w:rFonts w:hint="eastAsia" w:ascii="宋体" w:hAnsi="宋体"/>
          <w:b/>
          <w:bCs/>
          <w:color w:val="auto"/>
          <w:sz w:val="24"/>
          <w:szCs w:val="24"/>
          <w:highlight w:val="none"/>
          <w:u w:val="single"/>
          <w:lang w:eastAsia="zh-CN"/>
        </w:rPr>
        <w:t>承包人</w:t>
      </w:r>
      <w:r>
        <w:rPr>
          <w:rFonts w:hint="eastAsia" w:ascii="宋体" w:hAnsi="宋体"/>
          <w:b/>
          <w:bCs/>
          <w:color w:val="auto"/>
          <w:sz w:val="24"/>
          <w:szCs w:val="24"/>
          <w:highlight w:val="none"/>
          <w:u w:val="single"/>
        </w:rPr>
        <w:t>提供相关承诺及《质量保证金保函》后付至审定价款的100%（其中《质量保证金保函》金额为审定价款的3%）</w:t>
      </w:r>
      <w:r>
        <w:rPr>
          <w:rFonts w:hint="eastAsia" w:ascii="宋体" w:hAnsi="宋体"/>
          <w:b/>
          <w:bCs/>
          <w:color w:val="auto"/>
          <w:sz w:val="24"/>
          <w:szCs w:val="24"/>
          <w:highlight w:val="none"/>
          <w:u w:val="single"/>
          <w:lang w:eastAsia="zh-CN"/>
        </w:rPr>
        <w:t>。</w:t>
      </w:r>
    </w:p>
    <w:p w14:paraId="4F32BBBB">
      <w:pPr>
        <w:spacing w:line="360" w:lineRule="auto"/>
        <w:ind w:firstLine="480" w:firstLineChars="200"/>
        <w:rPr>
          <w:rFonts w:ascii="宋体" w:hAnsi="宋体"/>
          <w:b/>
          <w:bCs/>
          <w:color w:val="auto"/>
          <w:sz w:val="24"/>
          <w:szCs w:val="24"/>
          <w:highlight w:val="none"/>
        </w:rPr>
      </w:pPr>
      <w:r>
        <w:rPr>
          <w:rFonts w:hint="eastAsia" w:ascii="宋体" w:hAnsi="宋体"/>
          <w:color w:val="auto"/>
          <w:sz w:val="24"/>
          <w:szCs w:val="24"/>
          <w:highlight w:val="none"/>
          <w:u w:val="single"/>
        </w:rPr>
        <w:t>☆</w:t>
      </w:r>
      <w:r>
        <w:rPr>
          <w:rFonts w:hint="eastAsia" w:ascii="宋体" w:hAnsi="宋体"/>
          <w:b/>
          <w:bCs/>
          <w:color w:val="auto"/>
          <w:sz w:val="24"/>
          <w:szCs w:val="24"/>
          <w:highlight w:val="none"/>
          <w:u w:val="single"/>
        </w:rPr>
        <w:t>所有工程款必须先支付至三方共管账户，施工单位需提供农民工工资发放表及相关承诺后，才可从共管账户支付其他款项</w:t>
      </w:r>
      <w:r>
        <w:rPr>
          <w:rFonts w:hint="eastAsia" w:ascii="宋体" w:hAnsi="宋体"/>
          <w:b/>
          <w:bCs/>
          <w:color w:val="auto"/>
          <w:sz w:val="24"/>
          <w:szCs w:val="24"/>
          <w:highlight w:val="none"/>
        </w:rPr>
        <w:t>。</w:t>
      </w:r>
    </w:p>
    <w:p w14:paraId="049C5ECB">
      <w:pPr>
        <w:spacing w:line="360" w:lineRule="auto"/>
        <w:ind w:firstLine="482" w:firstLineChars="200"/>
        <w:rPr>
          <w:rFonts w:ascii="宋体" w:hAnsi="宋体"/>
          <w:b/>
          <w:bCs/>
          <w:color w:val="auto"/>
          <w:sz w:val="24"/>
          <w:szCs w:val="24"/>
          <w:highlight w:val="none"/>
          <w:u w:val="single"/>
        </w:rPr>
      </w:pPr>
      <w:r>
        <w:rPr>
          <w:rFonts w:hint="eastAsia" w:ascii="宋体" w:hAnsi="宋体"/>
          <w:b/>
          <w:bCs/>
          <w:color w:val="auto"/>
          <w:sz w:val="24"/>
          <w:szCs w:val="24"/>
          <w:highlight w:val="none"/>
          <w:u w:val="single"/>
        </w:rPr>
        <w:t>☆整体工程竣工验收前必须完成各分项、专项验收。</w:t>
      </w:r>
    </w:p>
    <w:p w14:paraId="035C9EA0">
      <w:pPr>
        <w:spacing w:line="360" w:lineRule="auto"/>
        <w:ind w:firstLine="482" w:firstLineChars="200"/>
        <w:rPr>
          <w:rFonts w:ascii="宋体" w:hAnsi="宋体"/>
          <w:b/>
          <w:bCs/>
          <w:color w:val="auto"/>
          <w:sz w:val="24"/>
          <w:szCs w:val="24"/>
          <w:highlight w:val="none"/>
          <w:u w:val="single"/>
        </w:rPr>
      </w:pPr>
      <w:r>
        <w:rPr>
          <w:rFonts w:hint="eastAsia" w:ascii="宋体" w:hAnsi="宋体"/>
          <w:b/>
          <w:bCs/>
          <w:color w:val="auto"/>
          <w:sz w:val="24"/>
          <w:szCs w:val="24"/>
          <w:highlight w:val="none"/>
          <w:u w:val="single"/>
        </w:rPr>
        <w:t>☆承包人在每月报送产值时，需同时提供经监理单位审核确认的《农民工工资支付明细》。</w:t>
      </w:r>
    </w:p>
    <w:p w14:paraId="15DFAE4A">
      <w:pPr>
        <w:spacing w:line="360" w:lineRule="auto"/>
        <w:ind w:firstLine="482" w:firstLineChars="200"/>
        <w:rPr>
          <w:rFonts w:ascii="宋体" w:hAnsi="宋体"/>
          <w:b/>
          <w:bCs/>
          <w:color w:val="auto"/>
          <w:sz w:val="24"/>
          <w:szCs w:val="24"/>
          <w:highlight w:val="none"/>
          <w:u w:val="single"/>
        </w:rPr>
      </w:pPr>
      <w:r>
        <w:rPr>
          <w:rFonts w:hint="eastAsia" w:ascii="宋体" w:hAnsi="宋体"/>
          <w:b/>
          <w:bCs/>
          <w:color w:val="auto"/>
          <w:sz w:val="24"/>
          <w:szCs w:val="24"/>
          <w:highlight w:val="none"/>
          <w:u w:val="single"/>
          <w:lang w:val="en-US" w:eastAsia="zh-CN"/>
        </w:rPr>
        <w:t>乙方申请付款时应向甲方交付等金额的普通发票</w:t>
      </w:r>
      <w:r>
        <w:rPr>
          <w:rFonts w:ascii="宋体" w:hAnsi="宋体"/>
          <w:b/>
          <w:bCs/>
          <w:color w:val="auto"/>
          <w:sz w:val="24"/>
          <w:szCs w:val="24"/>
          <w:highlight w:val="none"/>
          <w:u w:val="single"/>
        </w:rPr>
        <w:t>（该发票应为合格发票，如发包人发现是假发票或套票的，有权顺延支付相应款项）。否则，发包人有权拒绝付款，</w:t>
      </w:r>
      <w:r>
        <w:rPr>
          <w:rFonts w:hint="eastAsia" w:ascii="宋体" w:hAnsi="宋体"/>
          <w:b/>
          <w:bCs/>
          <w:color w:val="auto"/>
          <w:sz w:val="24"/>
          <w:szCs w:val="24"/>
          <w:highlight w:val="none"/>
          <w:u w:val="single"/>
        </w:rPr>
        <w:t>且发包人不承担逾期付款的违约责任，承包人不得据此延迟或者不履行本合同约定的各项义务</w:t>
      </w:r>
      <w:r>
        <w:rPr>
          <w:rFonts w:hint="eastAsia" w:ascii="宋体" w:hAnsi="宋体"/>
          <w:b/>
          <w:bCs/>
          <w:color w:val="auto"/>
          <w:sz w:val="24"/>
          <w:szCs w:val="24"/>
          <w:highlight w:val="none"/>
          <w:u w:val="single"/>
          <w:lang w:eastAsia="zh-CN"/>
        </w:rPr>
        <w:t>。</w:t>
      </w:r>
      <w:r>
        <w:rPr>
          <w:rFonts w:ascii="宋体" w:hAnsi="宋体"/>
          <w:b/>
          <w:bCs/>
          <w:color w:val="auto"/>
          <w:sz w:val="24"/>
          <w:szCs w:val="24"/>
          <w:highlight w:val="none"/>
          <w:u w:val="single"/>
        </w:rPr>
        <w:t>付款至9</w:t>
      </w:r>
      <w:r>
        <w:rPr>
          <w:rFonts w:hint="eastAsia" w:ascii="宋体" w:hAnsi="宋体"/>
          <w:b/>
          <w:bCs/>
          <w:color w:val="auto"/>
          <w:sz w:val="24"/>
          <w:szCs w:val="24"/>
          <w:highlight w:val="none"/>
          <w:u w:val="single"/>
        </w:rPr>
        <w:t>7</w:t>
      </w:r>
      <w:r>
        <w:rPr>
          <w:rFonts w:ascii="宋体" w:hAnsi="宋体"/>
          <w:b/>
          <w:bCs/>
          <w:color w:val="auto"/>
          <w:sz w:val="24"/>
          <w:szCs w:val="24"/>
          <w:highlight w:val="none"/>
          <w:u w:val="single"/>
        </w:rPr>
        <w:t>%时，承包人应向发包人开具工程款全额发票。</w:t>
      </w:r>
    </w:p>
    <w:p w14:paraId="51240A99">
      <w:pPr>
        <w:spacing w:line="360" w:lineRule="auto"/>
        <w:ind w:firstLine="482" w:firstLineChars="200"/>
        <w:rPr>
          <w:rFonts w:ascii="宋体" w:hAnsi="宋体"/>
          <w:b/>
          <w:bCs/>
          <w:color w:val="auto"/>
          <w:sz w:val="24"/>
          <w:szCs w:val="24"/>
          <w:highlight w:val="none"/>
          <w:u w:val="single"/>
        </w:rPr>
      </w:pPr>
      <w:r>
        <w:rPr>
          <w:rFonts w:ascii="宋体" w:hAnsi="宋体"/>
          <w:b/>
          <w:bCs/>
          <w:color w:val="auto"/>
          <w:sz w:val="24"/>
          <w:szCs w:val="24"/>
          <w:highlight w:val="none"/>
          <w:u w:val="single"/>
        </w:rPr>
        <w:t>施工中发现不合格项目时，承包人必须及时进行整改，同时把整改措施以书面形式报发包人存档备查。不合格项目整改工作应在当月申请进度款拨付之前完成，并由发包人复查通过，否则相应工程款顺延至下月拨付。不合格项目不计入当月完成工作总量内，即不能申报支付进度款 。</w:t>
      </w:r>
    </w:p>
    <w:p w14:paraId="1FC0A718">
      <w:pPr>
        <w:spacing w:line="360" w:lineRule="auto"/>
        <w:ind w:firstLine="482" w:firstLineChars="200"/>
        <w:rPr>
          <w:rFonts w:hint="eastAsia" w:ascii="宋体" w:hAnsi="宋体"/>
          <w:b/>
          <w:bCs/>
          <w:color w:val="auto"/>
          <w:sz w:val="24"/>
          <w:u w:val="single"/>
        </w:rPr>
      </w:pPr>
      <w:r>
        <w:rPr>
          <w:rFonts w:hint="eastAsia" w:ascii="宋体" w:hAnsi="宋体"/>
          <w:b/>
          <w:bCs/>
          <w:color w:val="auto"/>
          <w:sz w:val="24"/>
          <w:u w:val="single"/>
        </w:rPr>
        <w:t>如因承包人账户原因，导致发包人无法付款，则发包人不承担迟延付款的违约责任，且承包人不得据此迟延或者不履行本合同约定的各项义务。</w:t>
      </w:r>
    </w:p>
    <w:p w14:paraId="1AB61B40">
      <w:pPr>
        <w:spacing w:line="360" w:lineRule="auto"/>
        <w:ind w:firstLine="480" w:firstLineChars="200"/>
        <w:rPr>
          <w:rFonts w:hint="eastAsia" w:ascii="宋体" w:hAnsi="宋体"/>
          <w:b w:val="0"/>
          <w:bCs w:val="0"/>
          <w:color w:val="auto"/>
          <w:sz w:val="24"/>
          <w:szCs w:val="24"/>
          <w:highlight w:val="none"/>
          <w:u w:val="single"/>
          <w:lang w:eastAsia="zh-CN"/>
        </w:rPr>
      </w:pPr>
      <w:r>
        <w:rPr>
          <w:rFonts w:hint="eastAsia" w:ascii="宋体" w:hAnsi="宋体"/>
          <w:color w:val="auto"/>
          <w:sz w:val="24"/>
          <w:szCs w:val="24"/>
          <w:highlight w:val="none"/>
        </w:rPr>
        <w:t>发包人逾期支付进度款的违约金的计算方式：</w:t>
      </w:r>
      <w:r>
        <w:rPr>
          <w:rFonts w:ascii="宋体" w:hAnsi="宋体"/>
          <w:b w:val="0"/>
          <w:bCs w:val="0"/>
          <w:color w:val="auto"/>
          <w:sz w:val="24"/>
          <w:szCs w:val="24"/>
          <w:highlight w:val="none"/>
          <w:u w:val="single"/>
        </w:rPr>
        <w:t>项目使用财政资金，实际付款时间以财政资金支付流程为准，</w:t>
      </w:r>
      <w:r>
        <w:rPr>
          <w:rFonts w:hint="eastAsia" w:ascii="宋体" w:hAnsi="宋体"/>
          <w:b w:val="0"/>
          <w:bCs w:val="0"/>
          <w:color w:val="auto"/>
          <w:sz w:val="24"/>
          <w:szCs w:val="24"/>
          <w:highlight w:val="none"/>
          <w:u w:val="single"/>
          <w:lang w:val="en-US" w:eastAsia="zh-CN"/>
        </w:rPr>
        <w:t>发包人逾期付款的，连续超过一年的，按本合同订立时一年期贷款市场报价利率向承包人支付逾期利息；连续未超过一年的，不计算逾期利息。</w:t>
      </w:r>
    </w:p>
    <w:p w14:paraId="37C1DA91">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12.4.6 </w:t>
      </w:r>
      <w:r>
        <w:rPr>
          <w:rFonts w:hint="eastAsia" w:ascii="宋体" w:hAnsi="宋体"/>
          <w:color w:val="auto"/>
          <w:sz w:val="24"/>
          <w:szCs w:val="24"/>
          <w:highlight w:val="none"/>
        </w:rPr>
        <w:t xml:space="preserve"> 支付分解表的编制</w:t>
      </w:r>
    </w:p>
    <w:p w14:paraId="738602EF">
      <w:pPr>
        <w:spacing w:line="360" w:lineRule="auto"/>
        <w:rPr>
          <w:rFonts w:ascii="宋体" w:hAnsi="宋体"/>
          <w:color w:val="auto"/>
          <w:sz w:val="24"/>
          <w:szCs w:val="24"/>
          <w:highlight w:val="none"/>
        </w:rPr>
      </w:pPr>
      <w:r>
        <w:rPr>
          <w:rFonts w:ascii="宋体" w:hAnsi="宋体"/>
          <w:color w:val="auto"/>
          <w:sz w:val="24"/>
          <w:szCs w:val="24"/>
          <w:highlight w:val="none"/>
        </w:rPr>
        <w:t xml:space="preserve">    2</w:t>
      </w:r>
      <w:r>
        <w:rPr>
          <w:rFonts w:hint="eastAsia" w:ascii="宋体" w:hAnsi="宋体"/>
          <w:color w:val="auto"/>
          <w:sz w:val="24"/>
          <w:szCs w:val="24"/>
          <w:highlight w:val="none"/>
        </w:rPr>
        <w:t>、总价合同支付分解表的编制与审批：</w:t>
      </w:r>
      <w:r>
        <w:rPr>
          <w:rFonts w:hint="eastAsia" w:ascii="宋体" w:hAnsi="宋体"/>
          <w:color w:val="auto"/>
          <w:sz w:val="24"/>
          <w:szCs w:val="24"/>
          <w:highlight w:val="none"/>
          <w:u w:val="single"/>
        </w:rPr>
        <w:t>/</w:t>
      </w:r>
      <w:r>
        <w:rPr>
          <w:rFonts w:hint="eastAsia" w:ascii="宋体" w:hAnsi="宋体"/>
          <w:color w:val="auto"/>
          <w:sz w:val="24"/>
          <w:szCs w:val="24"/>
          <w:highlight w:val="none"/>
        </w:rPr>
        <w:t>。</w:t>
      </w:r>
    </w:p>
    <w:p w14:paraId="42FAF022">
      <w:pPr>
        <w:spacing w:line="360" w:lineRule="auto"/>
        <w:rPr>
          <w:rFonts w:ascii="宋体" w:hAnsi="宋体"/>
          <w:color w:val="auto"/>
          <w:sz w:val="24"/>
          <w:szCs w:val="24"/>
          <w:highlight w:val="none"/>
        </w:rPr>
      </w:pPr>
      <w:r>
        <w:rPr>
          <w:rFonts w:ascii="宋体" w:hAnsi="宋体"/>
          <w:color w:val="auto"/>
          <w:sz w:val="24"/>
          <w:szCs w:val="24"/>
          <w:highlight w:val="none"/>
        </w:rPr>
        <w:t xml:space="preserve">    3</w:t>
      </w:r>
      <w:r>
        <w:rPr>
          <w:rFonts w:hint="eastAsia" w:ascii="宋体" w:hAnsi="宋体"/>
          <w:color w:val="auto"/>
          <w:sz w:val="24"/>
          <w:szCs w:val="24"/>
          <w:highlight w:val="none"/>
        </w:rPr>
        <w:t>、单价合同的总价项目支付分解表的编制与审批：</w:t>
      </w:r>
      <w:r>
        <w:rPr>
          <w:rFonts w:hint="eastAsia" w:ascii="宋体" w:hAnsi="宋体"/>
          <w:color w:val="auto"/>
          <w:sz w:val="24"/>
          <w:szCs w:val="24"/>
          <w:highlight w:val="none"/>
          <w:u w:val="single"/>
        </w:rPr>
        <w:t>/</w:t>
      </w:r>
      <w:r>
        <w:rPr>
          <w:rFonts w:hint="eastAsia" w:ascii="宋体" w:hAnsi="宋体"/>
          <w:color w:val="auto"/>
          <w:sz w:val="24"/>
          <w:szCs w:val="24"/>
          <w:highlight w:val="none"/>
        </w:rPr>
        <w:t>。</w:t>
      </w:r>
    </w:p>
    <w:p w14:paraId="4879606B">
      <w:pPr>
        <w:spacing w:line="360" w:lineRule="auto"/>
        <w:rPr>
          <w:rFonts w:ascii="宋体" w:hAnsi="宋体"/>
          <w:color w:val="auto"/>
          <w:sz w:val="24"/>
          <w:szCs w:val="24"/>
          <w:highlight w:val="none"/>
        </w:rPr>
      </w:pPr>
      <w:r>
        <w:rPr>
          <w:rFonts w:ascii="宋体" w:hAnsi="宋体"/>
          <w:color w:val="auto"/>
          <w:sz w:val="24"/>
          <w:szCs w:val="24"/>
          <w:highlight w:val="none"/>
        </w:rPr>
        <w:t xml:space="preserve">13  </w:t>
      </w:r>
      <w:r>
        <w:rPr>
          <w:rFonts w:hint="eastAsia" w:ascii="宋体" w:hAnsi="宋体"/>
          <w:color w:val="auto"/>
          <w:sz w:val="24"/>
          <w:szCs w:val="24"/>
          <w:highlight w:val="none"/>
        </w:rPr>
        <w:t>验收和工程试车</w:t>
      </w:r>
    </w:p>
    <w:p w14:paraId="6A3653C8">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13.1  </w:t>
      </w:r>
      <w:r>
        <w:rPr>
          <w:rFonts w:hint="eastAsia" w:ascii="宋体" w:hAnsi="宋体"/>
          <w:color w:val="auto"/>
          <w:sz w:val="24"/>
          <w:szCs w:val="24"/>
          <w:highlight w:val="none"/>
        </w:rPr>
        <w:t>分部分项工程验收</w:t>
      </w:r>
    </w:p>
    <w:p w14:paraId="44B21745">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13.1.2 </w:t>
      </w:r>
      <w:r>
        <w:rPr>
          <w:rFonts w:hint="eastAsia" w:ascii="宋体" w:hAnsi="宋体"/>
          <w:color w:val="auto"/>
          <w:sz w:val="24"/>
          <w:szCs w:val="24"/>
          <w:highlight w:val="none"/>
        </w:rPr>
        <w:t xml:space="preserve"> 监理人不能按时进行验收时，应提前</w:t>
      </w:r>
      <w:r>
        <w:rPr>
          <w:rFonts w:ascii="宋体" w:hAnsi="宋体"/>
          <w:color w:val="auto"/>
          <w:sz w:val="24"/>
          <w:szCs w:val="24"/>
          <w:highlight w:val="none"/>
          <w:u w:val="single"/>
        </w:rPr>
        <w:t>24</w:t>
      </w:r>
      <w:r>
        <w:rPr>
          <w:rFonts w:hint="eastAsia" w:ascii="宋体" w:hAnsi="宋体"/>
          <w:color w:val="auto"/>
          <w:sz w:val="24"/>
          <w:szCs w:val="24"/>
          <w:highlight w:val="none"/>
        </w:rPr>
        <w:t>小时提交书面延期要求。</w:t>
      </w:r>
    </w:p>
    <w:p w14:paraId="3FFE5CD7">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关于延期最长不得超过：</w:t>
      </w:r>
      <w:r>
        <w:rPr>
          <w:rFonts w:ascii="宋体" w:hAnsi="宋体"/>
          <w:color w:val="auto"/>
          <w:sz w:val="24"/>
          <w:szCs w:val="24"/>
          <w:highlight w:val="none"/>
          <w:u w:val="single"/>
        </w:rPr>
        <w:t>48</w:t>
      </w:r>
      <w:r>
        <w:rPr>
          <w:rFonts w:hint="eastAsia" w:ascii="宋体" w:hAnsi="宋体"/>
          <w:color w:val="auto"/>
          <w:sz w:val="24"/>
          <w:szCs w:val="24"/>
          <w:highlight w:val="none"/>
        </w:rPr>
        <w:t>小时。</w:t>
      </w:r>
    </w:p>
    <w:p w14:paraId="46994F3C">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只有监理人验收合格并在验收记录上签字后，承包人方可继续施工。验收不合格的，承包人在</w:t>
      </w:r>
      <w:r>
        <w:rPr>
          <w:rFonts w:hint="eastAsia" w:ascii="宋体" w:hAnsi="宋体"/>
          <w:color w:val="auto"/>
          <w:sz w:val="24"/>
          <w:szCs w:val="24"/>
          <w:highlight w:val="none"/>
          <w:u w:val="single"/>
        </w:rPr>
        <w:t xml:space="preserve"> 3日 </w:t>
      </w:r>
      <w:r>
        <w:rPr>
          <w:rFonts w:hint="eastAsia" w:ascii="宋体" w:hAnsi="宋体"/>
          <w:color w:val="auto"/>
          <w:sz w:val="24"/>
          <w:szCs w:val="24"/>
          <w:highlight w:val="none"/>
        </w:rPr>
        <w:t>内进行修改后重新验收。</w:t>
      </w:r>
    </w:p>
    <w:p w14:paraId="1ABEFD59">
      <w:pPr>
        <w:spacing w:line="360" w:lineRule="auto"/>
        <w:rPr>
          <w:rFonts w:ascii="宋体" w:hAnsi="宋体"/>
          <w:color w:val="auto"/>
          <w:sz w:val="24"/>
          <w:szCs w:val="24"/>
          <w:highlight w:val="none"/>
        </w:rPr>
      </w:pPr>
      <w:r>
        <w:rPr>
          <w:rFonts w:ascii="宋体" w:hAnsi="宋体"/>
          <w:color w:val="auto"/>
          <w:sz w:val="24"/>
          <w:szCs w:val="24"/>
          <w:highlight w:val="none"/>
        </w:rPr>
        <w:t xml:space="preserve">    13.2  </w:t>
      </w:r>
      <w:r>
        <w:rPr>
          <w:rFonts w:hint="eastAsia" w:ascii="宋体" w:hAnsi="宋体"/>
          <w:color w:val="auto"/>
          <w:sz w:val="24"/>
          <w:szCs w:val="24"/>
          <w:highlight w:val="none"/>
        </w:rPr>
        <w:t>竣工验收</w:t>
      </w:r>
    </w:p>
    <w:p w14:paraId="74D55500">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13.2.2 </w:t>
      </w:r>
      <w:r>
        <w:rPr>
          <w:rFonts w:hint="eastAsia" w:ascii="宋体" w:hAnsi="宋体"/>
          <w:color w:val="auto"/>
          <w:sz w:val="24"/>
          <w:szCs w:val="24"/>
          <w:highlight w:val="none"/>
        </w:rPr>
        <w:t xml:space="preserve"> 竣工验收程序</w:t>
      </w:r>
    </w:p>
    <w:p w14:paraId="5B2AD7AD">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关于竣工验收程序的约定：</w:t>
      </w:r>
      <w:r>
        <w:rPr>
          <w:rFonts w:hint="eastAsia" w:ascii="宋体" w:hAnsi="宋体"/>
          <w:color w:val="auto"/>
          <w:sz w:val="24"/>
          <w:szCs w:val="24"/>
          <w:highlight w:val="none"/>
          <w:u w:val="single"/>
        </w:rPr>
        <w:t>竣工前承包人向发包人提供完整的竣工图及其他竣工资料肆套；包括承包人负责整理和提交的竣工验收资料应当符合工程所在地建设行政主管部门或城市建设档案管理机构有关竣工资料的要求，并在工程竣工验收前完成工程施工资料备案</w:t>
      </w:r>
      <w:r>
        <w:rPr>
          <w:rFonts w:hint="eastAsia" w:ascii="宋体" w:hAnsi="宋体"/>
          <w:color w:val="auto"/>
          <w:sz w:val="24"/>
          <w:szCs w:val="24"/>
          <w:highlight w:val="none"/>
        </w:rPr>
        <w:t>。</w:t>
      </w:r>
    </w:p>
    <w:p w14:paraId="3F6BA3A7">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竣工验收资料的费用支付方式：</w:t>
      </w:r>
      <w:r>
        <w:rPr>
          <w:rFonts w:hint="eastAsia" w:ascii="宋体" w:hAnsi="宋体"/>
          <w:color w:val="auto"/>
          <w:sz w:val="24"/>
          <w:szCs w:val="24"/>
          <w:highlight w:val="none"/>
          <w:u w:val="single"/>
        </w:rPr>
        <w:t xml:space="preserve">  由承包人承担  </w:t>
      </w:r>
      <w:r>
        <w:rPr>
          <w:rFonts w:hint="eastAsia" w:ascii="宋体" w:hAnsi="宋体"/>
          <w:color w:val="auto"/>
          <w:sz w:val="24"/>
          <w:szCs w:val="24"/>
          <w:highlight w:val="none"/>
        </w:rPr>
        <w:t>。</w:t>
      </w:r>
    </w:p>
    <w:p w14:paraId="51437353">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发包人不按照本项约定组织竣工验收、颁发工程接收证书的违约金的计算方法：</w:t>
      </w:r>
      <w:r>
        <w:rPr>
          <w:rFonts w:hint="eastAsia" w:ascii="宋体" w:hAnsi="宋体"/>
          <w:color w:val="auto"/>
          <w:sz w:val="24"/>
          <w:szCs w:val="24"/>
          <w:highlight w:val="none"/>
          <w:u w:val="single"/>
        </w:rPr>
        <w:t>无</w:t>
      </w:r>
      <w:r>
        <w:rPr>
          <w:rFonts w:hint="eastAsia" w:ascii="宋体" w:hAnsi="宋体"/>
          <w:color w:val="auto"/>
          <w:sz w:val="24"/>
          <w:szCs w:val="24"/>
          <w:highlight w:val="none"/>
        </w:rPr>
        <w:t>。</w:t>
      </w:r>
    </w:p>
    <w:p w14:paraId="7BF8F9F1">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13.2.5</w:t>
      </w:r>
      <w:r>
        <w:rPr>
          <w:rFonts w:hint="eastAsia" w:ascii="宋体" w:hAnsi="宋体"/>
          <w:color w:val="auto"/>
          <w:sz w:val="24"/>
          <w:szCs w:val="24"/>
          <w:highlight w:val="none"/>
        </w:rPr>
        <w:t xml:space="preserve">  移交、接收全部与部分工程</w:t>
      </w:r>
    </w:p>
    <w:p w14:paraId="44332EF6">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承包人向发包人移交工程的期限：</w:t>
      </w:r>
      <w:r>
        <w:rPr>
          <w:rFonts w:hint="eastAsia" w:ascii="宋体" w:hAnsi="宋体"/>
          <w:color w:val="auto"/>
          <w:sz w:val="24"/>
          <w:szCs w:val="24"/>
          <w:highlight w:val="none"/>
          <w:u w:val="single"/>
        </w:rPr>
        <w:t>执行代建中心工程移交管理制度</w:t>
      </w:r>
      <w:r>
        <w:rPr>
          <w:rFonts w:hint="eastAsia" w:ascii="宋体" w:hAnsi="宋体"/>
          <w:color w:val="auto"/>
          <w:sz w:val="24"/>
          <w:szCs w:val="24"/>
          <w:highlight w:val="none"/>
        </w:rPr>
        <w:t>。</w:t>
      </w:r>
    </w:p>
    <w:p w14:paraId="3513E21F">
      <w:pPr>
        <w:spacing w:line="360" w:lineRule="auto"/>
        <w:ind w:left="239" w:leftChars="114" w:firstLine="240" w:firstLineChars="100"/>
        <w:rPr>
          <w:rFonts w:ascii="宋体" w:hAnsi="宋体"/>
          <w:color w:val="auto"/>
          <w:sz w:val="24"/>
          <w:szCs w:val="24"/>
          <w:highlight w:val="none"/>
        </w:rPr>
      </w:pPr>
      <w:r>
        <w:rPr>
          <w:rFonts w:hint="eastAsia" w:ascii="宋体" w:hAnsi="宋体"/>
          <w:color w:val="auto"/>
          <w:sz w:val="24"/>
          <w:szCs w:val="24"/>
          <w:highlight w:val="none"/>
        </w:rPr>
        <w:t>发包人未按本合同约定接收全部或部分工程的，违约金的计算方法为：</w:t>
      </w:r>
      <w:r>
        <w:rPr>
          <w:rFonts w:hint="eastAsia" w:ascii="宋体" w:hAnsi="宋体"/>
          <w:color w:val="auto"/>
          <w:sz w:val="24"/>
          <w:szCs w:val="24"/>
          <w:highlight w:val="none"/>
          <w:u w:val="single"/>
        </w:rPr>
        <w:t>//</w:t>
      </w:r>
      <w:r>
        <w:rPr>
          <w:rFonts w:hint="eastAsia" w:ascii="宋体" w:hAnsi="宋体"/>
          <w:color w:val="auto"/>
          <w:sz w:val="24"/>
          <w:szCs w:val="24"/>
          <w:highlight w:val="none"/>
        </w:rPr>
        <w:t>承包人未按时移交工程的，违约金的计算方法为：</w:t>
      </w:r>
      <w:r>
        <w:rPr>
          <w:rFonts w:hint="eastAsia" w:ascii="宋体" w:hAnsi="宋体"/>
          <w:color w:val="auto"/>
          <w:sz w:val="24"/>
          <w:szCs w:val="24"/>
          <w:highlight w:val="none"/>
          <w:u w:val="single"/>
        </w:rPr>
        <w:t>因承包人的原因致使工程未按时移交、施工资料备案迟延的，每迟延一日，承包人向发包人支付合同总价款的千分之一的违约金</w:t>
      </w:r>
      <w:r>
        <w:rPr>
          <w:rFonts w:hint="eastAsia" w:ascii="宋体" w:hAnsi="宋体"/>
          <w:color w:val="auto"/>
          <w:sz w:val="24"/>
          <w:szCs w:val="24"/>
          <w:highlight w:val="none"/>
        </w:rPr>
        <w:t>。</w:t>
      </w:r>
    </w:p>
    <w:p w14:paraId="201FAC37">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13.2.6竣工验收其他事宜：</w:t>
      </w:r>
      <w:r>
        <w:rPr>
          <w:rFonts w:hint="eastAsia" w:ascii="宋体" w:hAnsi="宋体"/>
          <w:color w:val="auto"/>
          <w:sz w:val="24"/>
          <w:szCs w:val="24"/>
          <w:highlight w:val="none"/>
          <w:u w:val="single"/>
        </w:rPr>
        <w:t>1.由承包人负责工程的竣工验收相关事宜，包括资料移交、资料报送、上岗培训等一系列竣工验收工作，并配合发包人进行验收备案。2.因承包人资料缺失或不合格，造成不能竣工验收，发包人有权委托有资质的检测机构进行检测且由此发生的所有费用承包人承担。因承包人相关资料原件缺失造成不能竣工验收，承包人除承担工期延误的违约损失外，发包人有权停止支付后续工程款。</w:t>
      </w:r>
    </w:p>
    <w:p w14:paraId="7682F4DA">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13.3  </w:t>
      </w:r>
      <w:r>
        <w:rPr>
          <w:rFonts w:hint="eastAsia" w:ascii="宋体" w:hAnsi="宋体"/>
          <w:color w:val="auto"/>
          <w:sz w:val="24"/>
          <w:szCs w:val="24"/>
          <w:highlight w:val="none"/>
        </w:rPr>
        <w:t>工程试车</w:t>
      </w:r>
    </w:p>
    <w:p w14:paraId="545400B9">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13.3.1</w:t>
      </w:r>
      <w:r>
        <w:rPr>
          <w:rFonts w:hint="eastAsia" w:ascii="宋体" w:hAnsi="宋体"/>
          <w:color w:val="auto"/>
          <w:sz w:val="24"/>
          <w:szCs w:val="24"/>
          <w:highlight w:val="none"/>
        </w:rPr>
        <w:t xml:space="preserve">  试车程序</w:t>
      </w:r>
    </w:p>
    <w:p w14:paraId="2B31B7B2">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工程试车内容：</w:t>
      </w:r>
      <w:r>
        <w:rPr>
          <w:rFonts w:hint="eastAsia" w:ascii="宋体" w:hAnsi="宋体"/>
          <w:color w:val="auto"/>
          <w:sz w:val="24"/>
          <w:szCs w:val="24"/>
          <w:highlight w:val="none"/>
          <w:u w:val="single"/>
        </w:rPr>
        <w:t>执行通用合同条款</w:t>
      </w:r>
      <w:r>
        <w:rPr>
          <w:rFonts w:hint="eastAsia" w:ascii="宋体" w:hAnsi="宋体"/>
          <w:color w:val="auto"/>
          <w:sz w:val="24"/>
          <w:szCs w:val="24"/>
          <w:highlight w:val="none"/>
        </w:rPr>
        <w:t>。</w:t>
      </w:r>
    </w:p>
    <w:p w14:paraId="4DD8D888">
      <w:pPr>
        <w:spacing w:line="360" w:lineRule="auto"/>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1</w:t>
      </w:r>
      <w:r>
        <w:rPr>
          <w:rFonts w:hint="eastAsia" w:ascii="宋体" w:hAnsi="宋体"/>
          <w:color w:val="auto"/>
          <w:sz w:val="24"/>
          <w:szCs w:val="24"/>
          <w:highlight w:val="none"/>
        </w:rPr>
        <w:t>）单机无负荷试车费用由</w:t>
      </w:r>
      <w:r>
        <w:rPr>
          <w:rFonts w:hint="eastAsia" w:ascii="宋体" w:hAnsi="宋体"/>
          <w:color w:val="auto"/>
          <w:sz w:val="24"/>
          <w:szCs w:val="24"/>
          <w:highlight w:val="none"/>
          <w:u w:val="single"/>
        </w:rPr>
        <w:t>承包人</w:t>
      </w:r>
      <w:r>
        <w:rPr>
          <w:rFonts w:hint="eastAsia" w:ascii="宋体" w:hAnsi="宋体"/>
          <w:color w:val="auto"/>
          <w:sz w:val="24"/>
          <w:szCs w:val="24"/>
          <w:highlight w:val="none"/>
        </w:rPr>
        <w:t>承担；</w:t>
      </w:r>
    </w:p>
    <w:p w14:paraId="703C8E5F">
      <w:pPr>
        <w:spacing w:line="360" w:lineRule="auto"/>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2</w:t>
      </w:r>
      <w:r>
        <w:rPr>
          <w:rFonts w:hint="eastAsia" w:ascii="宋体" w:hAnsi="宋体"/>
          <w:color w:val="auto"/>
          <w:sz w:val="24"/>
          <w:szCs w:val="24"/>
          <w:highlight w:val="none"/>
        </w:rPr>
        <w:t>）无负荷联动试车费用由</w:t>
      </w:r>
      <w:r>
        <w:rPr>
          <w:rFonts w:hint="eastAsia" w:ascii="宋体" w:hAnsi="宋体"/>
          <w:color w:val="auto"/>
          <w:sz w:val="24"/>
          <w:szCs w:val="24"/>
          <w:highlight w:val="none"/>
          <w:u w:val="single"/>
        </w:rPr>
        <w:t>承包人</w:t>
      </w:r>
      <w:r>
        <w:rPr>
          <w:rFonts w:hint="eastAsia" w:ascii="宋体" w:hAnsi="宋体"/>
          <w:color w:val="auto"/>
          <w:sz w:val="24"/>
          <w:szCs w:val="24"/>
          <w:highlight w:val="none"/>
        </w:rPr>
        <w:t>承担。</w:t>
      </w:r>
    </w:p>
    <w:p w14:paraId="14D4B9EC">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13.3.3</w:t>
      </w:r>
      <w:r>
        <w:rPr>
          <w:rFonts w:hint="eastAsia" w:ascii="宋体" w:hAnsi="宋体"/>
          <w:color w:val="auto"/>
          <w:sz w:val="24"/>
          <w:szCs w:val="24"/>
          <w:highlight w:val="none"/>
        </w:rPr>
        <w:t xml:space="preserve">  投料试车</w:t>
      </w:r>
    </w:p>
    <w:p w14:paraId="456297B2">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关于投料试车相关事项的约定：</w:t>
      </w:r>
      <w:r>
        <w:rPr>
          <w:rFonts w:hint="eastAsia" w:ascii="宋体" w:hAnsi="宋体"/>
          <w:color w:val="auto"/>
          <w:sz w:val="24"/>
          <w:szCs w:val="24"/>
          <w:highlight w:val="none"/>
          <w:u w:val="single"/>
        </w:rPr>
        <w:t>执行通用合同条款</w:t>
      </w:r>
      <w:r>
        <w:rPr>
          <w:rFonts w:hint="eastAsia" w:ascii="宋体" w:hAnsi="宋体"/>
          <w:color w:val="auto"/>
          <w:sz w:val="24"/>
          <w:szCs w:val="24"/>
          <w:highlight w:val="none"/>
        </w:rPr>
        <w:t>。</w:t>
      </w:r>
    </w:p>
    <w:p w14:paraId="4B9FF57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13.6  </w:t>
      </w:r>
      <w:r>
        <w:rPr>
          <w:rFonts w:hint="eastAsia" w:ascii="宋体" w:hAnsi="宋体"/>
          <w:color w:val="auto"/>
          <w:sz w:val="24"/>
          <w:szCs w:val="24"/>
          <w:highlight w:val="none"/>
        </w:rPr>
        <w:t>竣工退场</w:t>
      </w:r>
    </w:p>
    <w:p w14:paraId="7D00EDB3">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13.6.1</w:t>
      </w:r>
      <w:r>
        <w:rPr>
          <w:rFonts w:hint="eastAsia" w:ascii="宋体" w:hAnsi="宋体"/>
          <w:color w:val="auto"/>
          <w:sz w:val="24"/>
          <w:szCs w:val="24"/>
          <w:highlight w:val="none"/>
        </w:rPr>
        <w:t xml:space="preserve">  竣工退场</w:t>
      </w:r>
    </w:p>
    <w:p w14:paraId="143B10C5">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承包人完成竣工退场的期限：</w:t>
      </w:r>
      <w:r>
        <w:rPr>
          <w:rFonts w:hint="eastAsia" w:ascii="宋体" w:hAnsi="宋体"/>
          <w:color w:val="auto"/>
          <w:sz w:val="24"/>
          <w:szCs w:val="24"/>
          <w:highlight w:val="none"/>
          <w:u w:val="single"/>
        </w:rPr>
        <w:t>执行通用合同条款</w:t>
      </w:r>
      <w:r>
        <w:rPr>
          <w:rFonts w:hint="eastAsia" w:ascii="宋体" w:hAnsi="宋体"/>
          <w:color w:val="auto"/>
          <w:sz w:val="24"/>
          <w:szCs w:val="24"/>
          <w:highlight w:val="none"/>
        </w:rPr>
        <w:t>。</w:t>
      </w:r>
    </w:p>
    <w:p w14:paraId="42C1C3A6">
      <w:pPr>
        <w:spacing w:line="360" w:lineRule="auto"/>
        <w:rPr>
          <w:rFonts w:ascii="宋体" w:hAnsi="宋体"/>
          <w:b/>
          <w:bCs/>
          <w:color w:val="auto"/>
          <w:sz w:val="24"/>
          <w:szCs w:val="24"/>
          <w:highlight w:val="none"/>
        </w:rPr>
      </w:pPr>
      <w:r>
        <w:rPr>
          <w:rFonts w:ascii="宋体" w:hAnsi="宋体"/>
          <w:b/>
          <w:bCs/>
          <w:color w:val="auto"/>
          <w:sz w:val="24"/>
          <w:szCs w:val="24"/>
          <w:highlight w:val="none"/>
        </w:rPr>
        <w:t xml:space="preserve">14  </w:t>
      </w:r>
      <w:r>
        <w:rPr>
          <w:rFonts w:hint="eastAsia" w:ascii="宋体" w:hAnsi="宋体"/>
          <w:b/>
          <w:bCs/>
          <w:color w:val="auto"/>
          <w:sz w:val="24"/>
          <w:szCs w:val="24"/>
          <w:highlight w:val="none"/>
        </w:rPr>
        <w:t>竣工结算</w:t>
      </w:r>
    </w:p>
    <w:p w14:paraId="704604E1">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14.1  </w:t>
      </w:r>
      <w:r>
        <w:rPr>
          <w:rFonts w:hint="eastAsia" w:ascii="宋体" w:hAnsi="宋体"/>
          <w:color w:val="auto"/>
          <w:sz w:val="24"/>
          <w:szCs w:val="24"/>
          <w:highlight w:val="none"/>
        </w:rPr>
        <w:t>竣工付款申请</w:t>
      </w:r>
    </w:p>
    <w:p w14:paraId="1812F9D3">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承包人提交竣工付款申请单的份数：</w:t>
      </w:r>
      <w:r>
        <w:rPr>
          <w:rFonts w:hint="eastAsia" w:ascii="宋体" w:hAnsi="宋体"/>
          <w:color w:val="auto"/>
          <w:sz w:val="24"/>
          <w:szCs w:val="24"/>
          <w:highlight w:val="none"/>
          <w:u w:val="single"/>
        </w:rPr>
        <w:t>四份</w:t>
      </w:r>
      <w:r>
        <w:rPr>
          <w:rFonts w:hint="eastAsia" w:ascii="宋体" w:hAnsi="宋体"/>
          <w:color w:val="auto"/>
          <w:sz w:val="24"/>
          <w:szCs w:val="24"/>
          <w:highlight w:val="none"/>
        </w:rPr>
        <w:t>。</w:t>
      </w:r>
    </w:p>
    <w:p w14:paraId="1FDD680B">
      <w:pPr>
        <w:spacing w:line="360" w:lineRule="auto"/>
        <w:ind w:firstLine="480" w:firstLineChars="200"/>
        <w:rPr>
          <w:rFonts w:hint="eastAsia" w:ascii="宋体" w:hAnsi="宋体"/>
          <w:color w:val="auto"/>
          <w:spacing w:val="-2"/>
          <w:sz w:val="24"/>
          <w:szCs w:val="24"/>
          <w:highlight w:val="none"/>
          <w:u w:val="single"/>
          <w:lang w:eastAsia="zh-CN"/>
        </w:rPr>
      </w:pPr>
      <w:r>
        <w:rPr>
          <w:rFonts w:hint="eastAsia" w:ascii="宋体" w:hAnsi="宋体"/>
          <w:color w:val="auto"/>
          <w:sz w:val="24"/>
          <w:szCs w:val="24"/>
          <w:highlight w:val="none"/>
        </w:rPr>
        <w:t>承包人提交竣工付款申请单的期限：</w:t>
      </w:r>
      <w:r>
        <w:rPr>
          <w:rFonts w:hint="eastAsia" w:ascii="宋体" w:hAnsi="宋体"/>
          <w:color w:val="auto"/>
          <w:spacing w:val="-2"/>
          <w:sz w:val="24"/>
          <w:szCs w:val="24"/>
          <w:highlight w:val="none"/>
          <w:u w:val="single"/>
        </w:rPr>
        <w:t>承包人在工程综合竣工验收</w:t>
      </w:r>
      <w:r>
        <w:rPr>
          <w:rFonts w:ascii="宋体" w:hAnsi="宋体"/>
          <w:color w:val="auto"/>
          <w:spacing w:val="-2"/>
          <w:sz w:val="24"/>
          <w:szCs w:val="24"/>
          <w:highlight w:val="none"/>
          <w:u w:val="single"/>
        </w:rPr>
        <w:t>30</w:t>
      </w:r>
      <w:r>
        <w:rPr>
          <w:rFonts w:hint="eastAsia" w:ascii="宋体" w:hAnsi="宋体"/>
          <w:color w:val="auto"/>
          <w:spacing w:val="-2"/>
          <w:sz w:val="24"/>
          <w:szCs w:val="24"/>
          <w:highlight w:val="none"/>
          <w:u w:val="single"/>
        </w:rPr>
        <w:t>天内向发包人递交竣工结算报告及完整的结算资料（包括详细的电子版工程量计算书、结算书，各类签证变更等）装订成册并加盖承包人</w:t>
      </w:r>
      <w:r>
        <w:rPr>
          <w:rFonts w:hint="eastAsia" w:ascii="宋体" w:hAnsi="宋体"/>
          <w:color w:val="auto"/>
          <w:spacing w:val="-2"/>
          <w:sz w:val="24"/>
          <w:szCs w:val="24"/>
          <w:highlight w:val="none"/>
          <w:u w:val="single"/>
          <w:lang w:val="en-US" w:eastAsia="zh-CN"/>
        </w:rPr>
        <w:t>公章、</w:t>
      </w:r>
      <w:r>
        <w:rPr>
          <w:rFonts w:hint="eastAsia" w:ascii="宋体" w:hAnsi="宋体"/>
          <w:color w:val="auto"/>
          <w:spacing w:val="-2"/>
          <w:sz w:val="24"/>
          <w:szCs w:val="24"/>
          <w:highlight w:val="none"/>
          <w:u w:val="single"/>
        </w:rPr>
        <w:t>法人章，一次定稿不得后续增补。发包人审核后，报审计单位审计。如发生承包人结算漏项时，则视为承包人放弃主张权利，在结算审核时不再给予计取。承包人逾期未提供结算报告，视为承包人放弃提交结算的权利，同时，发包人有权按照已有的结算资料由中介机构单方出具结算报告，由此造成的结算偏差、不能及时付款、农民工上访等一切后果，由承包</w:t>
      </w:r>
      <w:r>
        <w:rPr>
          <w:rFonts w:hint="eastAsia" w:ascii="宋体" w:hAnsi="宋体"/>
          <w:color w:val="auto"/>
          <w:spacing w:val="-2"/>
          <w:sz w:val="24"/>
          <w:szCs w:val="24"/>
          <w:highlight w:val="none"/>
          <w:u w:val="single"/>
          <w:lang w:val="en-US" w:eastAsia="zh-CN"/>
        </w:rPr>
        <w:t>人</w:t>
      </w:r>
      <w:r>
        <w:rPr>
          <w:rFonts w:hint="eastAsia" w:ascii="宋体" w:hAnsi="宋体"/>
          <w:color w:val="auto"/>
          <w:spacing w:val="-2"/>
          <w:sz w:val="24"/>
          <w:szCs w:val="24"/>
          <w:highlight w:val="none"/>
          <w:u w:val="single"/>
        </w:rPr>
        <w:t>承担</w:t>
      </w:r>
      <w:r>
        <w:rPr>
          <w:rFonts w:hint="eastAsia" w:ascii="宋体" w:hAnsi="宋体"/>
          <w:color w:val="auto"/>
          <w:spacing w:val="-2"/>
          <w:sz w:val="24"/>
          <w:szCs w:val="24"/>
          <w:highlight w:val="none"/>
          <w:u w:val="single"/>
          <w:lang w:eastAsia="zh-CN"/>
        </w:rPr>
        <w:t>。</w:t>
      </w:r>
    </w:p>
    <w:p w14:paraId="66320D24">
      <w:pPr>
        <w:spacing w:line="360" w:lineRule="auto"/>
        <w:ind w:firstLine="480" w:firstLineChars="200"/>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竣工付款申请单应包括的内容：</w:t>
      </w:r>
      <w:r>
        <w:rPr>
          <w:rFonts w:hint="eastAsia" w:ascii="宋体" w:hAnsi="宋体"/>
          <w:color w:val="auto"/>
          <w:sz w:val="24"/>
          <w:szCs w:val="24"/>
          <w:highlight w:val="none"/>
          <w:u w:val="single"/>
        </w:rPr>
        <w:t>按代建中心工程结算工作规程(试行)制度执行</w:t>
      </w:r>
      <w:r>
        <w:rPr>
          <w:rFonts w:hint="eastAsia" w:ascii="宋体" w:hAnsi="宋体"/>
          <w:color w:val="auto"/>
          <w:sz w:val="24"/>
          <w:szCs w:val="24"/>
          <w:highlight w:val="none"/>
          <w:u w:val="single"/>
          <w:lang w:eastAsia="zh-CN"/>
        </w:rPr>
        <w:t>；</w:t>
      </w:r>
    </w:p>
    <w:p w14:paraId="05C46F6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14.2  </w:t>
      </w:r>
      <w:r>
        <w:rPr>
          <w:rFonts w:hint="eastAsia" w:ascii="宋体" w:hAnsi="宋体"/>
          <w:color w:val="auto"/>
          <w:sz w:val="24"/>
          <w:szCs w:val="24"/>
          <w:highlight w:val="none"/>
        </w:rPr>
        <w:t>竣工结算审核</w:t>
      </w:r>
    </w:p>
    <w:p w14:paraId="0AC30BA9">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竣工结算审核：</w:t>
      </w:r>
      <w:r>
        <w:rPr>
          <w:rFonts w:hint="eastAsia" w:ascii="宋体" w:hAnsi="宋体"/>
          <w:color w:val="auto"/>
          <w:sz w:val="24"/>
          <w:szCs w:val="24"/>
          <w:highlight w:val="none"/>
          <w:u w:val="single"/>
        </w:rPr>
        <w:t>按代建中心工程结算工作规程(试行)制度执行</w:t>
      </w:r>
      <w:r>
        <w:rPr>
          <w:rFonts w:hint="eastAsia" w:ascii="宋体" w:hAnsi="宋体"/>
          <w:color w:val="auto"/>
          <w:sz w:val="24"/>
          <w:szCs w:val="24"/>
          <w:highlight w:val="none"/>
        </w:rPr>
        <w:t>；</w:t>
      </w:r>
    </w:p>
    <w:p w14:paraId="2EE6727E">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发包人审核竣工付款申请单的期限：</w:t>
      </w:r>
      <w:r>
        <w:rPr>
          <w:rFonts w:hint="eastAsia" w:ascii="宋体" w:hAnsi="宋体"/>
          <w:color w:val="auto"/>
          <w:sz w:val="24"/>
          <w:szCs w:val="24"/>
          <w:highlight w:val="none"/>
          <w:u w:val="single"/>
        </w:rPr>
        <w:t>以财政支付流程为准</w:t>
      </w:r>
      <w:r>
        <w:rPr>
          <w:rFonts w:hint="eastAsia" w:ascii="宋体" w:hAnsi="宋体"/>
          <w:color w:val="auto"/>
          <w:sz w:val="24"/>
          <w:szCs w:val="24"/>
          <w:highlight w:val="none"/>
        </w:rPr>
        <w:t>；</w:t>
      </w:r>
    </w:p>
    <w:p w14:paraId="3FAA254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发包人完成竣工付款的期限：</w:t>
      </w:r>
      <w:r>
        <w:rPr>
          <w:rFonts w:hint="eastAsia" w:ascii="宋体" w:hAnsi="宋体"/>
          <w:color w:val="auto"/>
          <w:sz w:val="24"/>
          <w:szCs w:val="24"/>
          <w:highlight w:val="none"/>
          <w:u w:val="single"/>
        </w:rPr>
        <w:t>以财政支付流程为准</w:t>
      </w:r>
      <w:r>
        <w:rPr>
          <w:rFonts w:hint="eastAsia" w:ascii="宋体" w:hAnsi="宋体"/>
          <w:color w:val="auto"/>
          <w:sz w:val="24"/>
          <w:szCs w:val="24"/>
          <w:highlight w:val="none"/>
        </w:rPr>
        <w:t>；</w:t>
      </w:r>
    </w:p>
    <w:p w14:paraId="026FFCC0">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关于承包人收款账户的约定：</w:t>
      </w:r>
      <w:r>
        <w:rPr>
          <w:rFonts w:hint="eastAsia" w:ascii="宋体" w:hAnsi="宋体"/>
          <w:color w:val="auto"/>
          <w:sz w:val="24"/>
          <w:szCs w:val="24"/>
          <w:highlight w:val="none"/>
          <w:u w:val="single"/>
        </w:rPr>
        <w:t>签署页预留基本账户</w:t>
      </w:r>
      <w:r>
        <w:rPr>
          <w:rFonts w:hint="eastAsia" w:ascii="宋体" w:hAnsi="宋体"/>
          <w:color w:val="auto"/>
          <w:sz w:val="24"/>
          <w:szCs w:val="24"/>
          <w:highlight w:val="none"/>
        </w:rPr>
        <w:t>。</w:t>
      </w:r>
    </w:p>
    <w:p w14:paraId="2262EEB9">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14.4  </w:t>
      </w:r>
      <w:r>
        <w:rPr>
          <w:rFonts w:hint="eastAsia" w:ascii="宋体" w:hAnsi="宋体"/>
          <w:color w:val="auto"/>
          <w:sz w:val="24"/>
          <w:szCs w:val="24"/>
          <w:highlight w:val="none"/>
        </w:rPr>
        <w:t>最终结清</w:t>
      </w:r>
    </w:p>
    <w:p w14:paraId="33B014D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14.4.1 </w:t>
      </w:r>
      <w:r>
        <w:rPr>
          <w:rFonts w:hint="eastAsia" w:ascii="宋体" w:hAnsi="宋体"/>
          <w:color w:val="auto"/>
          <w:sz w:val="24"/>
          <w:szCs w:val="24"/>
          <w:highlight w:val="none"/>
        </w:rPr>
        <w:t xml:space="preserve"> 最终结清申请单</w:t>
      </w:r>
    </w:p>
    <w:p w14:paraId="08820ADE">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承包人提交最终结清申请单的份数：</w:t>
      </w:r>
      <w:r>
        <w:rPr>
          <w:rFonts w:hint="eastAsia" w:ascii="宋体" w:hAnsi="宋体"/>
          <w:color w:val="auto"/>
          <w:sz w:val="24"/>
          <w:szCs w:val="24"/>
          <w:highlight w:val="none"/>
          <w:u w:val="single"/>
        </w:rPr>
        <w:t>肆份</w:t>
      </w:r>
      <w:r>
        <w:rPr>
          <w:rFonts w:hint="eastAsia" w:ascii="宋体" w:hAnsi="宋体"/>
          <w:color w:val="auto"/>
          <w:sz w:val="24"/>
          <w:szCs w:val="24"/>
          <w:highlight w:val="none"/>
        </w:rPr>
        <w:t>。</w:t>
      </w:r>
    </w:p>
    <w:p w14:paraId="41181607">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承包人提交最终结算申请单的期限：</w:t>
      </w:r>
      <w:r>
        <w:rPr>
          <w:rFonts w:hint="eastAsia" w:ascii="宋体" w:hAnsi="宋体"/>
          <w:color w:val="auto"/>
          <w:sz w:val="24"/>
          <w:szCs w:val="24"/>
          <w:highlight w:val="none"/>
          <w:u w:val="single"/>
        </w:rPr>
        <w:t>保修期满后</w:t>
      </w:r>
      <w:r>
        <w:rPr>
          <w:rFonts w:hint="eastAsia" w:ascii="宋体" w:hAnsi="宋体"/>
          <w:color w:val="auto"/>
          <w:sz w:val="24"/>
          <w:szCs w:val="24"/>
          <w:highlight w:val="none"/>
        </w:rPr>
        <w:t>。</w:t>
      </w:r>
    </w:p>
    <w:p w14:paraId="3F41A3B1">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14.4.2</w:t>
      </w:r>
      <w:r>
        <w:rPr>
          <w:rFonts w:hint="eastAsia" w:ascii="宋体" w:hAnsi="宋体"/>
          <w:color w:val="auto"/>
          <w:sz w:val="24"/>
          <w:szCs w:val="24"/>
          <w:highlight w:val="none"/>
        </w:rPr>
        <w:t xml:space="preserve">  最终结清证书和支付</w:t>
      </w:r>
    </w:p>
    <w:p w14:paraId="685E5CE6">
      <w:pPr>
        <w:spacing w:line="360" w:lineRule="auto"/>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1</w:t>
      </w:r>
      <w:r>
        <w:rPr>
          <w:rFonts w:hint="eastAsia" w:ascii="宋体" w:hAnsi="宋体"/>
          <w:color w:val="auto"/>
          <w:sz w:val="24"/>
          <w:szCs w:val="24"/>
          <w:highlight w:val="none"/>
        </w:rPr>
        <w:t>）发包人完成最终结清申请单的审核并颁发最终结清证书的期限：</w:t>
      </w:r>
      <w:r>
        <w:rPr>
          <w:rFonts w:hint="eastAsia" w:ascii="宋体" w:hAnsi="宋体"/>
          <w:color w:val="auto"/>
          <w:sz w:val="24"/>
          <w:szCs w:val="24"/>
          <w:highlight w:val="none"/>
          <w:u w:val="single"/>
        </w:rPr>
        <w:t xml:space="preserve">  ///   </w:t>
      </w:r>
      <w:r>
        <w:rPr>
          <w:rFonts w:hint="eastAsia" w:ascii="宋体" w:hAnsi="宋体"/>
          <w:color w:val="auto"/>
          <w:sz w:val="24"/>
          <w:szCs w:val="24"/>
          <w:highlight w:val="none"/>
        </w:rPr>
        <w:t>。</w:t>
      </w:r>
    </w:p>
    <w:p w14:paraId="502B422B">
      <w:pPr>
        <w:spacing w:line="360" w:lineRule="auto"/>
        <w:rPr>
          <w:rFonts w:ascii="宋体" w:hAnsi="宋体"/>
          <w:color w:val="auto"/>
          <w:sz w:val="24"/>
          <w:szCs w:val="24"/>
          <w:highlight w:val="none"/>
          <w:u w:val="single"/>
        </w:rPr>
      </w:pPr>
      <w:r>
        <w:rPr>
          <w:rFonts w:hint="eastAsia" w:ascii="宋体" w:hAnsi="宋体"/>
          <w:color w:val="auto"/>
          <w:sz w:val="24"/>
          <w:szCs w:val="24"/>
          <w:highlight w:val="none"/>
        </w:rPr>
        <w:t>（</w:t>
      </w:r>
      <w:r>
        <w:rPr>
          <w:rFonts w:ascii="宋体" w:hAnsi="宋体"/>
          <w:color w:val="auto"/>
          <w:sz w:val="24"/>
          <w:szCs w:val="24"/>
          <w:highlight w:val="none"/>
        </w:rPr>
        <w:t>2</w:t>
      </w:r>
      <w:r>
        <w:rPr>
          <w:rFonts w:hint="eastAsia" w:ascii="宋体" w:hAnsi="宋体"/>
          <w:color w:val="auto"/>
          <w:sz w:val="24"/>
          <w:szCs w:val="24"/>
          <w:highlight w:val="none"/>
        </w:rPr>
        <w:t>）发包人完成支付的期限：</w:t>
      </w:r>
      <w:r>
        <w:rPr>
          <w:rFonts w:hint="eastAsia" w:ascii="宋体" w:hAnsi="宋体"/>
          <w:color w:val="auto"/>
          <w:sz w:val="24"/>
          <w:szCs w:val="24"/>
          <w:highlight w:val="none"/>
          <w:u w:val="single"/>
        </w:rPr>
        <w:t>发包人收到竣工结算报告及结算资料，竣工结算审核完成，经审计完成后且政府资金到位后支付工程结算价款。</w:t>
      </w:r>
    </w:p>
    <w:p w14:paraId="37CAA3A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15  </w:t>
      </w:r>
      <w:r>
        <w:rPr>
          <w:rFonts w:hint="eastAsia" w:ascii="宋体" w:hAnsi="宋体"/>
          <w:color w:val="auto"/>
          <w:sz w:val="24"/>
          <w:szCs w:val="24"/>
          <w:highlight w:val="none"/>
        </w:rPr>
        <w:t>缺陷责任期与保修</w:t>
      </w:r>
    </w:p>
    <w:p w14:paraId="07E6B284">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15.2  </w:t>
      </w:r>
      <w:r>
        <w:rPr>
          <w:rFonts w:hint="eastAsia" w:ascii="宋体" w:hAnsi="宋体"/>
          <w:color w:val="auto"/>
          <w:sz w:val="24"/>
          <w:szCs w:val="24"/>
          <w:highlight w:val="none"/>
        </w:rPr>
        <w:t>缺陷责任期</w:t>
      </w:r>
    </w:p>
    <w:p w14:paraId="7E0CEAD5">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缺陷责任期的具体期限：</w:t>
      </w:r>
      <w:r>
        <w:rPr>
          <w:rFonts w:hint="eastAsia" w:ascii="宋体" w:hAnsi="宋体"/>
          <w:color w:val="auto"/>
          <w:sz w:val="24"/>
          <w:szCs w:val="24"/>
          <w:highlight w:val="none"/>
          <w:u w:val="single"/>
        </w:rPr>
        <w:t>自实际竣工日期起计算满</w:t>
      </w:r>
      <w:r>
        <w:rPr>
          <w:rFonts w:ascii="宋体" w:hAnsi="宋体"/>
          <w:color w:val="auto"/>
          <w:sz w:val="24"/>
          <w:szCs w:val="24"/>
          <w:highlight w:val="none"/>
          <w:u w:val="single"/>
        </w:rPr>
        <w:t>24</w:t>
      </w:r>
      <w:r>
        <w:rPr>
          <w:rFonts w:hint="eastAsia" w:ascii="宋体" w:hAnsi="宋体"/>
          <w:color w:val="auto"/>
          <w:sz w:val="24"/>
          <w:szCs w:val="24"/>
          <w:highlight w:val="none"/>
          <w:u w:val="single"/>
        </w:rPr>
        <w:t>个月</w:t>
      </w:r>
      <w:r>
        <w:rPr>
          <w:rFonts w:hint="eastAsia" w:ascii="宋体" w:hAnsi="宋体"/>
          <w:color w:val="auto"/>
          <w:sz w:val="24"/>
          <w:szCs w:val="24"/>
          <w:highlight w:val="none"/>
        </w:rPr>
        <w:t>。</w:t>
      </w:r>
    </w:p>
    <w:p w14:paraId="5E70AE43">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15.3  </w:t>
      </w:r>
      <w:r>
        <w:rPr>
          <w:rFonts w:hint="eastAsia" w:ascii="宋体" w:hAnsi="宋体"/>
          <w:color w:val="auto"/>
          <w:sz w:val="24"/>
          <w:szCs w:val="24"/>
          <w:highlight w:val="none"/>
        </w:rPr>
        <w:t>质量保证金</w:t>
      </w:r>
    </w:p>
    <w:p w14:paraId="3F238745">
      <w:pPr>
        <w:autoSpaceDE w:val="0"/>
        <w:autoSpaceDN w:val="0"/>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关于是否扣留质量保证金的约定：</w:t>
      </w:r>
      <w:r>
        <w:rPr>
          <w:rFonts w:hint="eastAsia" w:ascii="宋体" w:hAnsi="宋体"/>
          <w:color w:val="auto"/>
          <w:sz w:val="24"/>
          <w:szCs w:val="24"/>
          <w:highlight w:val="none"/>
          <w:u w:val="single"/>
        </w:rPr>
        <w:t>是</w:t>
      </w:r>
      <w:r>
        <w:rPr>
          <w:rFonts w:hint="eastAsia" w:ascii="宋体" w:hAnsi="宋体"/>
          <w:color w:val="auto"/>
          <w:sz w:val="24"/>
          <w:szCs w:val="24"/>
          <w:highlight w:val="none"/>
        </w:rPr>
        <w:t>。在工程项目竣工前，承包人按专用合同条款第3.7条提供履约担保的，发包人不得同时预留工程质量保证金。</w:t>
      </w:r>
    </w:p>
    <w:p w14:paraId="4AB83D49">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15.3.1</w:t>
      </w:r>
      <w:r>
        <w:rPr>
          <w:rFonts w:hint="eastAsia" w:ascii="宋体" w:hAnsi="宋体"/>
          <w:color w:val="auto"/>
          <w:sz w:val="24"/>
          <w:szCs w:val="24"/>
          <w:highlight w:val="none"/>
        </w:rPr>
        <w:t xml:space="preserve">  承包人提供质量保证金的方式</w:t>
      </w:r>
    </w:p>
    <w:p w14:paraId="427DB715">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质量保证金采用以下第</w:t>
      </w:r>
      <w:r>
        <w:rPr>
          <w:rFonts w:hint="eastAsia" w:ascii="宋体" w:hAnsi="宋体"/>
          <w:color w:val="auto"/>
          <w:sz w:val="24"/>
          <w:szCs w:val="24"/>
          <w:highlight w:val="none"/>
          <w:u w:val="single"/>
        </w:rPr>
        <w:t>（1）或（</w:t>
      </w:r>
      <w:r>
        <w:rPr>
          <w:rFonts w:ascii="宋体" w:hAnsi="宋体"/>
          <w:color w:val="auto"/>
          <w:sz w:val="24"/>
          <w:szCs w:val="24"/>
          <w:highlight w:val="none"/>
          <w:u w:val="single"/>
        </w:rPr>
        <w:t>2</w:t>
      </w:r>
      <w:r>
        <w:rPr>
          <w:rFonts w:hint="eastAsia" w:ascii="宋体" w:hAnsi="宋体"/>
          <w:color w:val="auto"/>
          <w:sz w:val="24"/>
          <w:szCs w:val="24"/>
          <w:highlight w:val="none"/>
          <w:u w:val="single"/>
        </w:rPr>
        <w:t>）</w:t>
      </w:r>
      <w:r>
        <w:rPr>
          <w:rFonts w:hint="eastAsia" w:ascii="宋体" w:hAnsi="宋体"/>
          <w:color w:val="auto"/>
          <w:sz w:val="24"/>
          <w:szCs w:val="24"/>
          <w:highlight w:val="none"/>
        </w:rPr>
        <w:t>种方式：</w:t>
      </w:r>
    </w:p>
    <w:p w14:paraId="1F4C3D01">
      <w:pPr>
        <w:autoSpaceDE w:val="0"/>
        <w:autoSpaceDN w:val="0"/>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1</w:t>
      </w:r>
      <w:r>
        <w:rPr>
          <w:rFonts w:hint="eastAsia" w:ascii="宋体" w:hAnsi="宋体"/>
          <w:color w:val="auto"/>
          <w:sz w:val="24"/>
          <w:szCs w:val="24"/>
          <w:highlight w:val="none"/>
        </w:rPr>
        <w:t>）质量保证金保函，金额为：</w:t>
      </w:r>
      <w:r>
        <w:rPr>
          <w:rFonts w:hint="eastAsia" w:ascii="宋体" w:hAnsi="宋体"/>
          <w:color w:val="auto"/>
          <w:sz w:val="24"/>
          <w:szCs w:val="24"/>
          <w:highlight w:val="none"/>
          <w:u w:val="single"/>
        </w:rPr>
        <w:t xml:space="preserve"> 3</w:t>
      </w:r>
      <w:r>
        <w:rPr>
          <w:rFonts w:ascii="宋体" w:hAnsi="宋体"/>
          <w:color w:val="auto"/>
          <w:sz w:val="24"/>
          <w:szCs w:val="24"/>
          <w:highlight w:val="none"/>
          <w:u w:val="single"/>
        </w:rPr>
        <w:t xml:space="preserve"> </w:t>
      </w:r>
      <w:r>
        <w:rPr>
          <w:rFonts w:ascii="宋体" w:hAnsi="宋体"/>
          <w:color w:val="auto"/>
          <w:sz w:val="24"/>
          <w:szCs w:val="24"/>
          <w:highlight w:val="none"/>
        </w:rPr>
        <w:t>%</w:t>
      </w:r>
      <w:r>
        <w:rPr>
          <w:rFonts w:hint="eastAsia" w:ascii="宋体" w:hAnsi="宋体"/>
          <w:color w:val="auto"/>
          <w:sz w:val="24"/>
          <w:szCs w:val="24"/>
          <w:highlight w:val="none"/>
        </w:rPr>
        <w:t>的工程款；</w:t>
      </w:r>
    </w:p>
    <w:p w14:paraId="72592DF3">
      <w:pPr>
        <w:autoSpaceDE w:val="0"/>
        <w:autoSpaceDN w:val="0"/>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2</w:t>
      </w:r>
      <w:r>
        <w:rPr>
          <w:rFonts w:hint="eastAsia" w:ascii="宋体" w:hAnsi="宋体"/>
          <w:color w:val="auto"/>
          <w:sz w:val="24"/>
          <w:szCs w:val="24"/>
          <w:highlight w:val="none"/>
        </w:rPr>
        <w:t>）现金：结算金额的</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3</w:t>
      </w:r>
      <w:r>
        <w:rPr>
          <w:rFonts w:ascii="宋体" w:hAnsi="宋体"/>
          <w:color w:val="auto"/>
          <w:sz w:val="24"/>
          <w:szCs w:val="24"/>
          <w:highlight w:val="none"/>
          <w:u w:val="single"/>
        </w:rPr>
        <w:t xml:space="preserve"> </w:t>
      </w:r>
      <w:r>
        <w:rPr>
          <w:rFonts w:ascii="宋体" w:hAnsi="宋体"/>
          <w:color w:val="auto"/>
          <w:sz w:val="24"/>
          <w:szCs w:val="24"/>
          <w:highlight w:val="none"/>
        </w:rPr>
        <w:t>%</w:t>
      </w:r>
      <w:r>
        <w:rPr>
          <w:rFonts w:hint="eastAsia" w:ascii="宋体" w:hAnsi="宋体"/>
          <w:color w:val="auto"/>
          <w:sz w:val="24"/>
          <w:szCs w:val="24"/>
          <w:highlight w:val="none"/>
        </w:rPr>
        <w:t>的工程款；</w:t>
      </w:r>
    </w:p>
    <w:p w14:paraId="46A5B58A">
      <w:pPr>
        <w:autoSpaceDE w:val="0"/>
        <w:autoSpaceDN w:val="0"/>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3</w:t>
      </w:r>
      <w:r>
        <w:rPr>
          <w:rFonts w:hint="eastAsia" w:ascii="宋体" w:hAnsi="宋体"/>
          <w:color w:val="auto"/>
          <w:sz w:val="24"/>
          <w:szCs w:val="24"/>
          <w:highlight w:val="none"/>
        </w:rPr>
        <w:t>）其他扣留方式：</w:t>
      </w:r>
      <w:r>
        <w:rPr>
          <w:rFonts w:hint="eastAsia" w:ascii="宋体" w:hAnsi="宋体"/>
          <w:color w:val="auto"/>
          <w:sz w:val="24"/>
          <w:szCs w:val="24"/>
          <w:highlight w:val="none"/>
          <w:lang w:val="en-US" w:eastAsia="zh-CN"/>
        </w:rPr>
        <w:t>递交</w:t>
      </w:r>
      <w:r>
        <w:rPr>
          <w:rFonts w:hint="eastAsia" w:ascii="宋体" w:hAnsi="宋体"/>
          <w:color w:val="auto"/>
          <w:sz w:val="24"/>
          <w:szCs w:val="24"/>
          <w:highlight w:val="none"/>
        </w:rPr>
        <w:t>《质量保证金保函》金额为审定价款的3%</w:t>
      </w: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形式为银行保函或商业保函</w:t>
      </w:r>
      <w:r>
        <w:rPr>
          <w:rFonts w:hint="eastAsia" w:ascii="宋体" w:hAnsi="宋体"/>
          <w:color w:val="auto"/>
          <w:sz w:val="24"/>
          <w:szCs w:val="24"/>
          <w:highlight w:val="none"/>
        </w:rPr>
        <w:t>。</w:t>
      </w:r>
    </w:p>
    <w:p w14:paraId="3FF9BBEA">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15.3.2 </w:t>
      </w:r>
      <w:r>
        <w:rPr>
          <w:rFonts w:hint="eastAsia" w:ascii="宋体" w:hAnsi="宋体"/>
          <w:color w:val="auto"/>
          <w:sz w:val="24"/>
          <w:szCs w:val="24"/>
          <w:highlight w:val="none"/>
        </w:rPr>
        <w:t xml:space="preserve"> 质量保证金的扣留</w:t>
      </w:r>
    </w:p>
    <w:p w14:paraId="3D77E1D0">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质量保证金的扣留采取以下第</w:t>
      </w:r>
      <w:r>
        <w:rPr>
          <w:rFonts w:hint="eastAsia" w:ascii="宋体" w:hAnsi="宋体"/>
          <w:color w:val="auto"/>
          <w:sz w:val="24"/>
          <w:szCs w:val="24"/>
          <w:highlight w:val="none"/>
          <w:u w:val="single"/>
        </w:rPr>
        <w:t>（</w:t>
      </w:r>
      <w:r>
        <w:rPr>
          <w:rFonts w:hint="eastAsia" w:ascii="宋体" w:hAnsi="宋体"/>
          <w:color w:val="auto"/>
          <w:sz w:val="24"/>
          <w:szCs w:val="24"/>
          <w:highlight w:val="none"/>
          <w:u w:val="single"/>
          <w:lang w:val="en-US" w:eastAsia="zh-CN"/>
        </w:rPr>
        <w:t>3</w:t>
      </w:r>
      <w:r>
        <w:rPr>
          <w:rFonts w:hint="eastAsia" w:ascii="宋体" w:hAnsi="宋体"/>
          <w:color w:val="auto"/>
          <w:sz w:val="24"/>
          <w:szCs w:val="24"/>
          <w:highlight w:val="none"/>
          <w:u w:val="single"/>
        </w:rPr>
        <w:t>）</w:t>
      </w:r>
      <w:r>
        <w:rPr>
          <w:rFonts w:hint="eastAsia" w:ascii="宋体" w:hAnsi="宋体"/>
          <w:color w:val="auto"/>
          <w:sz w:val="24"/>
          <w:szCs w:val="24"/>
          <w:highlight w:val="none"/>
        </w:rPr>
        <w:t>种方式：</w:t>
      </w:r>
    </w:p>
    <w:p w14:paraId="4FA784A9">
      <w:pPr>
        <w:autoSpaceDE w:val="0"/>
        <w:autoSpaceDN w:val="0"/>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1</w:t>
      </w:r>
      <w:r>
        <w:rPr>
          <w:rFonts w:hint="eastAsia" w:ascii="宋体" w:hAnsi="宋体"/>
          <w:color w:val="auto"/>
          <w:sz w:val="24"/>
          <w:szCs w:val="24"/>
          <w:highlight w:val="none"/>
        </w:rPr>
        <w:t>）在支付工程进度款时逐次扣留，在此情形下，质量保证金的计算基数不包括预付款的支付、扣回以及价格调整的金额；</w:t>
      </w:r>
    </w:p>
    <w:p w14:paraId="35FDA506">
      <w:pPr>
        <w:autoSpaceDE w:val="0"/>
        <w:autoSpaceDN w:val="0"/>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2</w:t>
      </w:r>
      <w:r>
        <w:rPr>
          <w:rFonts w:hint="eastAsia" w:ascii="宋体" w:hAnsi="宋体"/>
          <w:color w:val="auto"/>
          <w:sz w:val="24"/>
          <w:szCs w:val="24"/>
          <w:highlight w:val="none"/>
        </w:rPr>
        <w:t>）工程竣工结算时一次性扣留质量保证金；</w:t>
      </w:r>
    </w:p>
    <w:p w14:paraId="53C43246">
      <w:pPr>
        <w:autoSpaceDE w:val="0"/>
        <w:autoSpaceDN w:val="0"/>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3</w:t>
      </w:r>
      <w:r>
        <w:rPr>
          <w:rFonts w:hint="eastAsia" w:ascii="宋体" w:hAnsi="宋体"/>
          <w:color w:val="auto"/>
          <w:sz w:val="24"/>
          <w:szCs w:val="24"/>
          <w:highlight w:val="none"/>
        </w:rPr>
        <w:t>）其他扣留方式：</w:t>
      </w:r>
      <w:r>
        <w:rPr>
          <w:rFonts w:hint="eastAsia" w:ascii="宋体" w:hAnsi="宋体"/>
          <w:color w:val="auto"/>
          <w:sz w:val="24"/>
          <w:szCs w:val="24"/>
          <w:highlight w:val="none"/>
          <w:lang w:val="en-US" w:eastAsia="zh-CN"/>
        </w:rPr>
        <w:t>递交</w:t>
      </w:r>
      <w:r>
        <w:rPr>
          <w:rFonts w:hint="eastAsia" w:ascii="宋体" w:hAnsi="宋体"/>
          <w:color w:val="auto"/>
          <w:sz w:val="24"/>
          <w:szCs w:val="24"/>
          <w:highlight w:val="none"/>
        </w:rPr>
        <w:t>《质量保证金保函》金额为审定价款的3%</w:t>
      </w: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形式为形式为银行保函或商业保函</w:t>
      </w:r>
      <w:r>
        <w:rPr>
          <w:rFonts w:hint="eastAsia" w:ascii="宋体" w:hAnsi="宋体"/>
          <w:color w:val="auto"/>
          <w:sz w:val="24"/>
          <w:szCs w:val="24"/>
          <w:highlight w:val="none"/>
        </w:rPr>
        <w:t>。</w:t>
      </w:r>
    </w:p>
    <w:p w14:paraId="51C4A51F">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关于质量保证金的补充约定：</w:t>
      </w:r>
      <w:r>
        <w:rPr>
          <w:rFonts w:hint="eastAsia" w:ascii="宋体" w:hAnsi="宋体"/>
          <w:color w:val="auto"/>
          <w:sz w:val="24"/>
          <w:szCs w:val="24"/>
          <w:highlight w:val="none"/>
          <w:u w:val="single"/>
        </w:rPr>
        <w:t>最终额为结算总价款的3</w:t>
      </w:r>
      <w:r>
        <w:rPr>
          <w:rFonts w:ascii="宋体" w:hAnsi="宋体"/>
          <w:color w:val="auto"/>
          <w:sz w:val="24"/>
          <w:szCs w:val="24"/>
          <w:highlight w:val="none"/>
          <w:u w:val="single"/>
        </w:rPr>
        <w:t>%</w:t>
      </w:r>
      <w:r>
        <w:rPr>
          <w:rFonts w:hint="eastAsia" w:ascii="宋体" w:hAnsi="宋体"/>
          <w:color w:val="auto"/>
          <w:sz w:val="24"/>
          <w:szCs w:val="24"/>
          <w:highlight w:val="none"/>
        </w:rPr>
        <w:t>。</w:t>
      </w:r>
    </w:p>
    <w:p w14:paraId="0757B9C7">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15.4  </w:t>
      </w:r>
      <w:r>
        <w:rPr>
          <w:rFonts w:hint="eastAsia" w:ascii="宋体" w:hAnsi="宋体"/>
          <w:color w:val="auto"/>
          <w:sz w:val="24"/>
          <w:szCs w:val="24"/>
          <w:highlight w:val="none"/>
        </w:rPr>
        <w:t>保修</w:t>
      </w:r>
    </w:p>
    <w:p w14:paraId="7CC73125">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15.4.1 </w:t>
      </w:r>
      <w:r>
        <w:rPr>
          <w:rFonts w:hint="eastAsia" w:ascii="宋体" w:hAnsi="宋体"/>
          <w:color w:val="auto"/>
          <w:sz w:val="24"/>
          <w:szCs w:val="24"/>
          <w:highlight w:val="none"/>
        </w:rPr>
        <w:t xml:space="preserve"> 保修责任</w:t>
      </w:r>
    </w:p>
    <w:p w14:paraId="6B28BEAF">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工程保修期为：</w:t>
      </w:r>
      <w:r>
        <w:rPr>
          <w:rFonts w:hint="eastAsia" w:ascii="宋体" w:hAnsi="宋体"/>
          <w:color w:val="auto"/>
          <w:sz w:val="24"/>
          <w:szCs w:val="24"/>
          <w:highlight w:val="none"/>
          <w:u w:val="single"/>
        </w:rPr>
        <w:t>见质量保修协议</w:t>
      </w:r>
      <w:r>
        <w:rPr>
          <w:rFonts w:hint="eastAsia" w:ascii="宋体" w:hAnsi="宋体"/>
          <w:color w:val="auto"/>
          <w:sz w:val="24"/>
          <w:szCs w:val="24"/>
          <w:highlight w:val="none"/>
        </w:rPr>
        <w:t>。</w:t>
      </w:r>
    </w:p>
    <w:p w14:paraId="0CAA9FCA">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15.4.3 </w:t>
      </w:r>
      <w:r>
        <w:rPr>
          <w:rFonts w:hint="eastAsia" w:ascii="宋体" w:hAnsi="宋体"/>
          <w:color w:val="auto"/>
          <w:sz w:val="24"/>
          <w:szCs w:val="24"/>
          <w:highlight w:val="none"/>
        </w:rPr>
        <w:t xml:space="preserve"> 修复通知</w:t>
      </w:r>
    </w:p>
    <w:p w14:paraId="48F07933">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承包人收到保修通知并到达工程现场的合理时间：</w:t>
      </w:r>
      <w:r>
        <w:rPr>
          <w:rFonts w:hint="eastAsia" w:ascii="宋体" w:hAnsi="宋体"/>
          <w:color w:val="auto"/>
          <w:sz w:val="24"/>
          <w:szCs w:val="24"/>
          <w:highlight w:val="none"/>
          <w:u w:val="single"/>
        </w:rPr>
        <w:t>见质量保修协议</w:t>
      </w:r>
      <w:r>
        <w:rPr>
          <w:rFonts w:hint="eastAsia" w:ascii="宋体" w:hAnsi="宋体"/>
          <w:color w:val="auto"/>
          <w:sz w:val="24"/>
          <w:szCs w:val="24"/>
          <w:highlight w:val="none"/>
        </w:rPr>
        <w:t>。</w:t>
      </w:r>
    </w:p>
    <w:p w14:paraId="512D8953">
      <w:pPr>
        <w:spacing w:line="360" w:lineRule="auto"/>
        <w:rPr>
          <w:rFonts w:ascii="宋体" w:hAnsi="宋体"/>
          <w:color w:val="auto"/>
          <w:sz w:val="24"/>
          <w:szCs w:val="24"/>
          <w:highlight w:val="none"/>
        </w:rPr>
      </w:pPr>
      <w:r>
        <w:rPr>
          <w:rFonts w:ascii="宋体" w:hAnsi="宋体"/>
          <w:color w:val="auto"/>
          <w:sz w:val="24"/>
          <w:szCs w:val="24"/>
          <w:highlight w:val="none"/>
        </w:rPr>
        <w:t xml:space="preserve">16  </w:t>
      </w:r>
      <w:r>
        <w:rPr>
          <w:rFonts w:hint="eastAsia" w:ascii="宋体" w:hAnsi="宋体"/>
          <w:color w:val="auto"/>
          <w:sz w:val="24"/>
          <w:szCs w:val="24"/>
          <w:highlight w:val="none"/>
        </w:rPr>
        <w:t>违约</w:t>
      </w:r>
    </w:p>
    <w:p w14:paraId="0F088446">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16.1  </w:t>
      </w:r>
      <w:r>
        <w:rPr>
          <w:rFonts w:hint="eastAsia" w:ascii="宋体" w:hAnsi="宋体"/>
          <w:color w:val="auto"/>
          <w:sz w:val="24"/>
          <w:szCs w:val="24"/>
          <w:highlight w:val="none"/>
        </w:rPr>
        <w:t>发包人违约</w:t>
      </w:r>
    </w:p>
    <w:p w14:paraId="3C26E1C8">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16.1.1 </w:t>
      </w:r>
      <w:r>
        <w:rPr>
          <w:rFonts w:hint="eastAsia" w:ascii="宋体" w:hAnsi="宋体"/>
          <w:color w:val="auto"/>
          <w:sz w:val="24"/>
          <w:szCs w:val="24"/>
          <w:highlight w:val="none"/>
        </w:rPr>
        <w:t xml:space="preserve"> 发包人违约的情形</w:t>
      </w:r>
    </w:p>
    <w:p w14:paraId="2C14C899">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发包人违约的其他情形：</w:t>
      </w:r>
      <w:r>
        <w:rPr>
          <w:rFonts w:hint="eastAsia" w:ascii="宋体" w:hAnsi="宋体"/>
          <w:color w:val="auto"/>
          <w:sz w:val="24"/>
          <w:szCs w:val="24"/>
          <w:highlight w:val="none"/>
          <w:u w:val="single"/>
        </w:rPr>
        <w:t>无</w:t>
      </w:r>
      <w:r>
        <w:rPr>
          <w:rFonts w:hint="eastAsia" w:ascii="宋体" w:hAnsi="宋体"/>
          <w:color w:val="auto"/>
          <w:sz w:val="24"/>
          <w:szCs w:val="24"/>
          <w:highlight w:val="none"/>
        </w:rPr>
        <w:t>。</w:t>
      </w:r>
    </w:p>
    <w:p w14:paraId="5ADD9D74">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16.1.2</w:t>
      </w:r>
      <w:r>
        <w:rPr>
          <w:rFonts w:hint="eastAsia" w:ascii="宋体" w:hAnsi="宋体"/>
          <w:color w:val="auto"/>
          <w:sz w:val="24"/>
          <w:szCs w:val="24"/>
          <w:highlight w:val="none"/>
        </w:rPr>
        <w:t xml:space="preserve">  发包人违约的责任</w:t>
      </w:r>
    </w:p>
    <w:p w14:paraId="078DD68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发包人违约责任的承担方式和计算方法：</w:t>
      </w:r>
    </w:p>
    <w:p w14:paraId="34EFE61C">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w:t>
      </w:r>
      <w:r>
        <w:rPr>
          <w:rFonts w:ascii="宋体" w:hAnsi="宋体"/>
          <w:color w:val="auto"/>
          <w:sz w:val="24"/>
          <w:szCs w:val="24"/>
          <w:highlight w:val="none"/>
        </w:rPr>
        <w:t>1</w:t>
      </w:r>
      <w:r>
        <w:rPr>
          <w:rFonts w:hint="eastAsia" w:ascii="宋体" w:hAnsi="宋体"/>
          <w:color w:val="auto"/>
          <w:sz w:val="24"/>
          <w:szCs w:val="24"/>
          <w:highlight w:val="none"/>
        </w:rPr>
        <w:t>）因发包人原因未能在计划开工日期前</w:t>
      </w:r>
      <w:r>
        <w:rPr>
          <w:rFonts w:ascii="宋体" w:hAnsi="宋体"/>
          <w:color w:val="auto"/>
          <w:sz w:val="24"/>
          <w:szCs w:val="24"/>
          <w:highlight w:val="none"/>
        </w:rPr>
        <w:t>7</w:t>
      </w:r>
      <w:r>
        <w:rPr>
          <w:rFonts w:hint="eastAsia" w:ascii="宋体" w:hAnsi="宋体"/>
          <w:color w:val="auto"/>
          <w:sz w:val="24"/>
          <w:szCs w:val="24"/>
          <w:highlight w:val="none"/>
        </w:rPr>
        <w:t>天内下达开工通知的违约责任：</w:t>
      </w:r>
      <w:r>
        <w:rPr>
          <w:rFonts w:hint="eastAsia" w:ascii="宋体" w:hAnsi="宋体"/>
          <w:color w:val="auto"/>
          <w:sz w:val="24"/>
          <w:szCs w:val="24"/>
          <w:highlight w:val="none"/>
          <w:u w:val="single"/>
        </w:rPr>
        <w:t>经发包人书面确认后，工期顺延；但除工期顺延外发包人不承担任何违约或赔偿责任</w:t>
      </w:r>
      <w:r>
        <w:rPr>
          <w:rFonts w:hint="eastAsia" w:ascii="宋体" w:hAnsi="宋体"/>
          <w:color w:val="auto"/>
          <w:sz w:val="24"/>
          <w:szCs w:val="24"/>
          <w:highlight w:val="none"/>
        </w:rPr>
        <w:t>；</w:t>
      </w:r>
    </w:p>
    <w:p w14:paraId="7B0C63A1">
      <w:pPr>
        <w:spacing w:line="360" w:lineRule="auto"/>
        <w:ind w:firstLine="480" w:firstLineChars="200"/>
        <w:rPr>
          <w:rFonts w:hint="eastAsia" w:ascii="宋体" w:hAnsi="宋体"/>
          <w:b w:val="0"/>
          <w:bCs w:val="0"/>
          <w:color w:val="auto"/>
          <w:sz w:val="24"/>
          <w:szCs w:val="24"/>
          <w:highlight w:val="none"/>
          <w:u w:val="single"/>
          <w:lang w:val="en-US" w:eastAsia="zh-CN"/>
        </w:rPr>
      </w:pPr>
      <w:r>
        <w:rPr>
          <w:rFonts w:hint="eastAsia" w:ascii="宋体" w:hAnsi="宋体"/>
          <w:color w:val="auto"/>
          <w:sz w:val="24"/>
          <w:szCs w:val="24"/>
          <w:highlight w:val="none"/>
        </w:rPr>
        <w:t>（</w:t>
      </w:r>
      <w:r>
        <w:rPr>
          <w:rFonts w:ascii="宋体" w:hAnsi="宋体"/>
          <w:color w:val="auto"/>
          <w:sz w:val="24"/>
          <w:szCs w:val="24"/>
          <w:highlight w:val="none"/>
        </w:rPr>
        <w:t>2</w:t>
      </w:r>
      <w:r>
        <w:rPr>
          <w:rFonts w:hint="eastAsia" w:ascii="宋体" w:hAnsi="宋体"/>
          <w:color w:val="auto"/>
          <w:sz w:val="24"/>
          <w:szCs w:val="24"/>
          <w:highlight w:val="none"/>
        </w:rPr>
        <w:t>）因发包人原因未能按合同约定支付合同价款的违约责任：</w:t>
      </w:r>
      <w:r>
        <w:rPr>
          <w:rFonts w:hint="eastAsia" w:ascii="宋体" w:hAnsi="宋体"/>
          <w:color w:val="auto"/>
          <w:sz w:val="24"/>
          <w:szCs w:val="24"/>
          <w:highlight w:val="none"/>
          <w:u w:val="single"/>
        </w:rPr>
        <w:t>因财政支付手续办理拖延时，发包人可以协调其尽快支付，</w:t>
      </w:r>
      <w:r>
        <w:rPr>
          <w:rFonts w:hint="eastAsia" w:ascii="宋体" w:hAnsi="宋体"/>
          <w:b w:val="0"/>
          <w:bCs w:val="0"/>
          <w:color w:val="auto"/>
          <w:sz w:val="24"/>
          <w:szCs w:val="24"/>
          <w:highlight w:val="none"/>
          <w:u w:val="single"/>
          <w:lang w:val="en-US" w:eastAsia="zh-CN"/>
        </w:rPr>
        <w:t>实际付款时间以财政资金支付流程为准，发包人逾期付款的，连续超过一年的，按本合同订立时一年期贷款市场报价利率向承包人支付逾期利息；连续未超过一年的，不计算逾期利息。</w:t>
      </w:r>
    </w:p>
    <w:p w14:paraId="2EA86CA9">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3</w:t>
      </w:r>
      <w:r>
        <w:rPr>
          <w:rFonts w:hint="eastAsia" w:ascii="宋体" w:hAnsi="宋体"/>
          <w:color w:val="auto"/>
          <w:sz w:val="24"/>
          <w:szCs w:val="24"/>
          <w:highlight w:val="none"/>
        </w:rPr>
        <w:t>）发包人违反第</w:t>
      </w:r>
      <w:r>
        <w:rPr>
          <w:rFonts w:ascii="宋体" w:hAnsi="宋体"/>
          <w:color w:val="auto"/>
          <w:sz w:val="24"/>
          <w:szCs w:val="24"/>
          <w:highlight w:val="none"/>
        </w:rPr>
        <w:t>10.1</w:t>
      </w:r>
      <w:r>
        <w:rPr>
          <w:rFonts w:hint="eastAsia" w:ascii="宋体" w:hAnsi="宋体"/>
          <w:color w:val="auto"/>
          <w:sz w:val="24"/>
          <w:szCs w:val="24"/>
          <w:highlight w:val="none"/>
        </w:rPr>
        <w:t>款〔变更的范围〕第（</w:t>
      </w:r>
      <w:r>
        <w:rPr>
          <w:rFonts w:ascii="宋体" w:hAnsi="宋体"/>
          <w:color w:val="auto"/>
          <w:sz w:val="24"/>
          <w:szCs w:val="24"/>
          <w:highlight w:val="none"/>
        </w:rPr>
        <w:t>2</w:t>
      </w:r>
      <w:r>
        <w:rPr>
          <w:rFonts w:hint="eastAsia" w:ascii="宋体" w:hAnsi="宋体"/>
          <w:color w:val="auto"/>
          <w:sz w:val="24"/>
          <w:szCs w:val="24"/>
          <w:highlight w:val="none"/>
        </w:rPr>
        <w:t>）项约定，自行实施被取消的工作或转由他人实施的违约责任：</w:t>
      </w:r>
      <w:r>
        <w:rPr>
          <w:rFonts w:hint="eastAsia" w:ascii="宋体" w:hAnsi="宋体"/>
          <w:color w:val="auto"/>
          <w:sz w:val="24"/>
          <w:szCs w:val="24"/>
          <w:highlight w:val="none"/>
          <w:u w:val="single"/>
        </w:rPr>
        <w:t>发生时另议</w:t>
      </w:r>
      <w:r>
        <w:rPr>
          <w:rFonts w:hint="eastAsia" w:ascii="宋体" w:hAnsi="宋体"/>
          <w:color w:val="auto"/>
          <w:sz w:val="24"/>
          <w:szCs w:val="24"/>
          <w:highlight w:val="none"/>
        </w:rPr>
        <w:t>；</w:t>
      </w:r>
    </w:p>
    <w:p w14:paraId="2928AF95">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4</w:t>
      </w:r>
      <w:r>
        <w:rPr>
          <w:rFonts w:hint="eastAsia" w:ascii="宋体" w:hAnsi="宋体"/>
          <w:color w:val="auto"/>
          <w:sz w:val="24"/>
          <w:szCs w:val="24"/>
          <w:highlight w:val="none"/>
        </w:rPr>
        <w:t>）发包人提供的材料、工程设备的规格、数量或质量不符合合同约定，或因发包人原因导致交货日期延误或交货地点变更等情况的违约责任：</w:t>
      </w:r>
      <w:r>
        <w:rPr>
          <w:rFonts w:hint="eastAsia" w:ascii="宋体" w:hAnsi="宋体"/>
          <w:color w:val="auto"/>
          <w:sz w:val="24"/>
          <w:szCs w:val="24"/>
          <w:highlight w:val="none"/>
          <w:u w:val="single"/>
        </w:rPr>
        <w:t>经发包人书面确认后，工期顺延但除工期顺延外发包人不承担任何违约或赔偿责任</w:t>
      </w:r>
      <w:r>
        <w:rPr>
          <w:rFonts w:hint="eastAsia" w:ascii="宋体" w:hAnsi="宋体"/>
          <w:color w:val="auto"/>
          <w:sz w:val="24"/>
          <w:szCs w:val="24"/>
          <w:highlight w:val="none"/>
        </w:rPr>
        <w:t>；</w:t>
      </w:r>
    </w:p>
    <w:p w14:paraId="6B470EA3">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w:t>
      </w:r>
      <w:r>
        <w:rPr>
          <w:rFonts w:ascii="宋体" w:hAnsi="宋体"/>
          <w:color w:val="auto"/>
          <w:sz w:val="24"/>
          <w:szCs w:val="24"/>
          <w:highlight w:val="none"/>
        </w:rPr>
        <w:t>5</w:t>
      </w:r>
      <w:r>
        <w:rPr>
          <w:rFonts w:hint="eastAsia" w:ascii="宋体" w:hAnsi="宋体"/>
          <w:color w:val="auto"/>
          <w:sz w:val="24"/>
          <w:szCs w:val="24"/>
          <w:highlight w:val="none"/>
        </w:rPr>
        <w:t>）因发包人违反合同约定造成暂停施工的违约责任</w:t>
      </w:r>
      <w:r>
        <w:rPr>
          <w:rFonts w:hint="eastAsia" w:ascii="宋体" w:hAnsi="宋体"/>
          <w:color w:val="auto"/>
          <w:sz w:val="24"/>
          <w:szCs w:val="24"/>
          <w:highlight w:val="none"/>
          <w:u w:val="single"/>
        </w:rPr>
        <w:t>：经发包人书面确认后，工期顺延；但除工期顺延外发包人不承担任何违约或赔偿责任；</w:t>
      </w:r>
    </w:p>
    <w:p w14:paraId="25278516">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6</w:t>
      </w:r>
      <w:r>
        <w:rPr>
          <w:rFonts w:hint="eastAsia" w:ascii="宋体" w:hAnsi="宋体"/>
          <w:color w:val="auto"/>
          <w:sz w:val="24"/>
          <w:szCs w:val="24"/>
          <w:highlight w:val="none"/>
        </w:rPr>
        <w:t>）发包人无正当理由没有在约定期限内发出复工指示，导致承包人无法复工的违约责任：</w:t>
      </w:r>
      <w:r>
        <w:rPr>
          <w:rFonts w:hint="eastAsia" w:ascii="宋体" w:hAnsi="宋体"/>
          <w:color w:val="auto"/>
          <w:sz w:val="24"/>
          <w:szCs w:val="24"/>
          <w:highlight w:val="none"/>
          <w:u w:val="single"/>
        </w:rPr>
        <w:t>经发包人书面确认后，工期顺延；但除工期顺延外发包人不承担任何违约或赔偿责任</w:t>
      </w:r>
      <w:r>
        <w:rPr>
          <w:rFonts w:hint="eastAsia" w:ascii="宋体" w:hAnsi="宋体"/>
          <w:color w:val="auto"/>
          <w:sz w:val="24"/>
          <w:szCs w:val="24"/>
          <w:highlight w:val="none"/>
        </w:rPr>
        <w:t>。</w:t>
      </w:r>
    </w:p>
    <w:p w14:paraId="45C65490">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7</w:t>
      </w:r>
      <w:r>
        <w:rPr>
          <w:rFonts w:hint="eastAsia" w:ascii="宋体" w:hAnsi="宋体"/>
          <w:color w:val="auto"/>
          <w:sz w:val="24"/>
          <w:szCs w:val="24"/>
          <w:highlight w:val="none"/>
        </w:rPr>
        <w:t>）其他：</w:t>
      </w:r>
      <w:r>
        <w:rPr>
          <w:rFonts w:hint="eastAsia" w:ascii="宋体" w:hAnsi="宋体"/>
          <w:color w:val="auto"/>
          <w:sz w:val="24"/>
          <w:u w:val="single"/>
        </w:rPr>
        <w:t>如承包人认为发包人存在违约行为导致会影响工期等，承包人应于事件发生之日起7日内以书面形式向发包人提出工期顺延要求和索赔要求，并于15日内附详细证明材料和具体费用。如承包人未按前述期限要求提交书面要求及资料，视为承包人放弃工期顺延要求和索赔的权利。此后，承包人再无权向发包人就该违约事件提出任何主张</w:t>
      </w:r>
      <w:r>
        <w:rPr>
          <w:rFonts w:hint="eastAsia" w:ascii="宋体" w:hAnsi="宋体"/>
          <w:color w:val="auto"/>
          <w:sz w:val="24"/>
          <w:szCs w:val="24"/>
          <w:highlight w:val="none"/>
        </w:rPr>
        <w:t>。</w:t>
      </w:r>
    </w:p>
    <w:p w14:paraId="24E2BBA2">
      <w:pPr>
        <w:spacing w:line="360" w:lineRule="auto"/>
        <w:rPr>
          <w:rFonts w:ascii="宋体" w:hAnsi="宋体"/>
          <w:color w:val="auto"/>
          <w:sz w:val="24"/>
          <w:szCs w:val="24"/>
          <w:highlight w:val="none"/>
        </w:rPr>
      </w:pPr>
      <w:r>
        <w:rPr>
          <w:rFonts w:ascii="宋体" w:hAnsi="宋体"/>
          <w:color w:val="auto"/>
          <w:sz w:val="24"/>
          <w:szCs w:val="24"/>
          <w:highlight w:val="none"/>
        </w:rPr>
        <w:t xml:space="preserve">    16.1.3</w:t>
      </w:r>
      <w:r>
        <w:rPr>
          <w:rFonts w:hint="eastAsia" w:ascii="宋体" w:hAnsi="宋体"/>
          <w:color w:val="auto"/>
          <w:sz w:val="24"/>
          <w:szCs w:val="24"/>
          <w:highlight w:val="none"/>
        </w:rPr>
        <w:t xml:space="preserve">  因发包人违约解除合同</w:t>
      </w:r>
    </w:p>
    <w:p w14:paraId="34EFC03F">
      <w:pPr>
        <w:autoSpaceDE w:val="0"/>
        <w:autoSpaceDN w:val="0"/>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承包人按</w:t>
      </w:r>
      <w:r>
        <w:rPr>
          <w:rFonts w:ascii="宋体" w:hAnsi="宋体"/>
          <w:color w:val="auto"/>
          <w:sz w:val="24"/>
          <w:szCs w:val="24"/>
          <w:highlight w:val="none"/>
        </w:rPr>
        <w:t>16.1.1</w:t>
      </w:r>
      <w:r>
        <w:rPr>
          <w:rFonts w:hint="eastAsia" w:ascii="宋体" w:hAnsi="宋体"/>
          <w:color w:val="auto"/>
          <w:sz w:val="24"/>
          <w:szCs w:val="24"/>
          <w:highlight w:val="none"/>
        </w:rPr>
        <w:t>项〔发包人违约的情形〕约定暂停施工满</w:t>
      </w:r>
      <w:r>
        <w:rPr>
          <w:rFonts w:ascii="宋体" w:hAnsi="宋体"/>
          <w:color w:val="auto"/>
          <w:sz w:val="24"/>
          <w:szCs w:val="24"/>
          <w:highlight w:val="none"/>
          <w:u w:val="single"/>
        </w:rPr>
        <w:t xml:space="preserve"> / </w:t>
      </w:r>
      <w:r>
        <w:rPr>
          <w:rFonts w:hint="eastAsia" w:ascii="宋体" w:hAnsi="宋体"/>
          <w:color w:val="auto"/>
          <w:sz w:val="24"/>
          <w:szCs w:val="24"/>
          <w:highlight w:val="none"/>
        </w:rPr>
        <w:t>天后发包人仍不纠正其违约行为并致使合同目的不能实现的，承包人有权解除合同。</w:t>
      </w:r>
    </w:p>
    <w:p w14:paraId="0CA388FC">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16.2  </w:t>
      </w:r>
      <w:r>
        <w:rPr>
          <w:rFonts w:hint="eastAsia" w:ascii="宋体" w:hAnsi="宋体"/>
          <w:color w:val="auto"/>
          <w:sz w:val="24"/>
          <w:szCs w:val="24"/>
          <w:highlight w:val="none"/>
        </w:rPr>
        <w:t>承包人违约</w:t>
      </w:r>
    </w:p>
    <w:p w14:paraId="0A1FA8A9">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16.2.1</w:t>
      </w:r>
      <w:r>
        <w:rPr>
          <w:rFonts w:hint="eastAsia" w:ascii="宋体" w:hAnsi="宋体"/>
          <w:color w:val="auto"/>
          <w:sz w:val="24"/>
          <w:szCs w:val="24"/>
          <w:highlight w:val="none"/>
        </w:rPr>
        <w:t xml:space="preserve">  承包人违约的情形</w:t>
      </w:r>
    </w:p>
    <w:p w14:paraId="60BE2FC1">
      <w:pPr>
        <w:spacing w:line="360" w:lineRule="auto"/>
        <w:ind w:firstLine="405"/>
        <w:rPr>
          <w:rFonts w:ascii="宋体" w:hAnsi="宋体"/>
          <w:color w:val="auto"/>
          <w:sz w:val="24"/>
          <w:szCs w:val="24"/>
          <w:highlight w:val="none"/>
          <w:u w:val="single"/>
        </w:rPr>
      </w:pPr>
      <w:r>
        <w:rPr>
          <w:rFonts w:hint="eastAsia" w:ascii="宋体" w:hAnsi="宋体"/>
          <w:color w:val="auto"/>
          <w:sz w:val="24"/>
          <w:szCs w:val="24"/>
          <w:highlight w:val="none"/>
        </w:rPr>
        <w:t>承包人违约的其他情形：</w:t>
      </w:r>
    </w:p>
    <w:p w14:paraId="78BE0C3E">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w:t>
      </w:r>
      <w:r>
        <w:rPr>
          <w:rFonts w:ascii="宋体" w:hAnsi="宋体"/>
          <w:color w:val="auto"/>
          <w:sz w:val="24"/>
          <w:szCs w:val="24"/>
          <w:highlight w:val="none"/>
        </w:rPr>
        <w:t>1</w:t>
      </w:r>
      <w:r>
        <w:rPr>
          <w:rFonts w:hint="eastAsia" w:ascii="宋体" w:hAnsi="宋体"/>
          <w:color w:val="auto"/>
          <w:sz w:val="24"/>
          <w:szCs w:val="24"/>
          <w:highlight w:val="none"/>
        </w:rPr>
        <w:t>）</w:t>
      </w:r>
      <w:r>
        <w:rPr>
          <w:rFonts w:hint="eastAsia" w:ascii="宋体" w:hAnsi="宋体"/>
          <w:color w:val="auto"/>
          <w:sz w:val="24"/>
          <w:szCs w:val="24"/>
          <w:highlight w:val="none"/>
          <w:u w:val="single"/>
        </w:rPr>
        <w:t>由于承包人或材料供应商原因不能按节点工期完成</w:t>
      </w:r>
      <w:r>
        <w:rPr>
          <w:rFonts w:hint="eastAsia" w:ascii="宋体" w:hAnsi="宋体"/>
          <w:color w:val="auto"/>
          <w:sz w:val="24"/>
          <w:szCs w:val="24"/>
          <w:highlight w:val="none"/>
        </w:rPr>
        <w:t>；</w:t>
      </w:r>
    </w:p>
    <w:p w14:paraId="32C8A067">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w:t>
      </w:r>
      <w:r>
        <w:rPr>
          <w:rFonts w:ascii="宋体" w:hAnsi="宋体"/>
          <w:color w:val="auto"/>
          <w:sz w:val="24"/>
          <w:szCs w:val="24"/>
          <w:highlight w:val="none"/>
        </w:rPr>
        <w:t>2</w:t>
      </w:r>
      <w:r>
        <w:rPr>
          <w:rFonts w:hint="eastAsia" w:ascii="宋体" w:hAnsi="宋体"/>
          <w:color w:val="auto"/>
          <w:sz w:val="24"/>
          <w:szCs w:val="24"/>
          <w:highlight w:val="none"/>
        </w:rPr>
        <w:t>）</w:t>
      </w:r>
      <w:r>
        <w:rPr>
          <w:rFonts w:hint="eastAsia" w:ascii="宋体" w:hAnsi="宋体"/>
          <w:color w:val="auto"/>
          <w:sz w:val="24"/>
          <w:szCs w:val="24"/>
          <w:highlight w:val="none"/>
          <w:u w:val="single"/>
        </w:rPr>
        <w:t>承包人不遵守发包人施工现场各项管理制度</w:t>
      </w:r>
      <w:r>
        <w:rPr>
          <w:rFonts w:hint="eastAsia" w:ascii="宋体" w:hAnsi="宋体"/>
          <w:color w:val="auto"/>
          <w:sz w:val="24"/>
          <w:szCs w:val="24"/>
          <w:highlight w:val="none"/>
        </w:rPr>
        <w:t>；</w:t>
      </w:r>
    </w:p>
    <w:p w14:paraId="3E5BBF37">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w:t>
      </w:r>
      <w:r>
        <w:rPr>
          <w:rFonts w:ascii="宋体" w:hAnsi="宋体"/>
          <w:color w:val="auto"/>
          <w:sz w:val="24"/>
          <w:szCs w:val="24"/>
          <w:highlight w:val="none"/>
        </w:rPr>
        <w:t>3</w:t>
      </w:r>
      <w:r>
        <w:rPr>
          <w:rFonts w:hint="eastAsia" w:ascii="宋体" w:hAnsi="宋体"/>
          <w:color w:val="auto"/>
          <w:sz w:val="24"/>
          <w:szCs w:val="24"/>
          <w:highlight w:val="none"/>
        </w:rPr>
        <w:t>）</w:t>
      </w:r>
      <w:r>
        <w:rPr>
          <w:rFonts w:hint="eastAsia" w:ascii="宋体" w:hAnsi="宋体"/>
          <w:color w:val="auto"/>
          <w:sz w:val="24"/>
          <w:szCs w:val="24"/>
          <w:highlight w:val="none"/>
          <w:u w:val="single"/>
        </w:rPr>
        <w:t>因承包人的原因致使工程施工资料备案迟延</w:t>
      </w:r>
      <w:r>
        <w:rPr>
          <w:rFonts w:hint="eastAsia" w:ascii="宋体" w:hAnsi="宋体"/>
          <w:color w:val="auto"/>
          <w:sz w:val="24"/>
          <w:szCs w:val="24"/>
          <w:highlight w:val="none"/>
        </w:rPr>
        <w:t>。</w:t>
      </w:r>
    </w:p>
    <w:p w14:paraId="16C639CB">
      <w:pPr>
        <w:spacing w:line="360" w:lineRule="auto"/>
        <w:rPr>
          <w:rFonts w:ascii="宋体" w:hAnsi="宋体"/>
          <w:color w:val="auto"/>
          <w:sz w:val="24"/>
          <w:szCs w:val="24"/>
          <w:highlight w:val="none"/>
        </w:rPr>
      </w:pPr>
      <w:r>
        <w:rPr>
          <w:rFonts w:ascii="宋体" w:hAnsi="宋体"/>
          <w:color w:val="auto"/>
          <w:sz w:val="24"/>
          <w:szCs w:val="24"/>
          <w:highlight w:val="none"/>
        </w:rPr>
        <w:t xml:space="preserve">    16.2.2</w:t>
      </w:r>
      <w:r>
        <w:rPr>
          <w:rFonts w:hint="eastAsia" w:ascii="宋体" w:hAnsi="宋体"/>
          <w:color w:val="auto"/>
          <w:sz w:val="24"/>
          <w:szCs w:val="24"/>
          <w:highlight w:val="none"/>
        </w:rPr>
        <w:t xml:space="preserve">  承包人违约的责任</w:t>
      </w:r>
    </w:p>
    <w:p w14:paraId="67FCCB05">
      <w:pPr>
        <w:spacing w:line="360" w:lineRule="auto"/>
        <w:ind w:firstLine="420"/>
        <w:rPr>
          <w:rFonts w:ascii="宋体" w:hAnsi="宋体"/>
          <w:color w:val="auto"/>
          <w:sz w:val="24"/>
          <w:szCs w:val="24"/>
          <w:highlight w:val="none"/>
        </w:rPr>
      </w:pPr>
      <w:r>
        <w:rPr>
          <w:rFonts w:hint="eastAsia" w:ascii="宋体" w:hAnsi="宋体"/>
          <w:color w:val="auto"/>
          <w:sz w:val="24"/>
          <w:szCs w:val="24"/>
          <w:highlight w:val="none"/>
        </w:rPr>
        <w:t>承包人违约责任的承担方式和计算方法：</w:t>
      </w:r>
    </w:p>
    <w:p w14:paraId="5EBDC5E1">
      <w:pPr>
        <w:spacing w:line="360" w:lineRule="auto"/>
        <w:ind w:firstLine="540" w:firstLineChars="225"/>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1</w:t>
      </w:r>
      <w:r>
        <w:rPr>
          <w:rFonts w:hint="eastAsia" w:ascii="宋体" w:hAnsi="宋体"/>
          <w:color w:val="auto"/>
          <w:sz w:val="24"/>
          <w:szCs w:val="24"/>
          <w:highlight w:val="none"/>
        </w:rPr>
        <w:t>）</w:t>
      </w:r>
      <w:r>
        <w:rPr>
          <w:rFonts w:hint="eastAsia" w:ascii="宋体" w:hAnsi="宋体"/>
          <w:color w:val="auto"/>
          <w:sz w:val="24"/>
          <w:szCs w:val="24"/>
          <w:highlight w:val="none"/>
          <w:u w:val="single"/>
        </w:rPr>
        <w:t>无论何种原因，承包人应按时支付民工工资。若因拖欠民工工资出现媒体曝光、民工上访、投诉、围堵等群众事件或政府干预等事件，发包人有权直接代发农民工工资，并从工程款中直接扣回，承包人不得以任何理由提出异议。且每发生一次</w:t>
      </w:r>
      <w:r>
        <w:rPr>
          <w:rFonts w:hint="eastAsia" w:ascii="宋体" w:hAnsi="宋体"/>
          <w:color w:val="auto"/>
          <w:sz w:val="24"/>
          <w:szCs w:val="24"/>
          <w:highlight w:val="none"/>
          <w:u w:val="single"/>
          <w:lang w:val="en-US" w:eastAsia="zh-CN"/>
        </w:rPr>
        <w:t>根据情节严重程度</w:t>
      </w:r>
      <w:r>
        <w:rPr>
          <w:rFonts w:hint="eastAsia" w:ascii="宋体" w:hAnsi="宋体"/>
          <w:color w:val="auto"/>
          <w:sz w:val="24"/>
          <w:szCs w:val="24"/>
          <w:highlight w:val="none"/>
          <w:u w:val="single"/>
        </w:rPr>
        <w:t>向发包人赔偿违约金人民币</w:t>
      </w:r>
      <w:r>
        <w:rPr>
          <w:rFonts w:hint="eastAsia" w:ascii="宋体" w:hAnsi="宋体"/>
          <w:color w:val="auto"/>
          <w:sz w:val="24"/>
          <w:szCs w:val="24"/>
          <w:highlight w:val="none"/>
          <w:u w:val="single"/>
          <w:lang w:val="en-US" w:eastAsia="zh-CN"/>
        </w:rPr>
        <w:t>5-20</w:t>
      </w:r>
      <w:r>
        <w:rPr>
          <w:rFonts w:hint="eastAsia" w:ascii="宋体" w:hAnsi="宋体"/>
          <w:color w:val="auto"/>
          <w:sz w:val="24"/>
          <w:szCs w:val="24"/>
          <w:highlight w:val="none"/>
          <w:u w:val="single"/>
        </w:rPr>
        <w:t>万元，并赔偿发包人的直接和间接损失</w:t>
      </w:r>
      <w:r>
        <w:rPr>
          <w:rFonts w:hint="eastAsia" w:ascii="宋体" w:hAnsi="宋体"/>
          <w:color w:val="auto"/>
          <w:sz w:val="24"/>
          <w:szCs w:val="24"/>
          <w:highlight w:val="none"/>
        </w:rPr>
        <w:t>；</w:t>
      </w:r>
    </w:p>
    <w:p w14:paraId="17CE971D">
      <w:pPr>
        <w:spacing w:line="360" w:lineRule="auto"/>
        <w:ind w:firstLine="480" w:firstLineChars="200"/>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w:t>
      </w:r>
      <w:r>
        <w:rPr>
          <w:rFonts w:ascii="宋体" w:hAnsi="宋体"/>
          <w:color w:val="auto"/>
          <w:sz w:val="24"/>
          <w:szCs w:val="24"/>
          <w:highlight w:val="none"/>
        </w:rPr>
        <w:t>2</w:t>
      </w:r>
      <w:r>
        <w:rPr>
          <w:rFonts w:hint="eastAsia" w:ascii="宋体" w:hAnsi="宋体"/>
          <w:color w:val="auto"/>
          <w:sz w:val="24"/>
          <w:szCs w:val="24"/>
          <w:highlight w:val="none"/>
        </w:rPr>
        <w:t>）</w:t>
      </w:r>
      <w:r>
        <w:rPr>
          <w:rFonts w:hint="eastAsia" w:ascii="宋体" w:hAnsi="宋体"/>
          <w:color w:val="auto"/>
          <w:sz w:val="24"/>
          <w:szCs w:val="24"/>
          <w:highlight w:val="none"/>
          <w:u w:val="single"/>
        </w:rPr>
        <w:t>承包人未按合同约定完工的，每迟延1日，向发包人支付合同总金额</w:t>
      </w:r>
      <w:r>
        <w:rPr>
          <w:rFonts w:ascii="宋体" w:hAnsi="宋体"/>
          <w:color w:val="auto"/>
          <w:sz w:val="24"/>
          <w:szCs w:val="24"/>
          <w:highlight w:val="none"/>
          <w:u w:val="single"/>
        </w:rPr>
        <w:t>1</w:t>
      </w:r>
      <w:r>
        <w:rPr>
          <w:rFonts w:hint="eastAsia" w:ascii="宋体" w:hAnsi="宋体"/>
          <w:color w:val="auto"/>
          <w:sz w:val="24"/>
          <w:szCs w:val="24"/>
          <w:highlight w:val="none"/>
          <w:u w:val="single"/>
        </w:rPr>
        <w:t>‰的违约金，迟延超过</w:t>
      </w:r>
      <w:r>
        <w:rPr>
          <w:rFonts w:ascii="宋体" w:hAnsi="宋体"/>
          <w:color w:val="auto"/>
          <w:sz w:val="24"/>
          <w:szCs w:val="24"/>
          <w:highlight w:val="none"/>
          <w:u w:val="single"/>
        </w:rPr>
        <w:t>30</w:t>
      </w:r>
      <w:r>
        <w:rPr>
          <w:rFonts w:hint="eastAsia" w:ascii="宋体" w:hAnsi="宋体"/>
          <w:color w:val="auto"/>
          <w:sz w:val="24"/>
          <w:szCs w:val="24"/>
          <w:highlight w:val="none"/>
          <w:u w:val="single"/>
        </w:rPr>
        <w:t>日的，发包人有权</w:t>
      </w:r>
      <w:r>
        <w:rPr>
          <w:rFonts w:hint="eastAsia" w:ascii="宋体" w:hAnsi="宋体"/>
          <w:color w:val="auto"/>
          <w:sz w:val="24"/>
          <w:szCs w:val="24"/>
          <w:highlight w:val="none"/>
          <w:u w:val="single"/>
          <w:lang w:eastAsia="zh-CN"/>
        </w:rPr>
        <w:t>单方</w:t>
      </w:r>
      <w:r>
        <w:rPr>
          <w:rFonts w:hint="eastAsia" w:ascii="宋体" w:hAnsi="宋体"/>
          <w:color w:val="auto"/>
          <w:sz w:val="24"/>
          <w:szCs w:val="24"/>
          <w:highlight w:val="none"/>
          <w:u w:val="single"/>
        </w:rPr>
        <w:t>解除本合同；</w:t>
      </w:r>
    </w:p>
    <w:p w14:paraId="66BA9AD0">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w:t>
      </w:r>
      <w:r>
        <w:rPr>
          <w:rFonts w:hint="eastAsia" w:ascii="宋体" w:hAnsi="宋体"/>
          <w:color w:val="auto"/>
          <w:sz w:val="24"/>
          <w:szCs w:val="24"/>
          <w:highlight w:val="none"/>
          <w:u w:val="single"/>
        </w:rPr>
        <w:t>承包人工程质量不符合合同约定的标准，由承包人自行或按发包人要求修复直至符合质量标准，因此而延误的工期不予顺延，且每发生一次，除承担工期违约责任外，承包人还应向发包人支付违约金</w:t>
      </w:r>
      <w:r>
        <w:rPr>
          <w:rFonts w:ascii="宋体" w:hAnsi="宋体"/>
          <w:color w:val="auto"/>
          <w:sz w:val="24"/>
          <w:szCs w:val="24"/>
          <w:highlight w:val="none"/>
          <w:u w:val="single"/>
        </w:rPr>
        <w:t>5000</w:t>
      </w:r>
      <w:r>
        <w:rPr>
          <w:rFonts w:hint="eastAsia" w:ascii="宋体" w:hAnsi="宋体"/>
          <w:color w:val="auto"/>
          <w:sz w:val="24"/>
          <w:szCs w:val="24"/>
          <w:highlight w:val="none"/>
          <w:u w:val="single"/>
        </w:rPr>
        <w:t>元-5万元，</w:t>
      </w:r>
      <w:r>
        <w:rPr>
          <w:rFonts w:hint="eastAsia" w:ascii="宋体" w:hAnsi="宋体" w:eastAsia="宋体" w:cs="Times New Roman"/>
          <w:color w:val="auto"/>
          <w:kern w:val="2"/>
          <w:sz w:val="24"/>
          <w:szCs w:val="24"/>
          <w:highlight w:val="none"/>
          <w:u w:val="single"/>
          <w:lang w:val="en-US" w:eastAsia="zh-CN" w:bidi="ar-SA"/>
        </w:rPr>
        <w:t>承包人放弃提出异议的权利，</w:t>
      </w:r>
      <w:r>
        <w:rPr>
          <w:rFonts w:hint="eastAsia" w:ascii="宋体" w:hAnsi="宋体"/>
          <w:color w:val="auto"/>
          <w:kern w:val="0"/>
          <w:sz w:val="24"/>
          <w:szCs w:val="24"/>
          <w:highlight w:val="none"/>
          <w:u w:val="single"/>
        </w:rPr>
        <w:t>同时，发包人有权选择</w:t>
      </w:r>
      <w:r>
        <w:rPr>
          <w:rFonts w:hint="eastAsia" w:ascii="宋体" w:hAnsi="宋体"/>
          <w:color w:val="auto"/>
          <w:kern w:val="0"/>
          <w:sz w:val="24"/>
          <w:szCs w:val="24"/>
          <w:highlight w:val="none"/>
          <w:u w:val="single"/>
          <w:lang w:eastAsia="zh-CN"/>
        </w:rPr>
        <w:t>单方</w:t>
      </w:r>
      <w:r>
        <w:rPr>
          <w:rFonts w:hint="eastAsia" w:ascii="宋体" w:hAnsi="宋体"/>
          <w:color w:val="auto"/>
          <w:kern w:val="0"/>
          <w:sz w:val="24"/>
          <w:szCs w:val="24"/>
          <w:highlight w:val="none"/>
          <w:u w:val="single"/>
        </w:rPr>
        <w:t>解除合同</w:t>
      </w:r>
      <w:r>
        <w:rPr>
          <w:rFonts w:hint="eastAsia" w:ascii="宋体" w:hAnsi="宋体"/>
          <w:color w:val="auto"/>
          <w:sz w:val="24"/>
          <w:szCs w:val="24"/>
          <w:highlight w:val="none"/>
        </w:rPr>
        <w:t>；</w:t>
      </w:r>
    </w:p>
    <w:p w14:paraId="7B97E3F1">
      <w:pPr>
        <w:pStyle w:val="13"/>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4</w:t>
      </w:r>
      <w:r>
        <w:rPr>
          <w:rFonts w:hint="eastAsia" w:ascii="宋体" w:hAnsi="宋体"/>
          <w:color w:val="auto"/>
          <w:sz w:val="24"/>
          <w:szCs w:val="24"/>
          <w:highlight w:val="none"/>
        </w:rPr>
        <w:t>）</w:t>
      </w:r>
      <w:r>
        <w:rPr>
          <w:rFonts w:hint="eastAsia" w:ascii="宋体" w:hAnsi="宋体"/>
          <w:color w:val="auto"/>
          <w:sz w:val="24"/>
          <w:szCs w:val="24"/>
          <w:highlight w:val="none"/>
          <w:u w:val="single"/>
        </w:rPr>
        <w:t>由于承包人或材料供应商原因不能按节点工期完成，发包人有权调整承包范围或单方解除合同，同时，承包人或材料供应商无条件退场</w:t>
      </w:r>
      <w:r>
        <w:rPr>
          <w:rFonts w:hint="eastAsia" w:ascii="宋体" w:hAnsi="宋体"/>
          <w:color w:val="auto"/>
          <w:sz w:val="24"/>
          <w:szCs w:val="24"/>
          <w:highlight w:val="none"/>
          <w:u w:val="single"/>
          <w:lang w:eastAsia="zh-CN"/>
        </w:rPr>
        <w:t>，</w:t>
      </w:r>
      <w:r>
        <w:rPr>
          <w:rFonts w:hint="eastAsia" w:ascii="宋体" w:hAnsi="宋体"/>
          <w:color w:val="auto"/>
          <w:sz w:val="24"/>
          <w:u w:val="single"/>
        </w:rPr>
        <w:t>并由承包人向发包人支付合同价总额</w:t>
      </w:r>
      <w:r>
        <w:rPr>
          <w:rFonts w:ascii="宋体" w:hAnsi="宋体"/>
          <w:color w:val="auto"/>
          <w:sz w:val="24"/>
          <w:u w:val="single"/>
        </w:rPr>
        <w:t>20%</w:t>
      </w:r>
      <w:r>
        <w:rPr>
          <w:rFonts w:hint="eastAsia" w:ascii="宋体" w:hAnsi="宋体"/>
          <w:color w:val="auto"/>
          <w:sz w:val="24"/>
          <w:u w:val="single"/>
        </w:rPr>
        <w:t>的违约金</w:t>
      </w:r>
      <w:r>
        <w:rPr>
          <w:rFonts w:hint="eastAsia" w:ascii="宋体" w:hAnsi="宋体"/>
          <w:color w:val="auto"/>
          <w:sz w:val="24"/>
        </w:rPr>
        <w:t>；</w:t>
      </w:r>
    </w:p>
    <w:p w14:paraId="2A27375C">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w:t>
      </w:r>
      <w:r>
        <w:rPr>
          <w:rFonts w:hint="eastAsia" w:ascii="宋体" w:hAnsi="宋体"/>
          <w:color w:val="auto"/>
          <w:sz w:val="24"/>
          <w:szCs w:val="24"/>
          <w:highlight w:val="none"/>
          <w:u w:val="single"/>
        </w:rPr>
        <w:t>承包人负责整理和提交的竣工验收资料应当符合工程所在地建设行政主管部门或城市建设档案管理机构有关竣工资料的要求，并在工程竣工验收完成后15日内工程资料备案。因承包人的原因致使工程施工资料备案迟延的，承包人</w:t>
      </w:r>
      <w:r>
        <w:rPr>
          <w:rFonts w:hint="eastAsia" w:ascii="宋体" w:hAnsi="宋体"/>
          <w:color w:val="auto"/>
          <w:sz w:val="24"/>
          <w:szCs w:val="24"/>
          <w:highlight w:val="none"/>
          <w:u w:val="single"/>
          <w:lang w:eastAsia="zh-CN"/>
        </w:rPr>
        <w:t>除承担行政处罚外还需</w:t>
      </w:r>
      <w:r>
        <w:rPr>
          <w:rFonts w:hint="eastAsia" w:ascii="宋体" w:hAnsi="宋体"/>
          <w:color w:val="auto"/>
          <w:sz w:val="24"/>
          <w:szCs w:val="24"/>
          <w:highlight w:val="none"/>
          <w:u w:val="single"/>
        </w:rPr>
        <w:t>向发包人支付20万元的违约金；</w:t>
      </w:r>
    </w:p>
    <w:p w14:paraId="3E54282D">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6</w:t>
      </w:r>
      <w:r>
        <w:rPr>
          <w:rFonts w:hint="eastAsia" w:ascii="宋体" w:hAnsi="宋体"/>
          <w:color w:val="auto"/>
          <w:sz w:val="24"/>
          <w:szCs w:val="24"/>
          <w:highlight w:val="none"/>
        </w:rPr>
        <w:t>）</w:t>
      </w:r>
      <w:r>
        <w:rPr>
          <w:rFonts w:hint="eastAsia" w:ascii="宋体" w:hAnsi="宋体"/>
          <w:color w:val="auto"/>
          <w:sz w:val="24"/>
          <w:szCs w:val="24"/>
          <w:highlight w:val="none"/>
          <w:u w:val="single"/>
        </w:rPr>
        <w:t>发包人各项施工现场管理制度及内部管理制度为本合同不可分割的一部分，与本合同具有同等法律效力。承包人已详细研读并承诺予以遵守。如有违反，视为承包人违约，发包人有权依据施工现场各项管理制度对承包人予以处罚，处罚金额自工程款中直接扣除</w:t>
      </w:r>
      <w:r>
        <w:rPr>
          <w:rFonts w:hint="eastAsia" w:ascii="宋体" w:hAnsi="宋体"/>
          <w:color w:val="auto"/>
          <w:sz w:val="24"/>
          <w:szCs w:val="24"/>
          <w:highlight w:val="none"/>
        </w:rPr>
        <w:t>；</w:t>
      </w:r>
    </w:p>
    <w:p w14:paraId="5396EB76">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7</w:t>
      </w:r>
      <w:r>
        <w:rPr>
          <w:rFonts w:hint="eastAsia" w:ascii="宋体" w:hAnsi="宋体"/>
          <w:color w:val="auto"/>
          <w:sz w:val="24"/>
          <w:szCs w:val="24"/>
          <w:highlight w:val="none"/>
        </w:rPr>
        <w:t>）</w:t>
      </w:r>
      <w:r>
        <w:rPr>
          <w:rFonts w:hint="eastAsia" w:ascii="宋体" w:hAnsi="宋体"/>
          <w:color w:val="auto"/>
          <w:sz w:val="24"/>
          <w:szCs w:val="24"/>
          <w:highlight w:val="none"/>
          <w:u w:val="single"/>
        </w:rPr>
        <w:t>承包人违反本合同的约定，除按本合同的约定承担违约责任外，还应赔偿发包人包括但不限于直接损失、误工费、鉴定费、损失的评估费、律师费、诉讼费或仲裁费、保全费、保全保险费、公告费、执行费、公证费、发包人向第三方的违约或赔偿损失等全部损失</w:t>
      </w:r>
      <w:r>
        <w:rPr>
          <w:rFonts w:hint="eastAsia" w:ascii="宋体" w:hAnsi="宋体"/>
          <w:color w:val="auto"/>
          <w:sz w:val="24"/>
          <w:szCs w:val="24"/>
          <w:highlight w:val="none"/>
        </w:rPr>
        <w:t>。</w:t>
      </w:r>
    </w:p>
    <w:p w14:paraId="53C6CC53">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u w:val="single"/>
        </w:rPr>
        <w:t>（</w:t>
      </w:r>
      <w:r>
        <w:rPr>
          <w:rFonts w:hint="eastAsia" w:ascii="宋体" w:hAnsi="宋体"/>
          <w:color w:val="auto"/>
          <w:sz w:val="24"/>
          <w:szCs w:val="24"/>
          <w:highlight w:val="none"/>
          <w:u w:val="single"/>
          <w:lang w:val="en-US" w:eastAsia="zh-CN"/>
        </w:rPr>
        <w:t>8</w:t>
      </w:r>
      <w:r>
        <w:rPr>
          <w:rFonts w:hint="eastAsia" w:ascii="宋体" w:hAnsi="宋体"/>
          <w:color w:val="auto"/>
          <w:sz w:val="24"/>
          <w:szCs w:val="24"/>
          <w:highlight w:val="none"/>
          <w:u w:val="single"/>
        </w:rPr>
        <w:t>）根据承包人提供的《工程质量保修书》或售后服务承诺书相关内容，在工程完工后的保修阶段或售后阶段，承包人应定期对项目进行回访，若接到使用单位一次投诉，且未按发包人要求限期进行维修的，将扣除本工程质保金总额的10%，作为罚金。累计达到5次投诉，且未按发包人要求限期进行维修的，将扣除本工程全部质保金。</w:t>
      </w:r>
    </w:p>
    <w:p w14:paraId="2E99C24E">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u w:val="single"/>
        </w:rPr>
        <w:t>（</w:t>
      </w:r>
      <w:r>
        <w:rPr>
          <w:rFonts w:hint="eastAsia" w:ascii="宋体" w:hAnsi="宋体"/>
          <w:color w:val="auto"/>
          <w:sz w:val="24"/>
          <w:szCs w:val="24"/>
          <w:highlight w:val="none"/>
          <w:u w:val="single"/>
          <w:lang w:val="en-US" w:eastAsia="zh-CN"/>
        </w:rPr>
        <w:t>9</w:t>
      </w:r>
      <w:r>
        <w:rPr>
          <w:rFonts w:hint="eastAsia" w:ascii="宋体" w:hAnsi="宋体"/>
          <w:color w:val="auto"/>
          <w:sz w:val="24"/>
          <w:szCs w:val="24"/>
          <w:highlight w:val="none"/>
          <w:u w:val="single"/>
        </w:rPr>
        <w:t>）根据承包人提供的投标设备/材料承诺书相关内容，在工程实施阶段，经查时所安装材料/设备属假冒伪劣产品或不符合招标技术指标要求，将扣除该项目全额履约保证金，作为违约金。</w:t>
      </w:r>
    </w:p>
    <w:p w14:paraId="0121020E">
      <w:pPr>
        <w:spacing w:line="360" w:lineRule="auto"/>
        <w:ind w:firstLine="480" w:firstLineChars="200"/>
        <w:rPr>
          <w:color w:val="auto"/>
          <w:highlight w:val="none"/>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10</w:t>
      </w:r>
      <w:r>
        <w:rPr>
          <w:rFonts w:hint="eastAsia" w:ascii="宋体" w:hAnsi="宋体"/>
          <w:color w:val="auto"/>
          <w:sz w:val="24"/>
          <w:szCs w:val="24"/>
          <w:highlight w:val="none"/>
        </w:rPr>
        <w:t>）</w:t>
      </w:r>
      <w:r>
        <w:rPr>
          <w:rFonts w:hint="eastAsia" w:ascii="宋体" w:hAnsi="宋体"/>
          <w:color w:val="auto"/>
          <w:sz w:val="24"/>
          <w:szCs w:val="24"/>
          <w:highlight w:val="none"/>
          <w:u w:val="single"/>
        </w:rPr>
        <w:t>因承包人存在其他违约行为或因承包人原因导致合同目的无法实现或合同无法继续履行的，发包人有权解除合同。</w:t>
      </w:r>
    </w:p>
    <w:p w14:paraId="61AF5F34">
      <w:pPr>
        <w:spacing w:line="360" w:lineRule="auto"/>
        <w:ind w:firstLine="480" w:firstLineChars="200"/>
        <w:rPr>
          <w:rFonts w:ascii="宋体" w:hAnsi="宋体"/>
          <w:color w:val="auto"/>
          <w:sz w:val="24"/>
          <w:szCs w:val="24"/>
          <w:highlight w:val="none"/>
          <w:u w:val="single"/>
        </w:rPr>
      </w:pPr>
      <w:r>
        <w:rPr>
          <w:rFonts w:hint="eastAsia" w:ascii="宋体" w:hAnsi="宋体"/>
          <w:color w:val="auto"/>
          <w:kern w:val="0"/>
          <w:sz w:val="24"/>
          <w:szCs w:val="24"/>
          <w:highlight w:val="none"/>
          <w:u w:val="single"/>
        </w:rPr>
        <w:t>（</w:t>
      </w:r>
      <w:r>
        <w:rPr>
          <w:rFonts w:hint="eastAsia" w:ascii="宋体" w:hAnsi="宋体"/>
          <w:color w:val="auto"/>
          <w:kern w:val="0"/>
          <w:sz w:val="24"/>
          <w:szCs w:val="24"/>
          <w:highlight w:val="none"/>
          <w:u w:val="single"/>
          <w:lang w:val="en-US" w:eastAsia="zh-CN"/>
        </w:rPr>
        <w:t>11</w:t>
      </w:r>
      <w:r>
        <w:rPr>
          <w:rFonts w:hint="eastAsia" w:ascii="宋体" w:hAnsi="宋体"/>
          <w:color w:val="auto"/>
          <w:kern w:val="0"/>
          <w:sz w:val="24"/>
          <w:szCs w:val="24"/>
          <w:highlight w:val="none"/>
          <w:u w:val="single"/>
        </w:rPr>
        <w:t>）</w:t>
      </w:r>
      <w:r>
        <w:rPr>
          <w:rFonts w:hint="eastAsia" w:ascii="宋体" w:hAnsi="宋体"/>
          <w:color w:val="auto"/>
          <w:sz w:val="24"/>
          <w:szCs w:val="24"/>
          <w:highlight w:val="none"/>
          <w:u w:val="single"/>
        </w:rPr>
        <w:t>本合同中承包人应承担的各项违约金等，自发包人各批次应付款时直接扣除或由承包人另行缴纳，具体选择权由发包人决定，承包人无条件遵照执行。</w:t>
      </w:r>
    </w:p>
    <w:p w14:paraId="1C9F011D">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16.2.3</w:t>
      </w:r>
      <w:r>
        <w:rPr>
          <w:rFonts w:hint="eastAsia" w:ascii="宋体" w:hAnsi="宋体"/>
          <w:color w:val="auto"/>
          <w:sz w:val="24"/>
          <w:szCs w:val="24"/>
          <w:highlight w:val="none"/>
        </w:rPr>
        <w:t xml:space="preserve">  因承包人违约解除合同</w:t>
      </w:r>
    </w:p>
    <w:p w14:paraId="0200FDE4">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关于承包人违约解除合同的特别约定：</w:t>
      </w:r>
    </w:p>
    <w:p w14:paraId="2CCE3112">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1</w:t>
      </w:r>
      <w:r>
        <w:rPr>
          <w:rFonts w:hint="eastAsia" w:ascii="宋体" w:hAnsi="宋体"/>
          <w:color w:val="auto"/>
          <w:sz w:val="24"/>
          <w:szCs w:val="24"/>
          <w:highlight w:val="none"/>
        </w:rPr>
        <w:t>）</w:t>
      </w:r>
      <w:r>
        <w:rPr>
          <w:rFonts w:hint="eastAsia" w:ascii="宋体" w:hAnsi="宋体"/>
          <w:color w:val="auto"/>
          <w:sz w:val="24"/>
          <w:szCs w:val="24"/>
          <w:highlight w:val="none"/>
          <w:u w:val="single"/>
        </w:rPr>
        <w:t>承包人若有非法转包、违法分包建设工程或者实际施工人借用有资质的建筑施工企业名义的行为，发包人有权解除合同并依法追究其法律责任</w:t>
      </w:r>
      <w:r>
        <w:rPr>
          <w:rFonts w:hint="eastAsia" w:ascii="宋体" w:hAnsi="宋体"/>
          <w:color w:val="auto"/>
          <w:sz w:val="24"/>
          <w:szCs w:val="24"/>
          <w:highlight w:val="none"/>
        </w:rPr>
        <w:t>；</w:t>
      </w:r>
    </w:p>
    <w:p w14:paraId="29772AC8">
      <w:pPr>
        <w:widowControl w:val="0"/>
        <w:spacing w:line="360" w:lineRule="auto"/>
        <w:ind w:firstLine="480" w:firstLineChars="200"/>
        <w:jc w:val="both"/>
        <w:rPr>
          <w:rFonts w:ascii="宋体" w:hAnsi="宋体" w:eastAsia="宋体" w:cs="Times New Roman"/>
          <w:color w:val="auto"/>
          <w:kern w:val="2"/>
          <w:sz w:val="24"/>
          <w:szCs w:val="24"/>
          <w:highlight w:val="none"/>
          <w:u w:val="single"/>
          <w:lang w:val="en-US" w:eastAsia="zh-CN" w:bidi="ar-SA"/>
        </w:rPr>
      </w:pPr>
      <w:r>
        <w:rPr>
          <w:rFonts w:hint="eastAsia" w:ascii="宋体" w:hAnsi="宋体"/>
          <w:color w:val="auto"/>
          <w:sz w:val="24"/>
          <w:szCs w:val="24"/>
          <w:highlight w:val="none"/>
        </w:rPr>
        <w:t>（</w:t>
      </w:r>
      <w:r>
        <w:rPr>
          <w:rFonts w:ascii="宋体" w:hAnsi="宋体"/>
          <w:color w:val="auto"/>
          <w:sz w:val="24"/>
          <w:szCs w:val="24"/>
          <w:highlight w:val="none"/>
        </w:rPr>
        <w:t>2</w:t>
      </w:r>
      <w:r>
        <w:rPr>
          <w:rFonts w:hint="eastAsia" w:ascii="宋体" w:hAnsi="宋体"/>
          <w:color w:val="auto"/>
          <w:sz w:val="24"/>
          <w:szCs w:val="24"/>
          <w:highlight w:val="none"/>
        </w:rPr>
        <w:t>）</w:t>
      </w:r>
      <w:r>
        <w:rPr>
          <w:rFonts w:hint="eastAsia" w:ascii="宋体" w:hAnsi="宋体"/>
          <w:color w:val="auto"/>
          <w:sz w:val="24"/>
          <w:szCs w:val="24"/>
          <w:highlight w:val="none"/>
          <w:u w:val="single"/>
        </w:rPr>
        <w:t>除本合同另有约定外，发包人依据本合同约定或法律规定单方解除合同的，自解除合同的通知到达承包人时，合同自行终止。</w:t>
      </w:r>
      <w:r>
        <w:rPr>
          <w:rFonts w:hint="eastAsia" w:ascii="宋体" w:hAnsi="宋体" w:eastAsia="宋体" w:cs="Times New Roman"/>
          <w:color w:val="auto"/>
          <w:kern w:val="2"/>
          <w:sz w:val="24"/>
          <w:szCs w:val="24"/>
          <w:highlight w:val="none"/>
          <w:u w:val="single"/>
          <w:lang w:val="en-US" w:eastAsia="zh-CN" w:bidi="ar-SA"/>
        </w:rPr>
        <w:t>承包人应赔偿发包人因此造成的损失，并承担本合同总金额</w:t>
      </w:r>
      <w:r>
        <w:rPr>
          <w:rFonts w:hint="eastAsia" w:ascii="宋体" w:hAnsi="宋体" w:cs="Times New Roman"/>
          <w:color w:val="auto"/>
          <w:kern w:val="2"/>
          <w:sz w:val="24"/>
          <w:szCs w:val="24"/>
          <w:highlight w:val="none"/>
          <w:u w:val="single"/>
          <w:lang w:val="en-US" w:eastAsia="zh-CN" w:bidi="ar-SA"/>
        </w:rPr>
        <w:t>30</w:t>
      </w:r>
      <w:r>
        <w:rPr>
          <w:rFonts w:hint="eastAsia" w:ascii="宋体" w:hAnsi="宋体" w:eastAsia="宋体" w:cs="Times New Roman"/>
          <w:color w:val="auto"/>
          <w:kern w:val="2"/>
          <w:sz w:val="24"/>
          <w:szCs w:val="24"/>
          <w:highlight w:val="none"/>
          <w:u w:val="single"/>
          <w:lang w:val="en-US" w:eastAsia="zh-CN" w:bidi="ar-SA"/>
        </w:rPr>
        <w:t>%的惩罚性违约金。</w:t>
      </w:r>
    </w:p>
    <w:p w14:paraId="0F917476">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（3）</w:t>
      </w:r>
      <w:r>
        <w:rPr>
          <w:rFonts w:hint="eastAsia" w:ascii="宋体" w:hAnsi="宋体"/>
          <w:color w:val="auto"/>
          <w:sz w:val="24"/>
          <w:szCs w:val="24"/>
          <w:highlight w:val="none"/>
          <w:u w:val="single"/>
        </w:rPr>
        <w:t>按合同约定或法律规定，解除合同的事由发生时，解除权人可以解除合同。享有解除权的一方应当自解除事由发生之日起三年内行使解除权，期限届满不行使的，解除权消灭。</w:t>
      </w:r>
    </w:p>
    <w:p w14:paraId="11162102">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u w:val="single"/>
        </w:rPr>
        <w:t>（4）无论何种原因致使本合同解除或终止，承包人所有人员、设备必须在发包人解除合同通知送达之日或合同终止之日起三个工作日内撤离施工现场并向发包人移交有关的所有工程资料和发包人交予承包人使用的材料、工具或其他物品。逾期则视为承包人放弃对留存在施工现场的材料、设备的所有权，发包人有权自行处置，处置费用由承包人承担，且发包人无需对承包人进行任何赔偿</w:t>
      </w:r>
      <w:r>
        <w:rPr>
          <w:rFonts w:hint="eastAsia" w:ascii="宋体" w:hAnsi="宋体"/>
          <w:color w:val="auto"/>
          <w:sz w:val="24"/>
          <w:szCs w:val="24"/>
          <w:highlight w:val="none"/>
        </w:rPr>
        <w:t>；</w:t>
      </w:r>
    </w:p>
    <w:p w14:paraId="62216231">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5</w:t>
      </w:r>
      <w:r>
        <w:rPr>
          <w:rFonts w:hint="eastAsia" w:ascii="宋体" w:hAnsi="宋体"/>
          <w:color w:val="auto"/>
          <w:sz w:val="24"/>
          <w:szCs w:val="24"/>
          <w:highlight w:val="none"/>
        </w:rPr>
        <w:t>）</w:t>
      </w:r>
      <w:r>
        <w:rPr>
          <w:rFonts w:hint="eastAsia" w:ascii="宋体" w:hAnsi="宋体"/>
          <w:color w:val="auto"/>
          <w:sz w:val="24"/>
          <w:szCs w:val="24"/>
          <w:highlight w:val="none"/>
          <w:u w:val="single"/>
        </w:rPr>
        <w:t>不论何时、何种原因或合同的任何一方导致的合同解除或终止，承包人均有义务向发包人移交合同解除前工程资料。按发包人要求协助发包人进行工程竣工验收、资料归档和备案及竣工验收备案等。承包人无条件服从发包人该等要求，并不得以包括发包人存在违约、过错责任和未履行义务等在内的任何理由予以拒绝。承包人未履行该等义务时，发包人有权要求承包人继续履行该等义务，并有权要求承包人每迟延一日，支付工程价款千分之一的违约金。</w:t>
      </w:r>
    </w:p>
    <w:p w14:paraId="576000FE">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发包人继续使用承包人在施工现场的材料、设备、临时工程、承包人文件和由承包人或以其名义编制的其他文件的费用承担方式：</w:t>
      </w:r>
      <w:r>
        <w:rPr>
          <w:rFonts w:hint="eastAsia" w:ascii="宋体" w:hAnsi="宋体"/>
          <w:color w:val="auto"/>
          <w:sz w:val="24"/>
          <w:szCs w:val="24"/>
          <w:highlight w:val="none"/>
          <w:u w:val="single"/>
        </w:rPr>
        <w:t>发生时另行商议</w:t>
      </w:r>
      <w:r>
        <w:rPr>
          <w:rFonts w:hint="eastAsia" w:ascii="宋体" w:hAnsi="宋体"/>
          <w:color w:val="auto"/>
          <w:sz w:val="24"/>
          <w:szCs w:val="24"/>
          <w:highlight w:val="none"/>
        </w:rPr>
        <w:t>。</w:t>
      </w:r>
    </w:p>
    <w:p w14:paraId="68A7F04D">
      <w:pPr>
        <w:spacing w:line="360" w:lineRule="auto"/>
        <w:ind w:firstLine="141" w:firstLineChars="59"/>
        <w:rPr>
          <w:rFonts w:ascii="宋体" w:hAnsi="宋体"/>
          <w:color w:val="auto"/>
          <w:sz w:val="24"/>
          <w:szCs w:val="24"/>
          <w:highlight w:val="none"/>
        </w:rPr>
      </w:pPr>
      <w:r>
        <w:rPr>
          <w:rFonts w:ascii="宋体" w:hAnsi="宋体"/>
          <w:color w:val="auto"/>
          <w:sz w:val="24"/>
          <w:szCs w:val="24"/>
          <w:highlight w:val="none"/>
        </w:rPr>
        <w:t xml:space="preserve">17  </w:t>
      </w:r>
      <w:r>
        <w:rPr>
          <w:rFonts w:hint="eastAsia" w:ascii="宋体" w:hAnsi="宋体"/>
          <w:color w:val="auto"/>
          <w:sz w:val="24"/>
          <w:szCs w:val="24"/>
          <w:highlight w:val="none"/>
        </w:rPr>
        <w:t>不可抗力</w:t>
      </w:r>
    </w:p>
    <w:p w14:paraId="563943FB">
      <w:pPr>
        <w:spacing w:line="360" w:lineRule="auto"/>
        <w:rPr>
          <w:rFonts w:ascii="宋体" w:hAnsi="宋体"/>
          <w:color w:val="auto"/>
          <w:sz w:val="24"/>
          <w:szCs w:val="24"/>
          <w:highlight w:val="none"/>
        </w:rPr>
      </w:pPr>
      <w:r>
        <w:rPr>
          <w:rFonts w:ascii="宋体" w:hAnsi="宋体"/>
          <w:color w:val="auto"/>
          <w:sz w:val="24"/>
          <w:szCs w:val="24"/>
          <w:highlight w:val="none"/>
        </w:rPr>
        <w:t xml:space="preserve">    17.1  </w:t>
      </w:r>
      <w:r>
        <w:rPr>
          <w:rFonts w:hint="eastAsia" w:ascii="宋体" w:hAnsi="宋体"/>
          <w:color w:val="auto"/>
          <w:sz w:val="24"/>
          <w:szCs w:val="24"/>
          <w:highlight w:val="none"/>
        </w:rPr>
        <w:t>不可抗力的确认</w:t>
      </w:r>
    </w:p>
    <w:p w14:paraId="6DCE67DA">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除通用合同条款约定的不可抗力事件之外，视为不可抗力的其他情形：</w:t>
      </w:r>
      <w:r>
        <w:rPr>
          <w:rFonts w:hint="eastAsia" w:ascii="宋体" w:hAnsi="宋体"/>
          <w:color w:val="auto"/>
          <w:sz w:val="24"/>
          <w:szCs w:val="24"/>
          <w:highlight w:val="none"/>
          <w:u w:val="single"/>
        </w:rPr>
        <w:t>无</w:t>
      </w:r>
      <w:r>
        <w:rPr>
          <w:rFonts w:hint="eastAsia" w:ascii="宋体" w:hAnsi="宋体"/>
          <w:color w:val="auto"/>
          <w:sz w:val="24"/>
          <w:szCs w:val="24"/>
          <w:highlight w:val="none"/>
        </w:rPr>
        <w:t>。</w:t>
      </w:r>
    </w:p>
    <w:p w14:paraId="190AD79D">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17.4  </w:t>
      </w:r>
      <w:r>
        <w:rPr>
          <w:rFonts w:hint="eastAsia" w:ascii="宋体" w:hAnsi="宋体"/>
          <w:color w:val="auto"/>
          <w:sz w:val="24"/>
          <w:szCs w:val="24"/>
          <w:highlight w:val="none"/>
        </w:rPr>
        <w:t>因不可抗力解除合同</w:t>
      </w:r>
    </w:p>
    <w:p w14:paraId="0DACB73E">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合同解除后，发包人应在报财政部门后确定发包人应支付款项后天内完成款项的支付。</w:t>
      </w:r>
    </w:p>
    <w:p w14:paraId="4B5B41F3">
      <w:pPr>
        <w:spacing w:line="360" w:lineRule="auto"/>
        <w:ind w:firstLine="120" w:firstLineChars="50"/>
        <w:rPr>
          <w:rFonts w:ascii="宋体" w:hAnsi="宋体"/>
          <w:color w:val="auto"/>
          <w:sz w:val="24"/>
          <w:szCs w:val="24"/>
          <w:highlight w:val="none"/>
        </w:rPr>
      </w:pPr>
      <w:r>
        <w:rPr>
          <w:rFonts w:ascii="宋体" w:hAnsi="宋体"/>
          <w:color w:val="auto"/>
          <w:sz w:val="24"/>
          <w:szCs w:val="24"/>
          <w:highlight w:val="none"/>
        </w:rPr>
        <w:t xml:space="preserve">18  </w:t>
      </w:r>
      <w:r>
        <w:rPr>
          <w:rFonts w:hint="eastAsia" w:ascii="宋体" w:hAnsi="宋体"/>
          <w:color w:val="auto"/>
          <w:sz w:val="24"/>
          <w:szCs w:val="24"/>
          <w:highlight w:val="none"/>
        </w:rPr>
        <w:t>保险</w:t>
      </w:r>
    </w:p>
    <w:p w14:paraId="0C2CD097">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18.1  </w:t>
      </w:r>
      <w:r>
        <w:rPr>
          <w:rFonts w:hint="eastAsia" w:ascii="宋体" w:hAnsi="宋体"/>
          <w:color w:val="auto"/>
          <w:sz w:val="24"/>
          <w:szCs w:val="24"/>
          <w:highlight w:val="none"/>
        </w:rPr>
        <w:t>工程保险</w:t>
      </w:r>
    </w:p>
    <w:p w14:paraId="54389D82">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关于工程保险的特别约定：</w:t>
      </w:r>
      <w:r>
        <w:rPr>
          <w:rFonts w:hint="eastAsia" w:ascii="宋体" w:hAnsi="宋体"/>
          <w:color w:val="auto"/>
          <w:sz w:val="24"/>
          <w:szCs w:val="24"/>
          <w:highlight w:val="none"/>
          <w:u w:val="single"/>
        </w:rPr>
        <w:t>按国家和项目所在地相关规定办理，费用均由承包人承担</w:t>
      </w:r>
      <w:r>
        <w:rPr>
          <w:rFonts w:hint="eastAsia" w:ascii="宋体" w:hAnsi="宋体"/>
          <w:color w:val="auto"/>
          <w:sz w:val="24"/>
          <w:szCs w:val="24"/>
          <w:highlight w:val="none"/>
        </w:rPr>
        <w:t>。</w:t>
      </w:r>
    </w:p>
    <w:p w14:paraId="57DDAFD3">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18.3  </w:t>
      </w:r>
      <w:r>
        <w:rPr>
          <w:rFonts w:hint="eastAsia" w:ascii="宋体" w:hAnsi="宋体"/>
          <w:color w:val="auto"/>
          <w:sz w:val="24"/>
          <w:szCs w:val="24"/>
          <w:highlight w:val="none"/>
        </w:rPr>
        <w:t>其他保险</w:t>
      </w:r>
    </w:p>
    <w:p w14:paraId="2FA58330">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关于其他保险的约定：</w:t>
      </w:r>
      <w:r>
        <w:rPr>
          <w:rFonts w:hint="eastAsia" w:ascii="宋体" w:hAnsi="宋体"/>
          <w:color w:val="auto"/>
          <w:sz w:val="24"/>
          <w:szCs w:val="24"/>
          <w:highlight w:val="none"/>
          <w:u w:val="single"/>
        </w:rPr>
        <w:t>发生时另议</w:t>
      </w:r>
      <w:r>
        <w:rPr>
          <w:rFonts w:hint="eastAsia" w:ascii="宋体" w:hAnsi="宋体"/>
          <w:color w:val="auto"/>
          <w:sz w:val="24"/>
          <w:szCs w:val="24"/>
          <w:highlight w:val="none"/>
        </w:rPr>
        <w:t>。</w:t>
      </w:r>
    </w:p>
    <w:p w14:paraId="52CEAEFD">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承包人是否应为其施工设备等办理财产保险：</w:t>
      </w:r>
      <w:r>
        <w:rPr>
          <w:rFonts w:hint="eastAsia" w:ascii="宋体" w:hAnsi="宋体"/>
          <w:color w:val="auto"/>
          <w:sz w:val="24"/>
          <w:szCs w:val="24"/>
          <w:highlight w:val="none"/>
          <w:u w:val="single"/>
        </w:rPr>
        <w:t>是</w:t>
      </w:r>
      <w:r>
        <w:rPr>
          <w:rFonts w:hint="eastAsia" w:ascii="宋体" w:hAnsi="宋体"/>
          <w:color w:val="auto"/>
          <w:sz w:val="24"/>
          <w:szCs w:val="24"/>
          <w:highlight w:val="none"/>
        </w:rPr>
        <w:t>。</w:t>
      </w:r>
    </w:p>
    <w:p w14:paraId="179D3AA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18.7  </w:t>
      </w:r>
      <w:r>
        <w:rPr>
          <w:rFonts w:hint="eastAsia" w:ascii="宋体" w:hAnsi="宋体"/>
          <w:color w:val="auto"/>
          <w:sz w:val="24"/>
          <w:szCs w:val="24"/>
          <w:highlight w:val="none"/>
        </w:rPr>
        <w:t>通知义务</w:t>
      </w:r>
    </w:p>
    <w:p w14:paraId="2CEEA371">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关于变更保险合同时的通知义务的约定：</w:t>
      </w:r>
      <w:r>
        <w:rPr>
          <w:rFonts w:hint="eastAsia" w:ascii="宋体" w:hAnsi="宋体"/>
          <w:color w:val="auto"/>
          <w:sz w:val="24"/>
          <w:szCs w:val="24"/>
          <w:highlight w:val="none"/>
          <w:u w:val="single"/>
        </w:rPr>
        <w:t>参照通用条款</w:t>
      </w:r>
      <w:r>
        <w:rPr>
          <w:rFonts w:hint="eastAsia" w:ascii="宋体" w:hAnsi="宋体"/>
          <w:color w:val="auto"/>
          <w:sz w:val="24"/>
          <w:szCs w:val="24"/>
          <w:highlight w:val="none"/>
        </w:rPr>
        <w:t>。</w:t>
      </w:r>
    </w:p>
    <w:p w14:paraId="2681F776">
      <w:pPr>
        <w:spacing w:line="360" w:lineRule="auto"/>
        <w:rPr>
          <w:rFonts w:ascii="宋体" w:hAnsi="宋体"/>
          <w:color w:val="auto"/>
          <w:sz w:val="24"/>
          <w:szCs w:val="24"/>
          <w:highlight w:val="none"/>
        </w:rPr>
      </w:pPr>
      <w:r>
        <w:rPr>
          <w:rFonts w:ascii="宋体" w:hAnsi="宋体"/>
          <w:color w:val="auto"/>
          <w:sz w:val="24"/>
          <w:szCs w:val="24"/>
          <w:highlight w:val="none"/>
        </w:rPr>
        <w:t xml:space="preserve">20  </w:t>
      </w:r>
      <w:r>
        <w:rPr>
          <w:rFonts w:hint="eastAsia" w:ascii="宋体" w:hAnsi="宋体"/>
          <w:color w:val="auto"/>
          <w:sz w:val="24"/>
          <w:szCs w:val="24"/>
          <w:highlight w:val="none"/>
        </w:rPr>
        <w:t>争议解决</w:t>
      </w:r>
    </w:p>
    <w:p w14:paraId="010A156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20.3  </w:t>
      </w:r>
      <w:r>
        <w:rPr>
          <w:rFonts w:hint="eastAsia" w:ascii="宋体" w:hAnsi="宋体"/>
          <w:color w:val="auto"/>
          <w:sz w:val="24"/>
          <w:szCs w:val="24"/>
          <w:highlight w:val="none"/>
        </w:rPr>
        <w:t>争议评审</w:t>
      </w:r>
    </w:p>
    <w:p w14:paraId="5CBF3CFE">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合同当事人是否同意将工程争议提交争议评审小组决定：</w:t>
      </w:r>
      <w:r>
        <w:rPr>
          <w:rFonts w:hint="eastAsia" w:ascii="宋体" w:hAnsi="宋体"/>
          <w:color w:val="auto"/>
          <w:sz w:val="24"/>
          <w:szCs w:val="24"/>
          <w:highlight w:val="none"/>
          <w:u w:val="single"/>
        </w:rPr>
        <w:t>否</w:t>
      </w:r>
      <w:r>
        <w:rPr>
          <w:rFonts w:hint="eastAsia" w:ascii="宋体" w:hAnsi="宋体"/>
          <w:color w:val="auto"/>
          <w:sz w:val="24"/>
          <w:szCs w:val="24"/>
          <w:highlight w:val="none"/>
        </w:rPr>
        <w:t>。</w:t>
      </w:r>
    </w:p>
    <w:p w14:paraId="082A1D70">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合同当事人关于本项的约定：</w:t>
      </w:r>
      <w:r>
        <w:rPr>
          <w:rFonts w:hint="eastAsia" w:ascii="宋体" w:hAnsi="宋体"/>
          <w:color w:val="auto"/>
          <w:sz w:val="24"/>
          <w:szCs w:val="24"/>
          <w:highlight w:val="none"/>
          <w:u w:val="single"/>
        </w:rPr>
        <w:t>执行通用条款</w:t>
      </w:r>
      <w:r>
        <w:rPr>
          <w:rFonts w:ascii="宋体" w:hAnsi="宋体"/>
          <w:color w:val="auto"/>
          <w:sz w:val="24"/>
          <w:szCs w:val="24"/>
          <w:highlight w:val="none"/>
          <w:u w:val="single"/>
        </w:rPr>
        <w:t>20.2</w:t>
      </w:r>
      <w:r>
        <w:rPr>
          <w:rFonts w:hint="eastAsia" w:ascii="宋体" w:hAnsi="宋体"/>
          <w:color w:val="auto"/>
          <w:sz w:val="24"/>
          <w:szCs w:val="24"/>
          <w:highlight w:val="none"/>
          <w:u w:val="single"/>
        </w:rPr>
        <w:t>，调解不成的按专用条款</w:t>
      </w:r>
      <w:r>
        <w:rPr>
          <w:rFonts w:ascii="宋体" w:hAnsi="宋体"/>
          <w:color w:val="auto"/>
          <w:sz w:val="24"/>
          <w:szCs w:val="24"/>
          <w:highlight w:val="none"/>
          <w:u w:val="single"/>
        </w:rPr>
        <w:t>20.4</w:t>
      </w:r>
      <w:r>
        <w:rPr>
          <w:rFonts w:hint="eastAsia" w:ascii="宋体" w:hAnsi="宋体"/>
          <w:color w:val="auto"/>
          <w:sz w:val="24"/>
          <w:szCs w:val="24"/>
          <w:highlight w:val="none"/>
          <w:u w:val="single"/>
        </w:rPr>
        <w:t>执行</w:t>
      </w:r>
      <w:r>
        <w:rPr>
          <w:rFonts w:hint="eastAsia" w:ascii="宋体" w:hAnsi="宋体"/>
          <w:color w:val="auto"/>
          <w:sz w:val="24"/>
          <w:szCs w:val="24"/>
          <w:highlight w:val="none"/>
        </w:rPr>
        <w:t>。</w:t>
      </w:r>
    </w:p>
    <w:p w14:paraId="0B4B0C44">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20.4  </w:t>
      </w:r>
      <w:r>
        <w:rPr>
          <w:rFonts w:hint="eastAsia" w:ascii="宋体" w:hAnsi="宋体"/>
          <w:color w:val="auto"/>
          <w:sz w:val="24"/>
          <w:szCs w:val="24"/>
          <w:highlight w:val="none"/>
        </w:rPr>
        <w:t>仲裁或诉讼</w:t>
      </w:r>
    </w:p>
    <w:p w14:paraId="76B1220F">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因合同及合同有关事项发生的争议，按下列第</w:t>
      </w:r>
      <w:r>
        <w:rPr>
          <w:rFonts w:hint="eastAsia" w:ascii="宋体" w:hAnsi="宋体"/>
          <w:color w:val="auto"/>
          <w:sz w:val="24"/>
          <w:szCs w:val="24"/>
          <w:highlight w:val="none"/>
          <w:u w:val="single"/>
        </w:rPr>
        <w:t>（</w:t>
      </w:r>
      <w:r>
        <w:rPr>
          <w:rFonts w:ascii="宋体" w:hAnsi="宋体"/>
          <w:color w:val="auto"/>
          <w:sz w:val="24"/>
          <w:szCs w:val="24"/>
          <w:highlight w:val="none"/>
          <w:u w:val="single"/>
        </w:rPr>
        <w:t>2</w:t>
      </w:r>
      <w:r>
        <w:rPr>
          <w:rFonts w:hint="eastAsia" w:ascii="宋体" w:hAnsi="宋体"/>
          <w:color w:val="auto"/>
          <w:sz w:val="24"/>
          <w:szCs w:val="24"/>
          <w:highlight w:val="none"/>
          <w:u w:val="single"/>
        </w:rPr>
        <w:t>）</w:t>
      </w:r>
      <w:r>
        <w:rPr>
          <w:rFonts w:hint="eastAsia" w:ascii="宋体" w:hAnsi="宋体"/>
          <w:color w:val="auto"/>
          <w:sz w:val="24"/>
          <w:szCs w:val="24"/>
          <w:highlight w:val="none"/>
        </w:rPr>
        <w:t>种方式解决：</w:t>
      </w:r>
    </w:p>
    <w:p w14:paraId="4DAAEB7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1</w:t>
      </w:r>
      <w:r>
        <w:rPr>
          <w:rFonts w:hint="eastAsia" w:ascii="宋体" w:hAnsi="宋体"/>
          <w:color w:val="auto"/>
          <w:sz w:val="24"/>
          <w:szCs w:val="24"/>
          <w:highlight w:val="none"/>
        </w:rPr>
        <w:t>）向</w:t>
      </w:r>
      <w:r>
        <w:rPr>
          <w:rFonts w:hint="eastAsia" w:ascii="宋体" w:hAnsi="宋体"/>
          <w:color w:val="auto"/>
          <w:sz w:val="24"/>
          <w:szCs w:val="24"/>
          <w:highlight w:val="none"/>
          <w:u w:val="single"/>
        </w:rPr>
        <w:t>/</w:t>
      </w:r>
      <w:r>
        <w:rPr>
          <w:rFonts w:hint="eastAsia" w:ascii="宋体" w:hAnsi="宋体"/>
          <w:color w:val="auto"/>
          <w:sz w:val="24"/>
          <w:szCs w:val="24"/>
          <w:highlight w:val="none"/>
        </w:rPr>
        <w:t>仲裁委员会申请仲裁；</w:t>
      </w:r>
    </w:p>
    <w:p w14:paraId="4BC76896">
      <w:pPr>
        <w:numPr>
          <w:ilvl w:val="0"/>
          <w:numId w:val="3"/>
        </w:num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向</w:t>
      </w:r>
      <w:r>
        <w:rPr>
          <w:rFonts w:hint="eastAsia" w:ascii="宋体" w:hAnsi="宋体"/>
          <w:color w:val="auto"/>
          <w:sz w:val="24"/>
          <w:szCs w:val="24"/>
          <w:highlight w:val="none"/>
          <w:u w:val="single"/>
          <w:lang w:eastAsia="zh-CN"/>
        </w:rPr>
        <w:t>工程</w:t>
      </w:r>
      <w:r>
        <w:rPr>
          <w:rFonts w:hint="eastAsia" w:ascii="宋体" w:hAnsi="宋体"/>
          <w:color w:val="auto"/>
          <w:sz w:val="24"/>
          <w:szCs w:val="24"/>
          <w:highlight w:val="none"/>
          <w:u w:val="single"/>
        </w:rPr>
        <w:t>所在地</w:t>
      </w:r>
      <w:r>
        <w:rPr>
          <w:rFonts w:hint="eastAsia" w:ascii="宋体" w:hAnsi="宋体"/>
          <w:color w:val="auto"/>
          <w:sz w:val="24"/>
          <w:szCs w:val="24"/>
          <w:highlight w:val="none"/>
        </w:rPr>
        <w:t>人民法院起诉。</w:t>
      </w:r>
    </w:p>
    <w:p w14:paraId="7862767D">
      <w:pPr>
        <w:spacing w:line="360" w:lineRule="auto"/>
        <w:rPr>
          <w:rFonts w:ascii="宋体" w:hAnsi="宋体"/>
          <w:color w:val="auto"/>
          <w:sz w:val="24"/>
          <w:szCs w:val="24"/>
          <w:highlight w:val="none"/>
        </w:rPr>
      </w:pPr>
      <w:r>
        <w:rPr>
          <w:rFonts w:ascii="宋体" w:hAnsi="宋体"/>
          <w:color w:val="auto"/>
          <w:sz w:val="24"/>
          <w:szCs w:val="24"/>
          <w:highlight w:val="none"/>
        </w:rPr>
        <w:t>21</w:t>
      </w:r>
      <w:r>
        <w:rPr>
          <w:rFonts w:hint="eastAsia" w:ascii="宋体" w:hAnsi="宋体"/>
          <w:color w:val="auto"/>
          <w:sz w:val="24"/>
          <w:szCs w:val="24"/>
          <w:highlight w:val="none"/>
        </w:rPr>
        <w:t>、其他补充</w:t>
      </w:r>
    </w:p>
    <w:p w14:paraId="4D9B893B">
      <w:pPr>
        <w:spacing w:line="360" w:lineRule="auto"/>
        <w:rPr>
          <w:rFonts w:ascii="宋体" w:hAnsi="宋体"/>
          <w:color w:val="auto"/>
          <w:sz w:val="24"/>
          <w:szCs w:val="24"/>
          <w:highlight w:val="none"/>
        </w:rPr>
      </w:pPr>
      <w:r>
        <w:rPr>
          <w:rFonts w:ascii="宋体" w:hAnsi="宋体"/>
          <w:color w:val="auto"/>
          <w:sz w:val="24"/>
          <w:szCs w:val="24"/>
          <w:highlight w:val="none"/>
        </w:rPr>
        <w:t xml:space="preserve">    21.1 </w:t>
      </w:r>
      <w:r>
        <w:rPr>
          <w:rFonts w:hint="eastAsia" w:ascii="宋体" w:hAnsi="宋体"/>
          <w:color w:val="auto"/>
          <w:sz w:val="24"/>
          <w:szCs w:val="24"/>
          <w:highlight w:val="none"/>
        </w:rPr>
        <w:t>通知与送达</w:t>
      </w:r>
    </w:p>
    <w:p w14:paraId="6731AA4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21.1.1</w:t>
      </w:r>
      <w:r>
        <w:rPr>
          <w:rFonts w:hint="eastAsia" w:ascii="宋体" w:hAnsi="宋体"/>
          <w:color w:val="auto"/>
          <w:sz w:val="24"/>
          <w:szCs w:val="24"/>
          <w:highlight w:val="none"/>
        </w:rPr>
        <w:t xml:space="preserve">  </w:t>
      </w:r>
      <w:r>
        <w:rPr>
          <w:rFonts w:hint="eastAsia" w:ascii="宋体" w:hAnsi="宋体"/>
          <w:color w:val="auto"/>
          <w:sz w:val="24"/>
          <w:szCs w:val="24"/>
          <w:highlight w:val="none"/>
          <w:lang w:val="en-US" w:eastAsia="zh-CN"/>
        </w:rPr>
        <w:t>承包人的</w:t>
      </w:r>
      <w:r>
        <w:rPr>
          <w:rFonts w:hint="eastAsia" w:ascii="宋体" w:hAnsi="宋体"/>
          <w:color w:val="auto"/>
          <w:sz w:val="24"/>
          <w:szCs w:val="24"/>
          <w:highlight w:val="none"/>
        </w:rPr>
        <w:t>通知与送达方式为：</w:t>
      </w:r>
    </w:p>
    <w:p w14:paraId="57691BE0">
      <w:pPr>
        <w:spacing w:line="360" w:lineRule="auto"/>
        <w:ind w:firstLine="480" w:firstLineChars="200"/>
        <w:rPr>
          <w:rFonts w:hint="eastAsia" w:ascii="宋体" w:hAnsi="宋体"/>
          <w:color w:val="auto"/>
          <w:sz w:val="24"/>
          <w:szCs w:val="24"/>
          <w:highlight w:val="none"/>
          <w:u w:val="single"/>
          <w:lang w:val="en-US" w:eastAsia="zh-CN"/>
        </w:rPr>
      </w:pPr>
      <w:r>
        <w:rPr>
          <w:rFonts w:hint="eastAsia" w:ascii="宋体" w:hAnsi="宋体"/>
          <w:color w:val="auto"/>
          <w:sz w:val="24"/>
          <w:szCs w:val="24"/>
          <w:highlight w:val="none"/>
        </w:rPr>
        <w:t>承包人：</w:t>
      </w:r>
      <w:r>
        <w:rPr>
          <w:rFonts w:hint="eastAsia" w:ascii="宋体" w:hAnsi="宋体"/>
          <w:color w:val="auto"/>
          <w:sz w:val="24"/>
          <w:szCs w:val="24"/>
          <w:highlight w:val="none"/>
          <w:u w:val="single"/>
          <w:lang w:val="en-US" w:eastAsia="zh-CN"/>
        </w:rPr>
        <w:t>内蒙古中晖建设有限公司</w:t>
      </w:r>
    </w:p>
    <w:p w14:paraId="18ABC358">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通讯地址：</w:t>
      </w:r>
      <w:r>
        <w:rPr>
          <w:rFonts w:hint="eastAsia" w:ascii="宋体" w:hAnsi="宋体"/>
          <w:color w:val="auto"/>
          <w:sz w:val="24"/>
          <w:szCs w:val="24"/>
          <w:highlight w:val="none"/>
          <w:u w:val="single"/>
        </w:rPr>
        <w:t>内蒙古自治区鄂尔多斯市东胜区天骄南路东锦道综合楼1号楼-6层-620</w:t>
      </w:r>
    </w:p>
    <w:p w14:paraId="07913346">
      <w:pPr>
        <w:spacing w:line="360" w:lineRule="auto"/>
        <w:ind w:firstLine="480" w:firstLineChars="200"/>
        <w:rPr>
          <w:rFonts w:hint="eastAsia" w:ascii="宋体" w:hAnsi="宋体" w:eastAsia="宋体"/>
          <w:color w:val="auto"/>
          <w:sz w:val="24"/>
          <w:szCs w:val="24"/>
          <w:highlight w:val="none"/>
          <w:u w:val="single"/>
        </w:rPr>
      </w:pPr>
      <w:r>
        <w:rPr>
          <w:rFonts w:hint="eastAsia" w:ascii="宋体" w:hAnsi="宋体"/>
          <w:color w:val="auto"/>
          <w:sz w:val="24"/>
          <w:szCs w:val="24"/>
          <w:highlight w:val="none"/>
        </w:rPr>
        <w:t>联系人：</w:t>
      </w:r>
      <w:r>
        <w:rPr>
          <w:rFonts w:hint="eastAsia" w:ascii="宋体" w:hAnsi="宋体" w:eastAsia="宋体"/>
          <w:color w:val="auto"/>
          <w:sz w:val="24"/>
          <w:szCs w:val="24"/>
          <w:highlight w:val="none"/>
          <w:u w:val="single"/>
        </w:rPr>
        <w:t>杜永胜，联系电话(手机)：15334777097</w:t>
      </w:r>
    </w:p>
    <w:p w14:paraId="357578F5">
      <w:pPr>
        <w:spacing w:line="360" w:lineRule="auto"/>
        <w:ind w:firstLine="480" w:firstLineChars="200"/>
        <w:rPr>
          <w:color w:val="auto"/>
          <w:highlight w:val="none"/>
        </w:rPr>
      </w:pPr>
      <w:r>
        <w:rPr>
          <w:rFonts w:hint="eastAsia" w:ascii="宋体" w:hAnsi="宋体"/>
          <w:color w:val="auto"/>
          <w:sz w:val="24"/>
          <w:szCs w:val="24"/>
          <w:highlight w:val="none"/>
        </w:rPr>
        <w:t>E-mail：</w:t>
      </w:r>
      <w:r>
        <w:rPr>
          <w:rFonts w:hint="eastAsia" w:ascii="宋体" w:hAnsi="宋体"/>
          <w:color w:val="auto"/>
          <w:sz w:val="24"/>
          <w:szCs w:val="24"/>
          <w:highlight w:val="none"/>
          <w:u w:val="single"/>
        </w:rPr>
        <w:t>1254004306@qq.com</w:t>
      </w:r>
      <w:r>
        <w:rPr>
          <w:rFonts w:hint="eastAsia" w:ascii="宋体" w:hAnsi="宋体"/>
          <w:color w:val="auto"/>
          <w:sz w:val="24"/>
          <w:szCs w:val="24"/>
          <w:highlight w:val="none"/>
        </w:rPr>
        <w:t>，微信号：</w:t>
      </w:r>
      <w:r>
        <w:rPr>
          <w:rFonts w:hint="eastAsia"/>
        </w:rPr>
        <w:t>15334777097</w:t>
      </w:r>
    </w:p>
    <w:p w14:paraId="2486F784">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21.1.2</w:t>
      </w:r>
      <w:r>
        <w:rPr>
          <w:rFonts w:hint="eastAsia" w:ascii="宋体" w:hAnsi="宋体"/>
          <w:color w:val="auto"/>
          <w:sz w:val="24"/>
          <w:szCs w:val="24"/>
          <w:highlight w:val="none"/>
        </w:rPr>
        <w:t xml:space="preserve">  本合同涉及有关通知事项可按照本合同约定的通知与送达方式，采用邮寄、直接送达、致电、发送短信、</w:t>
      </w:r>
      <w:r>
        <w:rPr>
          <w:rFonts w:ascii="宋体" w:hAnsi="宋体"/>
          <w:color w:val="auto"/>
          <w:sz w:val="24"/>
          <w:szCs w:val="24"/>
          <w:highlight w:val="none"/>
        </w:rPr>
        <w:t>E-mail</w:t>
      </w:r>
      <w:r>
        <w:rPr>
          <w:rFonts w:hint="eastAsia" w:ascii="宋体" w:hAnsi="宋体"/>
          <w:color w:val="auto"/>
          <w:sz w:val="24"/>
          <w:szCs w:val="24"/>
          <w:highlight w:val="none"/>
        </w:rPr>
        <w:t>、微信等任一方式进行，邮寄达到当日、直接送达、致电、发送短信息、</w:t>
      </w:r>
      <w:r>
        <w:rPr>
          <w:rFonts w:ascii="宋体" w:hAnsi="宋体"/>
          <w:color w:val="auto"/>
          <w:sz w:val="24"/>
          <w:szCs w:val="24"/>
          <w:highlight w:val="none"/>
        </w:rPr>
        <w:t>E-mail</w:t>
      </w:r>
      <w:r>
        <w:rPr>
          <w:rFonts w:hint="eastAsia" w:ascii="宋体" w:hAnsi="宋体"/>
          <w:color w:val="auto"/>
          <w:sz w:val="24"/>
          <w:szCs w:val="24"/>
          <w:highlight w:val="none"/>
        </w:rPr>
        <w:t>、微信当时，即视为承包人接到该通知。</w:t>
      </w:r>
    </w:p>
    <w:p w14:paraId="7350624D">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21.1.3  </w:t>
      </w:r>
      <w:r>
        <w:rPr>
          <w:rFonts w:hint="eastAsia" w:ascii="宋体" w:hAnsi="宋体"/>
          <w:color w:val="auto"/>
          <w:sz w:val="24"/>
          <w:szCs w:val="24"/>
          <w:highlight w:val="none"/>
        </w:rPr>
        <w:t>承包人必须保证本合同约定的联络方式真实有效，承包人前述联系方式不真实、不准确或未留联系方式，一切责任均由承包人承担。联系方式如有变更，必须于变更后</w:t>
      </w:r>
      <w:r>
        <w:rPr>
          <w:rFonts w:ascii="宋体" w:hAnsi="宋体"/>
          <w:color w:val="auto"/>
          <w:sz w:val="24"/>
          <w:szCs w:val="24"/>
          <w:highlight w:val="none"/>
        </w:rPr>
        <w:t>3</w:t>
      </w:r>
      <w:r>
        <w:rPr>
          <w:rFonts w:hint="eastAsia" w:ascii="宋体" w:hAnsi="宋体"/>
          <w:color w:val="auto"/>
          <w:sz w:val="24"/>
          <w:szCs w:val="24"/>
          <w:highlight w:val="none"/>
        </w:rPr>
        <w:t>日以书面形式通知发包人。否则，发包人按照本合同约定的通知与送达方式向其发出的任何通知均视为合法有效。承包人拒收、不在指定地址或联系不上导致通知被退回，均视为通知已经合法有效送达。</w:t>
      </w:r>
    </w:p>
    <w:p w14:paraId="6911D085">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21.1.4承包人同意，承包人在本通知与送达条款中预留的地址及电话、传真、电子邮箱</w:t>
      </w:r>
      <w:r>
        <w:rPr>
          <w:rFonts w:hint="eastAsia" w:ascii="宋体" w:hAnsi="宋体"/>
          <w:color w:val="auto"/>
          <w:sz w:val="24"/>
          <w:szCs w:val="24"/>
          <w:highlight w:val="none"/>
          <w:lang w:eastAsia="zh-CN"/>
        </w:rPr>
        <w:t>、微信</w:t>
      </w:r>
      <w:r>
        <w:rPr>
          <w:rFonts w:hint="eastAsia" w:ascii="宋体" w:hAnsi="宋体"/>
          <w:color w:val="auto"/>
          <w:sz w:val="24"/>
          <w:szCs w:val="24"/>
          <w:highlight w:val="none"/>
        </w:rPr>
        <w:t>等，均可作为送达诉讼（或仲裁）文书（包括但不限于起诉状、上诉状、申请书、传票、举证通知书、出庭通知书、各类裁定、判决等）的确认地址。即，只要人民法院（或仲裁委员会）将诉讼（或仲裁）文书发送至承包人预留的地址、传真、电子邮箱</w:t>
      </w:r>
      <w:r>
        <w:rPr>
          <w:rFonts w:hint="eastAsia" w:ascii="宋体" w:hAnsi="宋体"/>
          <w:color w:val="auto"/>
          <w:sz w:val="24"/>
          <w:szCs w:val="24"/>
          <w:highlight w:val="none"/>
          <w:lang w:eastAsia="zh-CN"/>
        </w:rPr>
        <w:t>、微信</w:t>
      </w:r>
      <w:r>
        <w:rPr>
          <w:rFonts w:hint="eastAsia" w:ascii="宋体" w:hAnsi="宋体"/>
          <w:color w:val="auto"/>
          <w:sz w:val="24"/>
          <w:szCs w:val="24"/>
          <w:highlight w:val="none"/>
        </w:rPr>
        <w:t>，即视为送达。因承包人自己提供或者确认的送达地址不准确、送达地址变更未及时告知发包人，承包人或者承包人指定的联系人拒绝签收，导致诉讼（或仲裁）文书未能被承包人实际接收的，文书退回之日视为送达之日。</w:t>
      </w:r>
    </w:p>
    <w:p w14:paraId="01800D54">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21.2 关于授权代理</w:t>
      </w:r>
    </w:p>
    <w:p w14:paraId="2E44F0D5">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本合同的所有附件、以及双方就本合同履行过程中签订的补充/变更协议，涉及发包人一方的，须经发包人法定代表人委托签字并加盖发包人公章后生效。除上述约定外，本合同及其附件和其他往来文件、函件中任何位置上签字或盖章的任何个人、其他公司、组织或分支机构在任何时候不被视为发包人的委托代理人，除非发包人另行加盖公章书面明确授权。</w:t>
      </w:r>
    </w:p>
    <w:p w14:paraId="71B9611E">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21.3 本合同通用条款11.2中的“法律”仅指中华人民共和国法律、行政法规，不包括部门规章、地方性法规、自治条例、单行条例和地方政府规章等其他规范性文件。</w:t>
      </w:r>
    </w:p>
    <w:p w14:paraId="60D63050">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21.4 本合同通用条款中视为发包人默认的条款，均予以作废。无论承包人对发包人发出的任何通知、文件、资料、索赔等，均应经发包人审核并书面同意方对发包人发生效力。发包人收到后不予回复不视为对该通知、文件、资料等的认可。</w:t>
      </w:r>
    </w:p>
    <w:p w14:paraId="33E3D3D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21.5 双方确认，除发包人主动要求外，承包人不得将本合同项下债权债务转让给第三方，否则该转让行为对发包人无效。</w:t>
      </w:r>
    </w:p>
    <w:p w14:paraId="69177149">
      <w:pPr>
        <w:pStyle w:val="2"/>
        <w:rPr>
          <w:rFonts w:hint="eastAsia"/>
          <w:color w:val="auto"/>
        </w:rPr>
      </w:pPr>
    </w:p>
    <w:p w14:paraId="55A6F43A">
      <w:pPr>
        <w:spacing w:line="360" w:lineRule="auto"/>
        <w:rPr>
          <w:rFonts w:ascii="宋体" w:hAnsi="宋体"/>
          <w:color w:val="auto"/>
          <w:sz w:val="24"/>
          <w:szCs w:val="24"/>
          <w:highlight w:val="none"/>
        </w:rPr>
      </w:pPr>
      <w:r>
        <w:rPr>
          <w:rFonts w:hint="eastAsia" w:ascii="宋体" w:hAnsi="宋体" w:cs="黑体"/>
          <w:color w:val="auto"/>
          <w:sz w:val="24"/>
          <w:szCs w:val="24"/>
          <w:highlight w:val="none"/>
        </w:rPr>
        <w:t>附件一</w:t>
      </w:r>
    </w:p>
    <w:p w14:paraId="04248F01">
      <w:pPr>
        <w:spacing w:line="360" w:lineRule="auto"/>
        <w:jc w:val="center"/>
        <w:rPr>
          <w:rFonts w:ascii="宋体" w:hAnsi="宋体" w:cs="黑体"/>
          <w:b/>
          <w:bCs/>
          <w:color w:val="auto"/>
          <w:sz w:val="24"/>
          <w:szCs w:val="24"/>
          <w:highlight w:val="none"/>
        </w:rPr>
      </w:pPr>
      <w:r>
        <w:rPr>
          <w:rFonts w:hint="eastAsia" w:ascii="宋体" w:hAnsi="宋体" w:cs="黑体"/>
          <w:b/>
          <w:bCs/>
          <w:color w:val="auto"/>
          <w:sz w:val="24"/>
          <w:szCs w:val="24"/>
          <w:highlight w:val="none"/>
        </w:rPr>
        <w:t>工程质量保修书</w:t>
      </w:r>
    </w:p>
    <w:p w14:paraId="5799687C">
      <w:pPr>
        <w:spacing w:line="360" w:lineRule="auto"/>
        <w:rPr>
          <w:rFonts w:ascii="宋体" w:hAnsi="宋体"/>
          <w:color w:val="auto"/>
          <w:sz w:val="24"/>
          <w:szCs w:val="24"/>
          <w:highlight w:val="none"/>
        </w:rPr>
      </w:pPr>
    </w:p>
    <w:p w14:paraId="6180607E">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发包人（</w:t>
      </w:r>
      <w:r>
        <w:rPr>
          <w:rFonts w:hint="eastAsia" w:ascii="宋体" w:hAnsi="宋体"/>
          <w:color w:val="auto"/>
          <w:sz w:val="24"/>
          <w:szCs w:val="24"/>
          <w:highlight w:val="none"/>
          <w:lang w:eastAsia="zh-CN"/>
        </w:rPr>
        <w:t>甲方</w:t>
      </w:r>
      <w:r>
        <w:rPr>
          <w:rFonts w:hint="eastAsia" w:ascii="宋体" w:hAnsi="宋体"/>
          <w:color w:val="auto"/>
          <w:sz w:val="24"/>
          <w:szCs w:val="24"/>
          <w:highlight w:val="none"/>
        </w:rPr>
        <w:t>）：</w:t>
      </w:r>
      <w:r>
        <w:rPr>
          <w:rFonts w:hint="eastAsia" w:ascii="宋体" w:hAnsi="宋体"/>
          <w:color w:val="auto"/>
          <w:sz w:val="24"/>
          <w:szCs w:val="24"/>
          <w:highlight w:val="none"/>
          <w:u w:val="single"/>
        </w:rPr>
        <w:t>鄂尔多斯市政府投资项目代建中心</w:t>
      </w:r>
    </w:p>
    <w:p w14:paraId="34BE7843">
      <w:pPr>
        <w:spacing w:line="360" w:lineRule="auto"/>
        <w:ind w:firstLine="480" w:firstLineChars="200"/>
        <w:rPr>
          <w:rFonts w:hint="default" w:ascii="宋体" w:hAnsi="宋体"/>
          <w:color w:val="auto"/>
          <w:sz w:val="24"/>
          <w:szCs w:val="24"/>
          <w:highlight w:val="none"/>
          <w:u w:val="single"/>
          <w:lang w:val="en-US" w:eastAsia="zh-CN"/>
        </w:rPr>
      </w:pPr>
      <w:r>
        <w:rPr>
          <w:rFonts w:hint="eastAsia" w:ascii="宋体" w:hAnsi="宋体"/>
          <w:color w:val="auto"/>
          <w:sz w:val="24"/>
          <w:szCs w:val="24"/>
          <w:highlight w:val="none"/>
        </w:rPr>
        <w:t>承包人（</w:t>
      </w:r>
      <w:r>
        <w:rPr>
          <w:rFonts w:hint="eastAsia" w:ascii="宋体" w:hAnsi="宋体"/>
          <w:color w:val="auto"/>
          <w:sz w:val="24"/>
          <w:szCs w:val="24"/>
          <w:highlight w:val="none"/>
          <w:lang w:eastAsia="zh-CN"/>
        </w:rPr>
        <w:t>乙方</w:t>
      </w:r>
      <w:r>
        <w:rPr>
          <w:rFonts w:hint="eastAsia" w:ascii="宋体" w:hAnsi="宋体"/>
          <w:color w:val="auto"/>
          <w:sz w:val="24"/>
          <w:szCs w:val="24"/>
          <w:highlight w:val="none"/>
        </w:rPr>
        <w:t>）：</w:t>
      </w:r>
      <w:r>
        <w:rPr>
          <w:rFonts w:hint="eastAsia" w:ascii="宋体" w:hAnsi="宋体"/>
          <w:color w:val="auto"/>
          <w:sz w:val="24"/>
          <w:szCs w:val="24"/>
          <w:highlight w:val="none"/>
          <w:u w:val="single"/>
          <w:lang w:val="en-US" w:eastAsia="zh-CN"/>
        </w:rPr>
        <w:t xml:space="preserve">     </w:t>
      </w:r>
    </w:p>
    <w:p w14:paraId="1F0C2D40">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发包人和承包人根据《中华人民共和国建筑法》和《建设工程质量管理条例》，经协商一致就（</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）签订工程质量保修书。</w:t>
      </w:r>
    </w:p>
    <w:p w14:paraId="2D4B2EE7">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1  </w:t>
      </w:r>
      <w:r>
        <w:rPr>
          <w:rFonts w:hint="eastAsia" w:ascii="宋体" w:hAnsi="宋体"/>
          <w:color w:val="auto"/>
          <w:sz w:val="24"/>
          <w:szCs w:val="24"/>
          <w:highlight w:val="none"/>
        </w:rPr>
        <w:t>工程质量保修范围和内容</w:t>
      </w:r>
    </w:p>
    <w:p w14:paraId="5256EA49">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承包人在质量保修期内，按照有关法律规定和合同约定，承担工程质量保修责任。</w:t>
      </w:r>
    </w:p>
    <w:p w14:paraId="35DAC40E">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保修责任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4D09148">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u w:val="single"/>
        </w:rPr>
        <w:t>上述保修项目若由施工原因或承包人供应材料发生质量问题，由承包人承担维修及费用，由发包人使用不当或发包人供应原材料发生质量问题或损失由发包人承担费用或自修</w:t>
      </w:r>
      <w:r>
        <w:rPr>
          <w:rFonts w:hint="eastAsia" w:ascii="宋体" w:hAnsi="宋体"/>
          <w:color w:val="auto"/>
          <w:sz w:val="24"/>
          <w:szCs w:val="24"/>
          <w:highlight w:val="none"/>
        </w:rPr>
        <w:t>。</w:t>
      </w:r>
    </w:p>
    <w:p w14:paraId="65D705D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2  </w:t>
      </w:r>
      <w:r>
        <w:rPr>
          <w:rFonts w:hint="eastAsia" w:ascii="宋体" w:hAnsi="宋体"/>
          <w:color w:val="auto"/>
          <w:sz w:val="24"/>
          <w:szCs w:val="24"/>
          <w:highlight w:val="none"/>
        </w:rPr>
        <w:t>质量保修期</w:t>
      </w:r>
    </w:p>
    <w:p w14:paraId="5F65CC3B">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根据《建设工程质量管理条例》及有关规定，工程的质量保修期如下：</w:t>
      </w:r>
    </w:p>
    <w:p w14:paraId="6FE56CE9">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（1）地基基础工程和主体结构工程为设计文件规定的该工程的合理使用年限；</w:t>
      </w:r>
    </w:p>
    <w:p w14:paraId="4450539E">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（2）屋面防水工程、有防水要求的卫生间、房间和外墙面的防渗为</w:t>
      </w:r>
      <w:r>
        <w:rPr>
          <w:rFonts w:hint="eastAsia" w:ascii="宋体" w:hAnsi="宋体"/>
          <w:color w:val="auto"/>
          <w:sz w:val="24"/>
          <w:szCs w:val="24"/>
          <w:highlight w:val="none"/>
          <w:u w:val="single"/>
        </w:rPr>
        <w:t>五</w:t>
      </w:r>
      <w:r>
        <w:rPr>
          <w:rFonts w:hint="eastAsia" w:ascii="宋体" w:hAnsi="宋体"/>
          <w:color w:val="auto"/>
          <w:sz w:val="24"/>
          <w:szCs w:val="24"/>
          <w:highlight w:val="none"/>
        </w:rPr>
        <w:t>年；</w:t>
      </w:r>
    </w:p>
    <w:p w14:paraId="27A90758">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（3）装修工程，为</w:t>
      </w:r>
      <w:r>
        <w:rPr>
          <w:rFonts w:hint="eastAsia" w:ascii="宋体" w:hAnsi="宋体"/>
          <w:color w:val="auto"/>
          <w:sz w:val="24"/>
          <w:szCs w:val="24"/>
          <w:highlight w:val="none"/>
          <w:u w:val="single"/>
        </w:rPr>
        <w:t>两</w:t>
      </w:r>
      <w:r>
        <w:rPr>
          <w:rFonts w:hint="eastAsia" w:ascii="宋体" w:hAnsi="宋体"/>
          <w:color w:val="auto"/>
          <w:sz w:val="24"/>
          <w:szCs w:val="24"/>
          <w:highlight w:val="none"/>
        </w:rPr>
        <w:t>年；</w:t>
      </w:r>
    </w:p>
    <w:p w14:paraId="6B934603">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（4）电气管线、给排水管道、设备安装工程和装修工程，为</w:t>
      </w:r>
      <w:r>
        <w:rPr>
          <w:rFonts w:hint="eastAsia" w:ascii="宋体" w:hAnsi="宋体"/>
          <w:color w:val="auto"/>
          <w:sz w:val="24"/>
          <w:szCs w:val="24"/>
          <w:highlight w:val="none"/>
          <w:u w:val="single"/>
        </w:rPr>
        <w:t>两</w:t>
      </w:r>
      <w:r>
        <w:rPr>
          <w:rFonts w:hint="eastAsia" w:ascii="宋体" w:hAnsi="宋体"/>
          <w:color w:val="auto"/>
          <w:sz w:val="24"/>
          <w:szCs w:val="24"/>
          <w:highlight w:val="none"/>
        </w:rPr>
        <w:t>年；</w:t>
      </w:r>
    </w:p>
    <w:p w14:paraId="150F1B28">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（5）供热与供冷系统为</w:t>
      </w:r>
      <w:r>
        <w:rPr>
          <w:rFonts w:hint="eastAsia" w:ascii="宋体" w:hAnsi="宋体"/>
          <w:color w:val="auto"/>
          <w:sz w:val="24"/>
          <w:szCs w:val="24"/>
          <w:highlight w:val="none"/>
          <w:u w:val="single"/>
        </w:rPr>
        <w:t>两</w:t>
      </w:r>
      <w:r>
        <w:rPr>
          <w:rFonts w:hint="eastAsia" w:ascii="宋体" w:hAnsi="宋体"/>
          <w:color w:val="auto"/>
          <w:sz w:val="24"/>
          <w:szCs w:val="24"/>
          <w:highlight w:val="none"/>
        </w:rPr>
        <w:t>个采暖期、供冷期；</w:t>
      </w:r>
    </w:p>
    <w:p w14:paraId="71CDB526">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（6）住宅小区内的给排水设施、道路等配套工程为</w:t>
      </w:r>
      <w:r>
        <w:rPr>
          <w:rFonts w:hint="eastAsia" w:ascii="宋体" w:hAnsi="宋体"/>
          <w:color w:val="auto"/>
          <w:sz w:val="24"/>
          <w:szCs w:val="24"/>
          <w:highlight w:val="none"/>
          <w:u w:val="single"/>
        </w:rPr>
        <w:t>两</w:t>
      </w:r>
      <w:r>
        <w:rPr>
          <w:rFonts w:hint="eastAsia" w:ascii="宋体" w:hAnsi="宋体"/>
          <w:color w:val="auto"/>
          <w:sz w:val="24"/>
          <w:szCs w:val="24"/>
          <w:highlight w:val="none"/>
        </w:rPr>
        <w:t>年；</w:t>
      </w:r>
    </w:p>
    <w:p w14:paraId="3BADE76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（7）本工程景观绿化养管期为1年，质保期1年，质保期内承包方应进行除草、浇水、施肥等工作；</w:t>
      </w:r>
    </w:p>
    <w:p w14:paraId="09DE4287">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（8）其他项目保修期限约定如下：</w:t>
      </w:r>
      <w:r>
        <w:rPr>
          <w:rFonts w:hint="eastAsia" w:ascii="宋体" w:hAnsi="宋体"/>
          <w:color w:val="auto"/>
          <w:sz w:val="24"/>
          <w:szCs w:val="24"/>
          <w:highlight w:val="none"/>
          <w:u w:val="single"/>
        </w:rPr>
        <w:t>除上述约定外，其他工程项目保修期限不低于国家和项目所在地规定的有关保修年限。</w:t>
      </w:r>
    </w:p>
    <w:p w14:paraId="6A1F5286">
      <w:pPr>
        <w:spacing w:line="360" w:lineRule="auto"/>
        <w:ind w:firstLine="480" w:firstLineChars="200"/>
        <w:rPr>
          <w:rFonts w:ascii="宋体" w:hAnsi="宋体" w:cs="宋体"/>
          <w:bCs/>
          <w:color w:val="auto"/>
          <w:sz w:val="24"/>
          <w:szCs w:val="24"/>
          <w:highlight w:val="none"/>
          <w:u w:val="single"/>
        </w:rPr>
      </w:pPr>
      <w:r>
        <w:rPr>
          <w:rFonts w:hint="eastAsia" w:ascii="宋体" w:hAnsi="宋体" w:cs="宋体"/>
          <w:bCs/>
          <w:color w:val="auto"/>
          <w:sz w:val="24"/>
          <w:szCs w:val="24"/>
          <w:highlight w:val="none"/>
        </w:rPr>
        <w:t>（9）其他约定：</w:t>
      </w:r>
      <w:r>
        <w:rPr>
          <w:rFonts w:hint="eastAsia" w:ascii="宋体" w:hAnsi="宋体" w:cs="宋体"/>
          <w:bCs/>
          <w:color w:val="auto"/>
          <w:sz w:val="24"/>
          <w:szCs w:val="24"/>
          <w:highlight w:val="none"/>
          <w:u w:val="single"/>
        </w:rPr>
        <w:t>承包人所施工程质量及保修期还应满足设计要求</w:t>
      </w:r>
      <w:r>
        <w:rPr>
          <w:rFonts w:hint="eastAsia" w:ascii="宋体" w:hAnsi="宋体" w:cs="宋体"/>
          <w:bCs/>
          <w:color w:val="auto"/>
          <w:sz w:val="24"/>
          <w:szCs w:val="24"/>
          <w:highlight w:val="none"/>
        </w:rPr>
        <w:t>。</w:t>
      </w:r>
    </w:p>
    <w:p w14:paraId="1388F54B">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质量保修期自工程竣工验收合格之日起计算。</w:t>
      </w:r>
    </w:p>
    <w:p w14:paraId="3E639882">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3  </w:t>
      </w:r>
      <w:r>
        <w:rPr>
          <w:rFonts w:hint="eastAsia" w:ascii="宋体" w:hAnsi="宋体"/>
          <w:color w:val="auto"/>
          <w:sz w:val="24"/>
          <w:szCs w:val="24"/>
          <w:highlight w:val="none"/>
        </w:rPr>
        <w:t>缺陷责任期</w:t>
      </w:r>
    </w:p>
    <w:p w14:paraId="657B81C1">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工程缺陷责任期为</w:t>
      </w:r>
      <w:r>
        <w:rPr>
          <w:rFonts w:ascii="宋体" w:hAnsi="宋体"/>
          <w:color w:val="auto"/>
          <w:sz w:val="24"/>
          <w:szCs w:val="24"/>
          <w:highlight w:val="none"/>
          <w:u w:val="single"/>
        </w:rPr>
        <w:t xml:space="preserve"> 24 </w:t>
      </w:r>
      <w:r>
        <w:rPr>
          <w:rFonts w:hint="eastAsia" w:ascii="宋体" w:hAnsi="宋体"/>
          <w:color w:val="auto"/>
          <w:sz w:val="24"/>
          <w:szCs w:val="24"/>
          <w:highlight w:val="none"/>
        </w:rPr>
        <w:t>个月，缺陷责任期自工程竣工验收合格之日起计算。单位工程先于全部工程进行验收，单位工程缺陷责任期自单位工程验收合格之日起算。</w:t>
      </w:r>
    </w:p>
    <w:p w14:paraId="452701FD">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4  </w:t>
      </w:r>
      <w:r>
        <w:rPr>
          <w:rFonts w:hint="eastAsia" w:ascii="宋体" w:hAnsi="宋体"/>
          <w:color w:val="auto"/>
          <w:sz w:val="24"/>
          <w:szCs w:val="24"/>
          <w:highlight w:val="none"/>
        </w:rPr>
        <w:t>质量保修责任</w:t>
      </w:r>
    </w:p>
    <w:p w14:paraId="525506E2">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1</w:t>
      </w:r>
      <w:r>
        <w:rPr>
          <w:rFonts w:hint="eastAsia" w:ascii="宋体" w:hAnsi="宋体"/>
          <w:color w:val="auto"/>
          <w:sz w:val="24"/>
          <w:szCs w:val="24"/>
          <w:highlight w:val="none"/>
        </w:rPr>
        <w:t>）属于保修范围、内容的项目，承包人应当接到发包人或使用单位通知一次后，</w:t>
      </w:r>
      <w:r>
        <w:rPr>
          <w:rFonts w:ascii="宋体" w:hAnsi="宋体"/>
          <w:color w:val="auto"/>
          <w:sz w:val="24"/>
          <w:szCs w:val="24"/>
          <w:highlight w:val="none"/>
        </w:rPr>
        <w:t>3</w:t>
      </w:r>
      <w:r>
        <w:rPr>
          <w:rFonts w:hint="eastAsia" w:ascii="宋体" w:hAnsi="宋体"/>
          <w:color w:val="auto"/>
          <w:sz w:val="24"/>
          <w:szCs w:val="24"/>
          <w:highlight w:val="none"/>
        </w:rPr>
        <w:t>日内必须组织保修，若</w:t>
      </w:r>
      <w:r>
        <w:rPr>
          <w:rFonts w:ascii="宋体" w:hAnsi="宋体"/>
          <w:color w:val="auto"/>
          <w:sz w:val="24"/>
          <w:szCs w:val="24"/>
          <w:highlight w:val="none"/>
        </w:rPr>
        <w:t>3</w:t>
      </w:r>
      <w:r>
        <w:rPr>
          <w:rFonts w:hint="eastAsia" w:ascii="宋体" w:hAnsi="宋体"/>
          <w:color w:val="auto"/>
          <w:sz w:val="24"/>
          <w:szCs w:val="24"/>
          <w:highlight w:val="none"/>
        </w:rPr>
        <w:t>日内不能及时组织保修或没有响应的视为自动放弃保修，发包人或使用单位将直接指定第三方进行维修，费用由承包人承担。</w:t>
      </w:r>
    </w:p>
    <w:p w14:paraId="091F316D">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2</w:t>
      </w:r>
      <w:r>
        <w:rPr>
          <w:rFonts w:hint="eastAsia" w:ascii="宋体" w:hAnsi="宋体"/>
          <w:color w:val="auto"/>
          <w:sz w:val="24"/>
          <w:szCs w:val="24"/>
          <w:highlight w:val="none"/>
        </w:rPr>
        <w:t>）发生紧急事故需抢修的，承包人在接到事故通知后，应当立即到达事故现场抢修。</w:t>
      </w:r>
    </w:p>
    <w:p w14:paraId="1A35241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3</w:t>
      </w:r>
      <w:r>
        <w:rPr>
          <w:rFonts w:hint="eastAsia" w:ascii="宋体" w:hAnsi="宋体"/>
          <w:color w:val="auto"/>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DBA5A45">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4</w:t>
      </w:r>
      <w:r>
        <w:rPr>
          <w:rFonts w:hint="eastAsia" w:ascii="宋体" w:hAnsi="宋体"/>
          <w:color w:val="auto"/>
          <w:sz w:val="24"/>
          <w:szCs w:val="24"/>
          <w:highlight w:val="none"/>
        </w:rPr>
        <w:t>）质量保修完成后，由发包人组织验收。</w:t>
      </w:r>
    </w:p>
    <w:p w14:paraId="2B8144FD">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5  </w:t>
      </w:r>
      <w:r>
        <w:rPr>
          <w:rFonts w:hint="eastAsia" w:ascii="宋体" w:hAnsi="宋体"/>
          <w:color w:val="auto"/>
          <w:sz w:val="24"/>
          <w:szCs w:val="24"/>
          <w:highlight w:val="none"/>
        </w:rPr>
        <w:t>保修费用</w:t>
      </w:r>
    </w:p>
    <w:p w14:paraId="5EF46C5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保修费用由造成质量缺陷的责任方承担。</w:t>
      </w:r>
    </w:p>
    <w:p w14:paraId="7589AE56">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6  </w:t>
      </w:r>
      <w:r>
        <w:rPr>
          <w:rFonts w:hint="eastAsia" w:ascii="宋体" w:hAnsi="宋体"/>
          <w:color w:val="auto"/>
          <w:sz w:val="24"/>
          <w:szCs w:val="24"/>
          <w:highlight w:val="none"/>
        </w:rPr>
        <w:t>双方约定的其他工程质量保修事项：</w:t>
      </w:r>
    </w:p>
    <w:p w14:paraId="309335C1">
      <w:pPr>
        <w:spacing w:line="360" w:lineRule="auto"/>
        <w:ind w:firstLine="480" w:firstLineChars="200"/>
        <w:rPr>
          <w:rFonts w:hint="eastAsia" w:ascii="宋体" w:hAnsi="宋体" w:eastAsia="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1</w:t>
      </w:r>
      <w:r>
        <w:rPr>
          <w:rFonts w:hint="eastAsia" w:ascii="宋体" w:hAnsi="宋体"/>
          <w:color w:val="auto"/>
          <w:sz w:val="24"/>
          <w:szCs w:val="24"/>
          <w:highlight w:val="none"/>
        </w:rPr>
        <w:t>）承包人保修负责人：</w:t>
      </w:r>
      <w:r>
        <w:rPr>
          <w:rFonts w:hint="eastAsia" w:ascii="宋体" w:hAnsi="宋体" w:eastAsia="宋体"/>
          <w:color w:val="auto"/>
          <w:sz w:val="24"/>
          <w:szCs w:val="24"/>
          <w:highlight w:val="none"/>
        </w:rPr>
        <w:t>杜永胜</w:t>
      </w:r>
    </w:p>
    <w:p w14:paraId="50101130">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电话</w:t>
      </w:r>
      <w:r>
        <w:rPr>
          <w:rFonts w:ascii="宋体" w:hAnsi="宋体"/>
          <w:color w:val="auto"/>
          <w:sz w:val="24"/>
          <w:szCs w:val="24"/>
          <w:highlight w:val="none"/>
        </w:rPr>
        <w:t>/</w:t>
      </w:r>
      <w:r>
        <w:rPr>
          <w:rFonts w:hint="eastAsia" w:ascii="宋体" w:hAnsi="宋体"/>
          <w:color w:val="auto"/>
          <w:sz w:val="24"/>
          <w:szCs w:val="24"/>
          <w:highlight w:val="none"/>
        </w:rPr>
        <w:t>手机（指定维修期间应保持</w:t>
      </w:r>
      <w:r>
        <w:rPr>
          <w:rFonts w:ascii="宋体" w:hAnsi="宋体"/>
          <w:color w:val="auto"/>
          <w:sz w:val="24"/>
          <w:szCs w:val="24"/>
          <w:highlight w:val="none"/>
        </w:rPr>
        <w:t>24</w:t>
      </w:r>
      <w:r>
        <w:rPr>
          <w:rFonts w:hint="eastAsia" w:ascii="宋体" w:hAnsi="宋体"/>
          <w:color w:val="auto"/>
          <w:sz w:val="24"/>
          <w:szCs w:val="24"/>
          <w:highlight w:val="none"/>
        </w:rPr>
        <w:t>小时畅通）：</w:t>
      </w:r>
      <w:r>
        <w:rPr>
          <w:rFonts w:hint="eastAsia"/>
        </w:rPr>
        <w:t>15334777097</w:t>
      </w:r>
    </w:p>
    <w:p w14:paraId="56838DF0">
      <w:pPr>
        <w:spacing w:line="360" w:lineRule="auto"/>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邮箱：</w:t>
      </w:r>
      <w:r>
        <w:rPr>
          <w:rFonts w:hint="eastAsia" w:ascii="宋体" w:hAnsi="宋体"/>
          <w:color w:val="auto"/>
          <w:sz w:val="24"/>
          <w:szCs w:val="24"/>
          <w:highlight w:val="none"/>
          <w:u w:val="single"/>
        </w:rPr>
        <w:t>1254004306@qq.com；</w:t>
      </w:r>
      <w:r>
        <w:rPr>
          <w:rFonts w:hint="eastAsia" w:ascii="宋体" w:hAnsi="宋体"/>
          <w:color w:val="auto"/>
          <w:sz w:val="24"/>
          <w:szCs w:val="24"/>
          <w:highlight w:val="none"/>
        </w:rPr>
        <w:t>微信：</w:t>
      </w:r>
      <w:r>
        <w:rPr>
          <w:rFonts w:hint="eastAsia"/>
        </w:rPr>
        <w:t>15334777097</w:t>
      </w:r>
    </w:p>
    <w:p w14:paraId="44EE0388">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涉及有关保修事项可按照上述承包人的联络方式，致电、传真、短信、</w:t>
      </w:r>
      <w:r>
        <w:rPr>
          <w:rFonts w:ascii="宋体" w:hAnsi="宋体"/>
          <w:color w:val="auto"/>
          <w:sz w:val="24"/>
          <w:szCs w:val="24"/>
          <w:highlight w:val="none"/>
        </w:rPr>
        <w:t>E-mail</w:t>
      </w:r>
      <w:r>
        <w:rPr>
          <w:rFonts w:hint="eastAsia" w:ascii="宋体" w:hAnsi="宋体"/>
          <w:color w:val="auto"/>
          <w:sz w:val="24"/>
          <w:szCs w:val="24"/>
          <w:highlight w:val="none"/>
        </w:rPr>
        <w:t>、微信等任一方式进行，致电、传真、短信息、</w:t>
      </w:r>
      <w:r>
        <w:rPr>
          <w:rFonts w:ascii="宋体" w:hAnsi="宋体"/>
          <w:color w:val="auto"/>
          <w:sz w:val="24"/>
          <w:szCs w:val="24"/>
          <w:highlight w:val="none"/>
        </w:rPr>
        <w:t>E-mail</w:t>
      </w:r>
      <w:r>
        <w:rPr>
          <w:rFonts w:hint="eastAsia" w:ascii="宋体" w:hAnsi="宋体"/>
          <w:color w:val="auto"/>
          <w:sz w:val="24"/>
          <w:szCs w:val="24"/>
          <w:highlight w:val="none"/>
        </w:rPr>
        <w:t>、微信发送当时，即视为被承包人接到该保修通知。</w:t>
      </w:r>
    </w:p>
    <w:p w14:paraId="3CEAA5D5">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承包人必须保证上述的联络方式真实有效，如有变更，必须于变更前</w:t>
      </w:r>
      <w:r>
        <w:rPr>
          <w:rFonts w:ascii="宋体" w:hAnsi="宋体"/>
          <w:color w:val="auto"/>
          <w:sz w:val="24"/>
          <w:szCs w:val="24"/>
          <w:highlight w:val="none"/>
        </w:rPr>
        <w:t>3</w:t>
      </w:r>
      <w:r>
        <w:rPr>
          <w:rFonts w:hint="eastAsia" w:ascii="宋体" w:hAnsi="宋体"/>
          <w:color w:val="auto"/>
          <w:sz w:val="24"/>
          <w:szCs w:val="24"/>
          <w:highlight w:val="none"/>
        </w:rPr>
        <w:t>日通知发包人。否则，发包人按照上述联络方式向其发出的任何通知均视为合法有效，并视为承包人已经接到发包人通知；</w:t>
      </w:r>
    </w:p>
    <w:p w14:paraId="0BCC183E">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2</w:t>
      </w:r>
      <w:r>
        <w:rPr>
          <w:rFonts w:hint="eastAsia" w:ascii="宋体" w:hAnsi="宋体"/>
          <w:color w:val="auto"/>
          <w:sz w:val="24"/>
          <w:szCs w:val="24"/>
          <w:highlight w:val="none"/>
        </w:rPr>
        <w:t>）承包人维修人员应服从管理和监督，文明施工、文明用语，否则承包人支付违约金</w:t>
      </w:r>
      <w:r>
        <w:rPr>
          <w:rFonts w:ascii="宋体" w:hAnsi="宋体"/>
          <w:color w:val="auto"/>
          <w:sz w:val="24"/>
          <w:szCs w:val="24"/>
          <w:highlight w:val="none"/>
        </w:rPr>
        <w:t>500</w:t>
      </w:r>
      <w:r>
        <w:rPr>
          <w:rFonts w:hint="eastAsia" w:ascii="宋体" w:hAnsi="宋体"/>
          <w:color w:val="auto"/>
          <w:sz w:val="24"/>
          <w:szCs w:val="24"/>
          <w:highlight w:val="none"/>
        </w:rPr>
        <w:t>元</w:t>
      </w:r>
      <w:r>
        <w:rPr>
          <w:rFonts w:ascii="宋体" w:hAnsi="宋体"/>
          <w:color w:val="auto"/>
          <w:sz w:val="24"/>
          <w:szCs w:val="24"/>
          <w:highlight w:val="none"/>
        </w:rPr>
        <w:t>/</w:t>
      </w:r>
      <w:r>
        <w:rPr>
          <w:rFonts w:hint="eastAsia" w:ascii="宋体" w:hAnsi="宋体"/>
          <w:color w:val="auto"/>
          <w:sz w:val="24"/>
          <w:szCs w:val="24"/>
          <w:highlight w:val="none"/>
        </w:rPr>
        <w:t>人次；</w:t>
      </w:r>
    </w:p>
    <w:p w14:paraId="6BBCA79E">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（3）渗水、漏水、给排水、供电设施及线路出现故障等影响居民正常生活的情况，承包人承诺在发包人通知后4小时内赶到现场并于6小时内完成维修；</w:t>
      </w:r>
    </w:p>
    <w:p w14:paraId="17EED263">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4</w:t>
      </w:r>
      <w:r>
        <w:rPr>
          <w:rFonts w:hint="eastAsia" w:ascii="宋体" w:hAnsi="宋体"/>
          <w:color w:val="auto"/>
          <w:sz w:val="24"/>
          <w:szCs w:val="24"/>
          <w:highlight w:val="none"/>
        </w:rPr>
        <w:t>）每个维修项目完成后承包人负责将施工现场清理干净要经发包人或使用单位验收签字本次维修完毕。所有维修项目应保证在六个月（</w:t>
      </w:r>
      <w:r>
        <w:rPr>
          <w:rFonts w:ascii="宋体" w:hAnsi="宋体"/>
          <w:color w:val="auto"/>
          <w:sz w:val="24"/>
          <w:szCs w:val="24"/>
          <w:highlight w:val="none"/>
        </w:rPr>
        <w:t>180</w:t>
      </w:r>
      <w:r>
        <w:rPr>
          <w:rFonts w:hint="eastAsia" w:ascii="宋体" w:hAnsi="宋体"/>
          <w:color w:val="auto"/>
          <w:sz w:val="24"/>
          <w:szCs w:val="24"/>
          <w:highlight w:val="none"/>
        </w:rPr>
        <w:t>日）内不再出现类似问题，维修项目的保修期限由维修合格之日起重新计算。如维修过程中给发包人和本项目物业使用人造成其他损失，则承包人应承担相应责任。</w:t>
      </w:r>
    </w:p>
    <w:p w14:paraId="15ED8081">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5</w:t>
      </w:r>
      <w:r>
        <w:rPr>
          <w:rFonts w:hint="eastAsia" w:ascii="宋体" w:hAnsi="宋体"/>
          <w:color w:val="auto"/>
          <w:sz w:val="24"/>
          <w:szCs w:val="24"/>
          <w:highlight w:val="none"/>
        </w:rPr>
        <w:t>）承包人承诺：无论以上质量缺陷属承包人、发包人或本项目使用人责任，在接到通知后，均遵守上述时间要求且不问理由进行维修，在维修过程中与发包人及本项目使用人共同取证，判断责任原因，不属承包人责任的，由责任方向承包人支付合理的费用。承包人接到发包人通知后，以不属承包人责任等理由推脱、不予维修或未按约定时间到达现场的，视为该需维修事项属承办人责任，发包人有权直接委托第三方进行维修，由此引起的一切费用和责任由承包人承担。</w:t>
      </w:r>
    </w:p>
    <w:p w14:paraId="2C15BEB5">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6</w:t>
      </w:r>
      <w:r>
        <w:rPr>
          <w:rFonts w:hint="eastAsia" w:ascii="宋体" w:hAnsi="宋体"/>
          <w:color w:val="auto"/>
          <w:sz w:val="24"/>
          <w:szCs w:val="24"/>
          <w:highlight w:val="none"/>
        </w:rPr>
        <w:t>）如有下列情形之一发生，发包人或使用单位有权另行聘请其他施工单位进行维修，由此引起的一切费用和责任由承包人承担；同时，发包人亦有权与使用单位协商并确定赔偿金额，协商结果经发包人和使用单位签字后立即生效，直接从发包人支付承包人的任何款项中扣除，不需承包人书面确认，承包人予以无条件承认：</w:t>
      </w:r>
    </w:p>
    <w:p w14:paraId="0DC3913D">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A</w:t>
      </w:r>
      <w:r>
        <w:rPr>
          <w:rFonts w:hint="eastAsia" w:ascii="宋体" w:hAnsi="宋体"/>
          <w:color w:val="auto"/>
          <w:sz w:val="24"/>
          <w:szCs w:val="24"/>
          <w:highlight w:val="none"/>
        </w:rPr>
        <w:t>、接到返修通知后拒不到现场处理问题；</w:t>
      </w:r>
    </w:p>
    <w:p w14:paraId="7E13BACB">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B</w:t>
      </w:r>
      <w:r>
        <w:rPr>
          <w:rFonts w:hint="eastAsia" w:ascii="宋体" w:hAnsi="宋体"/>
          <w:color w:val="auto"/>
          <w:sz w:val="24"/>
          <w:szCs w:val="24"/>
          <w:highlight w:val="none"/>
        </w:rPr>
        <w:t>、承包方超过规定的到场时间后未赶到现场；</w:t>
      </w:r>
    </w:p>
    <w:p w14:paraId="66515340">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C</w:t>
      </w:r>
      <w:r>
        <w:rPr>
          <w:rFonts w:hint="eastAsia" w:ascii="宋体" w:hAnsi="宋体"/>
          <w:color w:val="auto"/>
          <w:sz w:val="24"/>
          <w:szCs w:val="24"/>
          <w:highlight w:val="none"/>
        </w:rPr>
        <w:t>、对同一位置经过一次返修仍未彻底解决问题；</w:t>
      </w:r>
    </w:p>
    <w:p w14:paraId="227367F9">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D</w:t>
      </w:r>
      <w:r>
        <w:rPr>
          <w:rFonts w:hint="eastAsia" w:ascii="宋体" w:hAnsi="宋体"/>
          <w:color w:val="auto"/>
          <w:sz w:val="24"/>
          <w:szCs w:val="24"/>
          <w:highlight w:val="none"/>
        </w:rPr>
        <w:t>、现场返修人员服务行为造成发包人或使用单位强烈投诉等。</w:t>
      </w:r>
    </w:p>
    <w:p w14:paraId="146697B6">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7</w:t>
      </w:r>
      <w:r>
        <w:rPr>
          <w:rFonts w:hint="eastAsia" w:ascii="宋体" w:hAnsi="宋体"/>
          <w:color w:val="auto"/>
          <w:sz w:val="24"/>
          <w:szCs w:val="24"/>
          <w:highlight w:val="none"/>
        </w:rPr>
        <w:t>）因承包人责任造成返修、赔偿的，承包人应按照以下标准赔偿发包人直接和间接损失：直接返修加直接赔偿的费用在</w:t>
      </w:r>
      <w:r>
        <w:rPr>
          <w:rFonts w:ascii="宋体" w:hAnsi="宋体"/>
          <w:color w:val="auto"/>
          <w:sz w:val="24"/>
          <w:szCs w:val="24"/>
          <w:highlight w:val="none"/>
        </w:rPr>
        <w:t>2000</w:t>
      </w:r>
      <w:r>
        <w:rPr>
          <w:rFonts w:hint="eastAsia" w:ascii="宋体" w:hAnsi="宋体"/>
          <w:color w:val="auto"/>
          <w:sz w:val="24"/>
          <w:szCs w:val="24"/>
          <w:highlight w:val="none"/>
        </w:rPr>
        <w:t>元以下的部分，按照</w:t>
      </w:r>
      <w:r>
        <w:rPr>
          <w:rFonts w:ascii="宋体" w:hAnsi="宋体"/>
          <w:color w:val="auto"/>
          <w:sz w:val="24"/>
          <w:szCs w:val="24"/>
          <w:highlight w:val="none"/>
        </w:rPr>
        <w:t>3</w:t>
      </w:r>
      <w:r>
        <w:rPr>
          <w:rFonts w:hint="eastAsia" w:ascii="宋体" w:hAnsi="宋体"/>
          <w:color w:val="auto"/>
          <w:sz w:val="24"/>
          <w:szCs w:val="24"/>
          <w:highlight w:val="none"/>
        </w:rPr>
        <w:t>倍计算；直接返修加直接赔偿的费用在</w:t>
      </w:r>
      <w:r>
        <w:rPr>
          <w:rFonts w:ascii="宋体" w:hAnsi="宋体"/>
          <w:color w:val="auto"/>
          <w:sz w:val="24"/>
          <w:szCs w:val="24"/>
          <w:highlight w:val="none"/>
        </w:rPr>
        <w:t>2000</w:t>
      </w:r>
      <w:r>
        <w:rPr>
          <w:rFonts w:hint="eastAsia" w:ascii="宋体" w:hAnsi="宋体"/>
          <w:color w:val="auto"/>
          <w:sz w:val="24"/>
          <w:szCs w:val="24"/>
          <w:highlight w:val="none"/>
        </w:rPr>
        <w:t>元以上的部分，按照</w:t>
      </w:r>
      <w:r>
        <w:rPr>
          <w:rFonts w:ascii="宋体" w:hAnsi="宋体"/>
          <w:color w:val="auto"/>
          <w:sz w:val="24"/>
          <w:szCs w:val="24"/>
          <w:highlight w:val="none"/>
        </w:rPr>
        <w:t>2</w:t>
      </w:r>
      <w:r>
        <w:rPr>
          <w:rFonts w:hint="eastAsia" w:ascii="宋体" w:hAnsi="宋体"/>
          <w:color w:val="auto"/>
          <w:sz w:val="24"/>
          <w:szCs w:val="24"/>
          <w:highlight w:val="none"/>
        </w:rPr>
        <w:t>倍计算，同时加收赔偿费用的</w:t>
      </w:r>
      <w:r>
        <w:rPr>
          <w:rFonts w:ascii="宋体" w:hAnsi="宋体"/>
          <w:color w:val="auto"/>
          <w:sz w:val="24"/>
          <w:szCs w:val="24"/>
          <w:highlight w:val="none"/>
        </w:rPr>
        <w:t>20%</w:t>
      </w:r>
      <w:r>
        <w:rPr>
          <w:rFonts w:hint="eastAsia" w:ascii="宋体" w:hAnsi="宋体"/>
          <w:color w:val="auto"/>
          <w:sz w:val="24"/>
          <w:szCs w:val="24"/>
          <w:highlight w:val="none"/>
        </w:rPr>
        <w:t>作为违约金。按上述办法计算出的费用总额，无需征得承包人意见即可直接从承包人保修款中扣除，承包人予以无条件承认并执行，但不等于免除承包人的任何应负的责任。</w:t>
      </w:r>
    </w:p>
    <w:p w14:paraId="29A3048E">
      <w:pPr>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 xml:space="preserve">7  </w:t>
      </w:r>
      <w:r>
        <w:rPr>
          <w:rFonts w:hint="eastAsia" w:ascii="宋体" w:hAnsi="宋体"/>
          <w:color w:val="auto"/>
          <w:sz w:val="24"/>
          <w:szCs w:val="24"/>
          <w:highlight w:val="none"/>
        </w:rPr>
        <w:t>本工程质量保修书，由施工合同发包人或使用单位、承包人双方在竣工验收前共同签署，作为施工合同附件，其有效期限至保修期满。</w:t>
      </w:r>
    </w:p>
    <w:p w14:paraId="7C912B3C">
      <w:pPr>
        <w:spacing w:line="360" w:lineRule="auto"/>
        <w:rPr>
          <w:rFonts w:ascii="宋体" w:hAnsi="宋体" w:cs="黑体"/>
          <w:color w:val="auto"/>
          <w:sz w:val="24"/>
          <w:szCs w:val="24"/>
          <w:highlight w:val="none"/>
        </w:rPr>
      </w:pPr>
    </w:p>
    <w:p w14:paraId="4D3F96A6">
      <w:pPr>
        <w:spacing w:line="360" w:lineRule="auto"/>
        <w:rPr>
          <w:rFonts w:ascii="宋体" w:hAnsi="宋体" w:cs="黑体"/>
          <w:color w:val="auto"/>
          <w:sz w:val="24"/>
          <w:szCs w:val="24"/>
          <w:highlight w:val="none"/>
        </w:rPr>
        <w:sectPr>
          <w:pgSz w:w="11906" w:h="16838"/>
          <w:pgMar w:top="1417" w:right="1555" w:bottom="1417" w:left="1531" w:header="851" w:footer="992" w:gutter="0"/>
          <w:pgNumType w:fmt="decimal"/>
          <w:cols w:space="720" w:num="1"/>
          <w:titlePg/>
          <w:rtlGutter w:val="0"/>
          <w:docGrid w:type="lines" w:linePitch="312" w:charSpace="0"/>
        </w:sectPr>
      </w:pPr>
    </w:p>
    <w:p w14:paraId="028A5712">
      <w:pPr>
        <w:spacing w:line="360" w:lineRule="auto"/>
        <w:rPr>
          <w:rFonts w:ascii="宋体" w:hAnsi="宋体" w:cs="黑体"/>
          <w:color w:val="auto"/>
          <w:sz w:val="24"/>
          <w:szCs w:val="24"/>
          <w:highlight w:val="none"/>
        </w:rPr>
      </w:pPr>
      <w:r>
        <w:rPr>
          <w:rFonts w:hint="eastAsia" w:ascii="宋体" w:hAnsi="宋体" w:cs="黑体"/>
          <w:color w:val="auto"/>
          <w:sz w:val="24"/>
          <w:szCs w:val="24"/>
          <w:highlight w:val="none"/>
        </w:rPr>
        <w:t xml:space="preserve">附件二                 </w:t>
      </w:r>
    </w:p>
    <w:p w14:paraId="3E2A4B0B">
      <w:pPr>
        <w:spacing w:line="360" w:lineRule="auto"/>
        <w:jc w:val="center"/>
        <w:rPr>
          <w:rFonts w:ascii="宋体" w:hAnsi="宋体" w:cs="黑体"/>
          <w:b/>
          <w:bCs/>
          <w:color w:val="auto"/>
          <w:sz w:val="24"/>
          <w:szCs w:val="24"/>
          <w:highlight w:val="none"/>
        </w:rPr>
      </w:pPr>
      <w:r>
        <w:rPr>
          <w:rFonts w:hint="eastAsia" w:ascii="宋体" w:hAnsi="宋体" w:cs="黑体"/>
          <w:b/>
          <w:bCs/>
          <w:color w:val="auto"/>
          <w:sz w:val="24"/>
          <w:szCs w:val="24"/>
          <w:highlight w:val="none"/>
        </w:rPr>
        <w:t>建设工程廉政责任书</w:t>
      </w:r>
    </w:p>
    <w:p w14:paraId="27276C7F">
      <w:pPr>
        <w:spacing w:line="360" w:lineRule="auto"/>
        <w:rPr>
          <w:rFonts w:ascii="宋体" w:hAnsi="宋体" w:cs="宋体"/>
          <w:color w:val="auto"/>
          <w:sz w:val="24"/>
          <w:szCs w:val="24"/>
          <w:highlight w:val="none"/>
        </w:rPr>
      </w:pPr>
    </w:p>
    <w:p w14:paraId="53903049">
      <w:pPr>
        <w:spacing w:line="360" w:lineRule="auto"/>
        <w:ind w:firstLine="482" w:firstLineChars="200"/>
        <w:rPr>
          <w:rFonts w:ascii="宋体" w:hAnsi="宋体" w:cs="宋体"/>
          <w:color w:val="auto"/>
          <w:sz w:val="24"/>
          <w:szCs w:val="24"/>
          <w:highlight w:val="none"/>
          <w:u w:val="single"/>
        </w:rPr>
      </w:pPr>
      <w:r>
        <w:rPr>
          <w:rFonts w:hint="eastAsia" w:ascii="宋体" w:hAnsi="宋体" w:cs="宋体"/>
          <w:b/>
          <w:color w:val="auto"/>
          <w:sz w:val="24"/>
          <w:szCs w:val="24"/>
          <w:highlight w:val="none"/>
        </w:rPr>
        <w:t>发包人：</w:t>
      </w:r>
      <w:r>
        <w:rPr>
          <w:rFonts w:hint="eastAsia" w:ascii="宋体" w:hAnsi="宋体" w:cs="宋体"/>
          <w:b/>
          <w:color w:val="auto"/>
          <w:sz w:val="24"/>
          <w:szCs w:val="24"/>
          <w:highlight w:val="none"/>
          <w:u w:val="single"/>
        </w:rPr>
        <w:t xml:space="preserve"> 鄂尔多斯市政府投资项目代建中心</w:t>
      </w:r>
    </w:p>
    <w:p w14:paraId="05F5961B">
      <w:pPr>
        <w:spacing w:line="360" w:lineRule="auto"/>
        <w:ind w:firstLine="482" w:firstLineChars="200"/>
        <w:rPr>
          <w:rFonts w:hint="default" w:ascii="宋体" w:hAnsi="宋体" w:cs="宋体"/>
          <w:b/>
          <w:color w:val="auto"/>
          <w:sz w:val="24"/>
          <w:szCs w:val="24"/>
          <w:highlight w:val="none"/>
          <w:u w:val="single"/>
          <w:lang w:val="en-US"/>
        </w:rPr>
      </w:pPr>
      <w:r>
        <w:rPr>
          <w:rFonts w:hint="eastAsia" w:ascii="宋体" w:hAnsi="宋体" w:cs="宋体"/>
          <w:b/>
          <w:color w:val="auto"/>
          <w:sz w:val="24"/>
          <w:szCs w:val="24"/>
          <w:highlight w:val="none"/>
        </w:rPr>
        <w:t>承包人：</w:t>
      </w:r>
      <w:r>
        <w:rPr>
          <w:rFonts w:hint="eastAsia" w:ascii="宋体" w:hAnsi="宋体" w:eastAsia="宋体" w:cs="宋体"/>
          <w:b/>
          <w:color w:val="auto"/>
          <w:sz w:val="24"/>
          <w:szCs w:val="24"/>
          <w:highlight w:val="none"/>
          <w:u w:val="single"/>
        </w:rPr>
        <w:t xml:space="preserve"> </w:t>
      </w:r>
      <w:r>
        <w:rPr>
          <w:rFonts w:hint="eastAsia" w:ascii="宋体" w:hAnsi="宋体" w:cs="宋体"/>
          <w:b/>
          <w:color w:val="auto"/>
          <w:sz w:val="24"/>
          <w:szCs w:val="24"/>
          <w:highlight w:val="none"/>
          <w:u w:val="single"/>
          <w:lang w:val="en-US" w:eastAsia="zh-CN"/>
        </w:rPr>
        <w:t xml:space="preserve">       </w:t>
      </w:r>
    </w:p>
    <w:p w14:paraId="3CDA1B0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7AA4CF00">
      <w:pPr>
        <w:spacing w:line="360" w:lineRule="auto"/>
        <w:ind w:firstLine="480" w:firstLineChars="200"/>
        <w:outlineLvl w:val="0"/>
        <w:rPr>
          <w:rFonts w:ascii="宋体" w:hAnsi="宋体" w:cs="宋体"/>
          <w:color w:val="auto"/>
          <w:sz w:val="24"/>
          <w:szCs w:val="24"/>
          <w:highlight w:val="none"/>
        </w:rPr>
      </w:pPr>
      <w:bookmarkStart w:id="5" w:name="_Toc454388504"/>
      <w:bookmarkStart w:id="6" w:name="_Toc51266246"/>
      <w:bookmarkStart w:id="7" w:name="_Toc48163924"/>
      <w:bookmarkStart w:id="8" w:name="_Toc14919"/>
      <w:r>
        <w:rPr>
          <w:rFonts w:hint="eastAsia" w:ascii="宋体" w:hAnsi="宋体" w:cs="宋体"/>
          <w:color w:val="auto"/>
          <w:sz w:val="24"/>
          <w:szCs w:val="24"/>
          <w:highlight w:val="none"/>
        </w:rPr>
        <w:t>一、双方的责任</w:t>
      </w:r>
      <w:bookmarkEnd w:id="5"/>
      <w:bookmarkEnd w:id="6"/>
      <w:bookmarkEnd w:id="7"/>
      <w:bookmarkEnd w:id="8"/>
    </w:p>
    <w:p w14:paraId="060BAA1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1.1应严格遵守国家关于建设工程的有关法律、法规，相关政策，以及廉政建设的各项规定。</w:t>
      </w:r>
    </w:p>
    <w:p w14:paraId="44F7EE2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1.2严格执行建设工程合同文件，自觉按合同办事。</w:t>
      </w:r>
    </w:p>
    <w:p w14:paraId="5CD9FD8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1.3各项活动必须坚持公开、公平、公正、诚信、透明的原则(除法律法规另有规定者外)，不得为获取不正当的利益，损害国家、集体和对方利益，不得违反建设工程管理的规章制度。</w:t>
      </w:r>
    </w:p>
    <w:p w14:paraId="06219F1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1.4发现对方在业务活动中有违规、违纪、违法行为的，应及时提醒对方，情节严重的，应向其上级主管部门或纪检监察、司法等有关机关举报。</w:t>
      </w:r>
    </w:p>
    <w:p w14:paraId="63685D74">
      <w:pPr>
        <w:spacing w:line="360" w:lineRule="auto"/>
        <w:ind w:firstLine="480" w:firstLineChars="200"/>
        <w:outlineLvl w:val="0"/>
        <w:rPr>
          <w:rFonts w:ascii="宋体" w:hAnsi="宋体" w:cs="宋体"/>
          <w:color w:val="auto"/>
          <w:sz w:val="24"/>
          <w:szCs w:val="24"/>
          <w:highlight w:val="none"/>
        </w:rPr>
      </w:pPr>
      <w:bookmarkStart w:id="9" w:name="_Toc17943"/>
      <w:bookmarkStart w:id="10" w:name="_Toc454388505"/>
      <w:bookmarkStart w:id="11" w:name="_Toc51266247"/>
      <w:bookmarkStart w:id="12" w:name="_Toc48163925"/>
      <w:r>
        <w:rPr>
          <w:rFonts w:hint="eastAsia" w:ascii="宋体" w:hAnsi="宋体" w:cs="宋体"/>
          <w:color w:val="auto"/>
          <w:sz w:val="24"/>
          <w:szCs w:val="24"/>
          <w:highlight w:val="none"/>
        </w:rPr>
        <w:t>二、发包人责任</w:t>
      </w:r>
      <w:bookmarkEnd w:id="9"/>
      <w:bookmarkEnd w:id="10"/>
      <w:bookmarkEnd w:id="11"/>
      <w:bookmarkEnd w:id="12"/>
    </w:p>
    <w:p w14:paraId="343D450E">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发包人的领导和从事该建设工程项目的工作人员，在工程建设的事前、事中、事后应遵守以下规定：</w:t>
      </w:r>
    </w:p>
    <w:p w14:paraId="7B2E3F3F">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2.1不得向承包人和相关单位索要或接受回扣、礼金、有价证券、贵重物品和好处费、感谢费等。</w:t>
      </w:r>
    </w:p>
    <w:p w14:paraId="6B4A097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2.2不得在承包人和相关单位报销任何应由发包人或个人支付的费用。</w:t>
      </w:r>
    </w:p>
    <w:p w14:paraId="6D4B52F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2.3不得要求、暗示或接受承包人和相关单位为个人装修住房、婚丧嫁娶、配偶子女的工作安排以及出国(境)、旅游等提供方便。</w:t>
      </w:r>
    </w:p>
    <w:p w14:paraId="6DF11273">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2.4不得参加有可能影响公正执行公务的承包人和相关单位的宴请、健身、娱乐等活动。</w:t>
      </w:r>
    </w:p>
    <w:p w14:paraId="4C9C2A2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2.5不得向承包人和相关单位介绍或为配偶、子女、亲属参与同发包人工程建设管理合同有关的业务活动；不得以任何理由要求承包人和相关单位使用某种产品、材料和设备。</w:t>
      </w:r>
    </w:p>
    <w:p w14:paraId="19A319F8">
      <w:pPr>
        <w:spacing w:line="360" w:lineRule="auto"/>
        <w:ind w:firstLine="480" w:firstLineChars="200"/>
        <w:outlineLvl w:val="0"/>
        <w:rPr>
          <w:rFonts w:ascii="宋体" w:hAnsi="宋体" w:cs="宋体"/>
          <w:color w:val="auto"/>
          <w:sz w:val="24"/>
          <w:szCs w:val="24"/>
          <w:highlight w:val="none"/>
        </w:rPr>
      </w:pPr>
      <w:bookmarkStart w:id="13" w:name="_Toc51266248"/>
      <w:bookmarkStart w:id="14" w:name="_Toc8913"/>
      <w:bookmarkStart w:id="15" w:name="_Toc454388506"/>
      <w:bookmarkStart w:id="16" w:name="_Toc48163926"/>
      <w:r>
        <w:rPr>
          <w:rFonts w:hint="eastAsia" w:ascii="宋体" w:hAnsi="宋体" w:cs="宋体"/>
          <w:color w:val="auto"/>
          <w:sz w:val="24"/>
          <w:szCs w:val="24"/>
          <w:highlight w:val="none"/>
        </w:rPr>
        <w:t>三、承包人责任</w:t>
      </w:r>
      <w:bookmarkEnd w:id="13"/>
      <w:bookmarkEnd w:id="14"/>
      <w:bookmarkEnd w:id="15"/>
      <w:bookmarkEnd w:id="16"/>
    </w:p>
    <w:p w14:paraId="1F5C7D1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应与发包人保持正常的业务交往，按照有关法律法规和程序开展业务工作，严格执行工程建设的有关方针、政策，执行工程建设强制性标准，并遵守以下规定：</w:t>
      </w:r>
    </w:p>
    <w:p w14:paraId="32B7DAF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3.1不得以任何理由向发包人及其工作人员索要、接受或赠送礼金、有价证券、贵重物品及回扣、好处费、感谢费等。</w:t>
      </w:r>
    </w:p>
    <w:p w14:paraId="6CC159C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3.2不得以任何理由为发包人和相关单位报销应由对方或个人支付的费用。</w:t>
      </w:r>
    </w:p>
    <w:p w14:paraId="30F7090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3.3不得接受或暗示为发包人、相关单位或个人装修住房、婚丧嫁娶、配偶子女的工作安排以及出国(境)、旅游等提供方便。</w:t>
      </w:r>
    </w:p>
    <w:p w14:paraId="015F652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3.4不得以任何理由为发包人、相关单位或个人组织有可能影响公正执行公务的宴请、健身、娱乐等活动。</w:t>
      </w:r>
    </w:p>
    <w:p w14:paraId="276A9B53">
      <w:pPr>
        <w:spacing w:line="360" w:lineRule="auto"/>
        <w:ind w:firstLine="480" w:firstLineChars="200"/>
        <w:outlineLvl w:val="0"/>
        <w:rPr>
          <w:rFonts w:ascii="宋体" w:hAnsi="宋体" w:cs="宋体"/>
          <w:color w:val="auto"/>
          <w:sz w:val="24"/>
          <w:szCs w:val="24"/>
          <w:highlight w:val="none"/>
        </w:rPr>
      </w:pPr>
      <w:bookmarkStart w:id="17" w:name="_Toc48163927"/>
      <w:bookmarkStart w:id="18" w:name="_Toc51266249"/>
      <w:bookmarkStart w:id="19" w:name="_Toc454388507"/>
      <w:bookmarkStart w:id="20" w:name="_Toc25367"/>
      <w:r>
        <w:rPr>
          <w:rFonts w:hint="eastAsia" w:ascii="宋体" w:hAnsi="宋体" w:cs="宋体"/>
          <w:color w:val="auto"/>
          <w:sz w:val="24"/>
          <w:szCs w:val="24"/>
          <w:highlight w:val="none"/>
        </w:rPr>
        <w:t>四、违约责任</w:t>
      </w:r>
      <w:bookmarkEnd w:id="17"/>
      <w:bookmarkEnd w:id="18"/>
      <w:bookmarkEnd w:id="19"/>
      <w:bookmarkEnd w:id="20"/>
    </w:p>
    <w:p w14:paraId="159E7D9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4.1发包人工作人员有违反本责任书第一、二条责任行为的，依据有关法律、法规给予处理；涉嫌犯罪的，移交司法机关追究刑事责任；给承包人单位造成经济损失的，应予以赔偿。</w:t>
      </w:r>
    </w:p>
    <w:p w14:paraId="6C8D93C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4.2承包人工作人员有违反本责任书第一、三条责任行为的，依据有关法律法规处理；涉嫌犯罪的，移交司法机关追究刑事责任；给发包人单位造成经济损失的，应予以赔偿。</w:t>
      </w:r>
    </w:p>
    <w:p w14:paraId="21FC1A8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4.3本责任书作为建设工程合同的组成部分，与建设工程合同具有同等法律效力。经双方签</w:t>
      </w:r>
      <w:r>
        <w:rPr>
          <w:rFonts w:hint="eastAsia" w:ascii="宋体" w:hAnsi="宋体" w:cs="宋体"/>
          <w:color w:val="auto"/>
          <w:sz w:val="24"/>
          <w:szCs w:val="24"/>
          <w:highlight w:val="none"/>
          <w:lang w:eastAsia="zh-CN"/>
        </w:rPr>
        <w:t>订</w:t>
      </w:r>
      <w:r>
        <w:rPr>
          <w:rFonts w:hint="eastAsia" w:ascii="宋体" w:hAnsi="宋体" w:cs="宋体"/>
          <w:color w:val="auto"/>
          <w:sz w:val="24"/>
          <w:szCs w:val="24"/>
          <w:highlight w:val="none"/>
        </w:rPr>
        <w:t>后立即生效。</w:t>
      </w:r>
    </w:p>
    <w:p w14:paraId="094C3C09">
      <w:pPr>
        <w:spacing w:line="360" w:lineRule="auto"/>
        <w:ind w:firstLine="480" w:firstLineChars="200"/>
        <w:outlineLvl w:val="0"/>
        <w:rPr>
          <w:rFonts w:ascii="宋体" w:hAnsi="宋体" w:cs="宋体"/>
          <w:color w:val="auto"/>
          <w:sz w:val="24"/>
          <w:szCs w:val="24"/>
          <w:highlight w:val="none"/>
        </w:rPr>
      </w:pPr>
      <w:bookmarkStart w:id="21" w:name="_Toc48163928"/>
      <w:bookmarkStart w:id="22" w:name="_Toc51266250"/>
      <w:bookmarkStart w:id="23" w:name="_Toc454388508"/>
      <w:bookmarkStart w:id="24" w:name="_Toc23060"/>
      <w:r>
        <w:rPr>
          <w:rFonts w:hint="eastAsia" w:ascii="宋体" w:hAnsi="宋体" w:cs="宋体"/>
          <w:color w:val="auto"/>
          <w:sz w:val="24"/>
          <w:szCs w:val="24"/>
          <w:highlight w:val="none"/>
        </w:rPr>
        <w:t>五、责任书有效期</w:t>
      </w:r>
      <w:bookmarkEnd w:id="21"/>
      <w:bookmarkEnd w:id="22"/>
      <w:bookmarkEnd w:id="23"/>
      <w:bookmarkEnd w:id="24"/>
    </w:p>
    <w:p w14:paraId="7EF17FC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本责任书的有效期为双方签</w:t>
      </w:r>
      <w:r>
        <w:rPr>
          <w:rFonts w:hint="eastAsia" w:ascii="宋体" w:hAnsi="宋体" w:cs="宋体"/>
          <w:color w:val="auto"/>
          <w:sz w:val="24"/>
          <w:szCs w:val="24"/>
          <w:highlight w:val="none"/>
          <w:lang w:eastAsia="zh-CN"/>
        </w:rPr>
        <w:t>订</w:t>
      </w:r>
      <w:r>
        <w:rPr>
          <w:rFonts w:hint="eastAsia" w:ascii="宋体" w:hAnsi="宋体" w:cs="宋体"/>
          <w:color w:val="auto"/>
          <w:sz w:val="24"/>
          <w:szCs w:val="24"/>
          <w:highlight w:val="none"/>
        </w:rPr>
        <w:t>之日起至该工程项目竣工验收合格时止。</w:t>
      </w:r>
    </w:p>
    <w:p w14:paraId="6A4077C2">
      <w:pPr>
        <w:spacing w:line="360" w:lineRule="auto"/>
        <w:rPr>
          <w:rFonts w:ascii="宋体" w:hAnsi="宋体"/>
          <w:color w:val="auto"/>
          <w:sz w:val="24"/>
          <w:szCs w:val="24"/>
          <w:highlight w:val="none"/>
        </w:rPr>
      </w:pPr>
    </w:p>
    <w:p w14:paraId="37A3A65B">
      <w:pPr>
        <w:spacing w:line="360" w:lineRule="auto"/>
        <w:rPr>
          <w:rFonts w:ascii="宋体" w:hAnsi="宋体"/>
          <w:color w:val="auto"/>
          <w:sz w:val="24"/>
          <w:szCs w:val="24"/>
          <w:highlight w:val="none"/>
        </w:rPr>
      </w:pPr>
    </w:p>
    <w:p w14:paraId="6C940393">
      <w:pPr>
        <w:spacing w:line="360" w:lineRule="auto"/>
        <w:rPr>
          <w:rFonts w:ascii="宋体" w:hAnsi="宋体"/>
          <w:color w:val="auto"/>
          <w:sz w:val="24"/>
          <w:szCs w:val="24"/>
          <w:highlight w:val="none"/>
        </w:rPr>
      </w:pPr>
    </w:p>
    <w:p w14:paraId="776604DA">
      <w:pPr>
        <w:spacing w:line="360" w:lineRule="auto"/>
        <w:rPr>
          <w:rFonts w:ascii="宋体" w:hAnsi="宋体"/>
          <w:color w:val="auto"/>
          <w:sz w:val="24"/>
          <w:szCs w:val="24"/>
          <w:highlight w:val="none"/>
        </w:rPr>
      </w:pPr>
    </w:p>
    <w:p w14:paraId="224A9FCA">
      <w:pPr>
        <w:spacing w:line="360" w:lineRule="auto"/>
        <w:rPr>
          <w:rFonts w:ascii="宋体" w:hAnsi="宋体"/>
          <w:color w:val="auto"/>
          <w:sz w:val="24"/>
          <w:szCs w:val="24"/>
          <w:highlight w:val="none"/>
        </w:rPr>
      </w:pPr>
    </w:p>
    <w:p w14:paraId="471B7B65">
      <w:pPr>
        <w:spacing w:line="360" w:lineRule="auto"/>
        <w:rPr>
          <w:rFonts w:ascii="宋体" w:hAnsi="宋体" w:cs="黑体"/>
          <w:b/>
          <w:color w:val="auto"/>
          <w:sz w:val="24"/>
          <w:szCs w:val="24"/>
          <w:highlight w:val="none"/>
        </w:rPr>
        <w:sectPr>
          <w:pgSz w:w="11906" w:h="16838"/>
          <w:pgMar w:top="1417" w:right="1555" w:bottom="1417" w:left="1531" w:header="851" w:footer="992" w:gutter="0"/>
          <w:pgNumType w:fmt="decimal"/>
          <w:cols w:space="720" w:num="1"/>
          <w:titlePg/>
          <w:rtlGutter w:val="0"/>
          <w:docGrid w:type="lines" w:linePitch="312" w:charSpace="0"/>
        </w:sectPr>
      </w:pPr>
    </w:p>
    <w:p w14:paraId="2A546A34">
      <w:pPr>
        <w:spacing w:line="360" w:lineRule="auto"/>
        <w:rPr>
          <w:rFonts w:ascii="宋体" w:hAnsi="宋体" w:cs="黑体"/>
          <w:b/>
          <w:color w:val="auto"/>
          <w:sz w:val="24"/>
          <w:szCs w:val="24"/>
          <w:highlight w:val="none"/>
        </w:rPr>
      </w:pPr>
      <w:r>
        <w:rPr>
          <w:rFonts w:hint="eastAsia" w:ascii="宋体" w:hAnsi="宋体" w:cs="黑体"/>
          <w:b/>
          <w:color w:val="auto"/>
          <w:sz w:val="24"/>
          <w:szCs w:val="24"/>
          <w:highlight w:val="none"/>
        </w:rPr>
        <w:t>附件三</w:t>
      </w:r>
    </w:p>
    <w:p w14:paraId="4EB6A7FC">
      <w:pPr>
        <w:spacing w:line="360" w:lineRule="auto"/>
        <w:jc w:val="center"/>
        <w:rPr>
          <w:rFonts w:ascii="宋体" w:hAnsi="宋体" w:cs="黑体"/>
          <w:b/>
          <w:color w:val="auto"/>
          <w:sz w:val="24"/>
          <w:szCs w:val="24"/>
          <w:highlight w:val="none"/>
        </w:rPr>
      </w:pPr>
      <w:r>
        <w:rPr>
          <w:rFonts w:hint="eastAsia" w:ascii="宋体" w:hAnsi="宋体" w:cs="黑体"/>
          <w:b/>
          <w:color w:val="auto"/>
          <w:sz w:val="24"/>
          <w:szCs w:val="24"/>
          <w:highlight w:val="none"/>
        </w:rPr>
        <w:t>建设工程安全生产责任书</w:t>
      </w:r>
    </w:p>
    <w:p w14:paraId="7D13CFC3">
      <w:pPr>
        <w:spacing w:line="360" w:lineRule="auto"/>
        <w:ind w:firstLine="480" w:firstLineChars="200"/>
        <w:rPr>
          <w:rFonts w:hint="eastAsia" w:ascii="宋体" w:hAnsi="宋体" w:eastAsia="宋体" w:cs="宋体"/>
          <w:color w:val="auto"/>
          <w:sz w:val="24"/>
          <w:szCs w:val="24"/>
          <w:highlight w:val="none"/>
          <w:lang w:eastAsia="zh-CN"/>
        </w:rPr>
      </w:pPr>
    </w:p>
    <w:p w14:paraId="5C3E3618">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我</w:t>
      </w:r>
      <w:r>
        <w:rPr>
          <w:rFonts w:hint="eastAsia" w:ascii="宋体" w:hAnsi="宋体" w:cs="宋体"/>
          <w:color w:val="auto"/>
          <w:sz w:val="24"/>
          <w:szCs w:val="24"/>
          <w:highlight w:val="none"/>
          <w:lang w:eastAsia="zh-CN"/>
        </w:rPr>
        <w:t>中心</w:t>
      </w:r>
      <w:r>
        <w:rPr>
          <w:rFonts w:hint="eastAsia" w:ascii="宋体" w:hAnsi="宋体" w:cs="宋体"/>
          <w:color w:val="auto"/>
          <w:sz w:val="24"/>
          <w:szCs w:val="24"/>
          <w:highlight w:val="none"/>
        </w:rPr>
        <w:t>为认真贯彻“安全第一、预防为主”的方针，做到施工安全管理工作的标准化与规范化，确保建设工程项目安全、优质、按期完成，同时为进一步明确有关各方的安全职责，进一步提高施工安全管理的整体水平，杜绝重大伤亡事故的发生，保障人身安全。根据《中华人民共和国建筑法》、《建设工程安全生产管理条例》、《鄂尔多斯市建设工程安全文明施工管理规定》等有关国家、自治区、市法令法规，特制定本建设工程安全生产责任书。</w:t>
      </w:r>
    </w:p>
    <w:p w14:paraId="40E7C32A">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一、责任</w:t>
      </w:r>
    </w:p>
    <w:p w14:paraId="7BFC9E67">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1、认真贯彻执行国家、自治区和市的安全生产方针、政策及法规；</w:t>
      </w:r>
    </w:p>
    <w:p w14:paraId="1B786DCD">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2、项目经理依法对所施工的工程安全生产工作全面负责，是安全生产第一责任人。项目部应建立健全安全生产责任制度和安全教育培训制度，制定安全生产规章制度和操作规程，保证安全生产条件所需资金的投入，对所承担的建设工程进行定期和专项安全检查。</w:t>
      </w:r>
    </w:p>
    <w:p w14:paraId="6507C9BA">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3、项目部对列入建设工程预算的安全作业环境及安全措施所需费用，应用于施工安全中，不得挪作他用。</w:t>
      </w:r>
    </w:p>
    <w:p w14:paraId="111DD46E">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4、项目部必须设立安全生产管理机构，配备专职安全生产管理人员不少于1人。</w:t>
      </w:r>
    </w:p>
    <w:p w14:paraId="7A24AC20">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5、项目部必须在施工现场建立消防安全责任制度，确定消防安全责任人，制定用火、用电、使用易燃易爆材料等各项消防安全管理制度和操作规程，设置消防水源、配备消防设施和灭火器材，并在施工现场入口处设置明显标志。</w:t>
      </w:r>
    </w:p>
    <w:p w14:paraId="24FB3A52">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6、实现目标管理，加大施工现场事故隐患治理力度，坚决遏制重特大安全事故发生，杜绝死亡事故的发生。如发生安全事故立即上报业主及相关单位。</w:t>
      </w:r>
    </w:p>
    <w:p w14:paraId="2DF1B25A">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7、工程开工前15日内办理工程开工备案手续，将单位工程人员组织、安全文明施工投入、施工现场总平面图等信息准确填写，待业主批准后方可开工。</w:t>
      </w:r>
    </w:p>
    <w:p w14:paraId="06D362FF">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8、工程开工前15日内办理安全报监手续，同时与建设单位、监理单位做好安全评估，签订防护用品费用预约。未办理安全报监的，不得开工。</w:t>
      </w:r>
    </w:p>
    <w:p w14:paraId="2A8D3DFB">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9、业主现场代表及监理负责安全管理工作。对施工单位的安全生产和管理具有监督、检查的权利。发包人不得要求承包人违反安全管理的规定进行施工。</w:t>
      </w:r>
    </w:p>
    <w:p w14:paraId="1FFF225C">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10、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14:paraId="20E5233D">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11、其它未注明的责任详见国家、自治区和市法令法规。</w:t>
      </w:r>
    </w:p>
    <w:p w14:paraId="7F86F54B">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二、安全管理目标承诺</w:t>
      </w:r>
    </w:p>
    <w:p w14:paraId="7E2E09F4">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1、事故管理特大事故、重大事故为零；一般事故死亡率、重伤率为零；重大事故隐患整改率95%以上，一般事故隐患整改率90%以上；事故及时结案率100%. </w:t>
      </w:r>
    </w:p>
    <w:p w14:paraId="0EA7A834">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2、安全管理</w:t>
      </w:r>
    </w:p>
    <w:p w14:paraId="336C830C">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（1）按照施工组织设计中采取的安全措施的项目执行率达到90%。</w:t>
      </w:r>
    </w:p>
    <w:p w14:paraId="4E57F574">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（2）施工现场每月组织2次由总监或项目经理组织的安全大检查。</w:t>
      </w:r>
    </w:p>
    <w:p w14:paraId="7BF78B51">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（3）施工现场各级职能人员岗位责任制、目标责任书执行率达到100%。</w:t>
      </w:r>
    </w:p>
    <w:p w14:paraId="5A8CE0E3">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（4）施工现场设专职安全员不少于1人。</w:t>
      </w:r>
    </w:p>
    <w:p w14:paraId="42225038">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（5）脚手架及高处防护作业工程、施工用电、施工机械及物料运输提升设施验收合格率达到100%.</w:t>
      </w:r>
    </w:p>
    <w:p w14:paraId="6BC1E312">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（6）施工现场各类机械、机电设备完好率达到100%。安全教育工人岗前三级教育率达到90%，特种工人持证上岗率达到100%；施工管理人员安全培训率达到100%。</w:t>
      </w:r>
    </w:p>
    <w:p w14:paraId="03FE6983">
      <w:pPr>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　三、奖罚</w:t>
      </w:r>
    </w:p>
    <w:p w14:paraId="4A6B3E98">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1、按照安监站标准进行考核，奖罚执行安全生产考核办法。</w:t>
      </w:r>
    </w:p>
    <w:p w14:paraId="1842E86F">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2、发生特大、重大伤亡事故，由施工单位对伤害人进行经济补偿，并给予项目经理100000元罚款，情节严重的交有关部门追究刑事责任。</w:t>
      </w:r>
    </w:p>
    <w:p w14:paraId="239802E5">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3、发生经济损失事故，造成直接经济损失大于10万元小于50万元者，罚项目经理10000元；直接经济损失在50～100万元之间者，罚项目经理50000元。</w:t>
      </w:r>
    </w:p>
    <w:p w14:paraId="094F9E9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4、发生伤亡事故不及时报告的，对项目经理罚款5000元，隐瞒事故不报或阻碍调查的，罚款20000元。</w:t>
      </w:r>
    </w:p>
    <w:p w14:paraId="7AEEEF0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5、项目部对列入建设工程预算的安全文明施工费应全部用于文明施工中，不得挪用，文明施工必须达到国家及地方政策要求，并与我</w:t>
      </w:r>
      <w:r>
        <w:rPr>
          <w:rFonts w:hint="eastAsia" w:ascii="宋体" w:hAnsi="宋体" w:cs="宋体"/>
          <w:color w:val="auto"/>
          <w:sz w:val="24"/>
          <w:szCs w:val="24"/>
          <w:highlight w:val="none"/>
          <w:lang w:eastAsia="zh-CN"/>
        </w:rPr>
        <w:t>中心</w:t>
      </w:r>
      <w:r>
        <w:rPr>
          <w:rFonts w:hint="eastAsia" w:ascii="宋体" w:hAnsi="宋体" w:cs="宋体"/>
          <w:color w:val="auto"/>
          <w:sz w:val="24"/>
          <w:szCs w:val="24"/>
          <w:highlight w:val="none"/>
        </w:rPr>
        <w:t>签订创城责任状。6、施工单位拖欠农民工工资造成农民工合法权益受到损害，并对政府及社会造成不良影响的，给予扣除施工企业不低于5万元的违约金，并给予通报处理。</w:t>
      </w:r>
    </w:p>
    <w:p w14:paraId="674AFA75">
      <w:pPr>
        <w:spacing w:line="360" w:lineRule="auto"/>
        <w:jc w:val="center"/>
        <w:rPr>
          <w:rFonts w:ascii="宋体" w:hAnsi="宋体" w:cs="宋体"/>
          <w:b/>
          <w:color w:val="auto"/>
          <w:sz w:val="24"/>
          <w:szCs w:val="24"/>
          <w:highlight w:val="none"/>
        </w:rPr>
      </w:pPr>
    </w:p>
    <w:p w14:paraId="65A75177">
      <w:pPr>
        <w:keepNext/>
        <w:suppressLineNumbers/>
        <w:spacing w:line="560" w:lineRule="exact"/>
        <w:rPr>
          <w:rFonts w:ascii="宋体" w:hAnsi="宋体" w:cs="宋体"/>
          <w:color w:val="auto"/>
          <w:sz w:val="24"/>
          <w:szCs w:val="24"/>
          <w:highlight w:val="none"/>
        </w:rPr>
        <w:sectPr>
          <w:pgSz w:w="11906" w:h="16838"/>
          <w:pgMar w:top="1417" w:right="1555" w:bottom="1417" w:left="1531" w:header="851" w:footer="992" w:gutter="0"/>
          <w:pgNumType w:fmt="decimal"/>
          <w:cols w:space="720" w:num="1"/>
          <w:titlePg/>
          <w:rtlGutter w:val="0"/>
          <w:docGrid w:type="lines" w:linePitch="312" w:charSpace="0"/>
        </w:sectPr>
      </w:pPr>
    </w:p>
    <w:p w14:paraId="7E9C7994">
      <w:pPr>
        <w:keepNext/>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附件四</w:t>
      </w:r>
    </w:p>
    <w:p w14:paraId="12B1E229">
      <w:pPr>
        <w:keepNext/>
        <w:suppressLineNumbers/>
        <w:spacing w:line="560" w:lineRule="exact"/>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鄂尔多斯市政府投资项目代建中心工程施工管理制度</w:t>
      </w:r>
    </w:p>
    <w:p w14:paraId="00532687">
      <w:pPr>
        <w:keepNext/>
        <w:suppressLineNumbers/>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为了进一步规范施工管理，加强施工管理力度，使施工单位在建设工程安全、质量、进度、组织协调、农牧民工工资发放等方面有序工作，特制定本制度。</w:t>
      </w:r>
    </w:p>
    <w:p w14:paraId="12EAD14B">
      <w:pPr>
        <w:keepNext/>
        <w:suppressLineNumbers/>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第一条 制定依据</w:t>
      </w:r>
    </w:p>
    <w:p w14:paraId="1D36519E">
      <w:pPr>
        <w:keepNext/>
        <w:suppressLineNumbers/>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中华人民共和国建筑法》、《建筑工程施工质量验收统一标准》、《建设工程安全生产管理条例》、《建设工程质量管理条例》、《内蒙古自治区建筑施工安全管理条例》、《内蒙古自治区建设工程质量管理条例》、《鄂尔多斯市政府投资项目代建中心农民工工资发放监督管理制度》等相关管理规范及规定。</w:t>
      </w:r>
    </w:p>
    <w:p w14:paraId="61CD9DF4">
      <w:pPr>
        <w:keepNext/>
        <w:suppressLineNumbers/>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第二条 适用范围</w:t>
      </w:r>
    </w:p>
    <w:p w14:paraId="1586767B">
      <w:pPr>
        <w:keepNext/>
        <w:suppressLineNumbers/>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本制度适用于所有参与鄂尔多斯市政府投资项目代建中心项目建设的施工单位。</w:t>
      </w:r>
    </w:p>
    <w:p w14:paraId="609F73F6">
      <w:pPr>
        <w:keepNext/>
        <w:suppressLineNumbers/>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第三条 安全管理</w:t>
      </w:r>
    </w:p>
    <w:p w14:paraId="32866150">
      <w:pPr>
        <w:keepNext/>
        <w:numPr>
          <w:ilvl w:val="0"/>
          <w:numId w:val="5"/>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施工单位必须按照安全文明施工要求进行施工。安全管理实行一票否决制，如发生较大安全事故的施工单位两年内不得参加市代建中心项目投标活动。</w:t>
      </w:r>
    </w:p>
    <w:p w14:paraId="3BB5272D">
      <w:pPr>
        <w:keepNext/>
        <w:numPr>
          <w:ilvl w:val="0"/>
          <w:numId w:val="5"/>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施工单位在开工之日起二十一日内必须组织编制安全施工组织设计、安全管理制度、安全管理措施，并完成审批。危大工程实施前，完成专项实施方案的编制并组织专家论证，严格按论证通过后的方案实施。</w:t>
      </w:r>
    </w:p>
    <w:p w14:paraId="550AC4EF">
      <w:pPr>
        <w:keepNext/>
        <w:numPr>
          <w:ilvl w:val="0"/>
          <w:numId w:val="5"/>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施工单位应按要求足额投入安全文明措施费用，不得截留安全文明措施费。</w:t>
      </w:r>
    </w:p>
    <w:p w14:paraId="37CA03F2">
      <w:pPr>
        <w:keepNext/>
        <w:numPr>
          <w:ilvl w:val="0"/>
          <w:numId w:val="5"/>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施工单位应按要求派足专职安全员。专职安全员须每日检查施工现场，做好安全检查记录，如发现安全隐患，应及时提出整改意见，并尽快消除安全隐患。</w:t>
      </w:r>
    </w:p>
    <w:p w14:paraId="280361EC">
      <w:pPr>
        <w:keepNext/>
        <w:numPr>
          <w:ilvl w:val="0"/>
          <w:numId w:val="5"/>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施工单位在工人进场后对其进行“三级安全教育”，认真进行安全技术交底，实施安全防护措施，落实安全文明施工各项内容。</w:t>
      </w:r>
    </w:p>
    <w:p w14:paraId="608A8BD4">
      <w:pPr>
        <w:keepNext/>
        <w:numPr>
          <w:ilvl w:val="0"/>
          <w:numId w:val="5"/>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施工单位必须做到工完场清，所有施工区域保持干净整洁；必须做到安全文明施工，否则不予支付相应的安全文明措施费。</w:t>
      </w:r>
    </w:p>
    <w:p w14:paraId="262B9033">
      <w:pPr>
        <w:keepNext/>
        <w:numPr>
          <w:ilvl w:val="0"/>
          <w:numId w:val="5"/>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施工单位应积极配合项目组每周组织相关人员进行安全检查，市代建中心每两月组织一次安全检查。</w:t>
      </w:r>
    </w:p>
    <w:p w14:paraId="10CB0C60">
      <w:pPr>
        <w:keepNext/>
        <w:numPr>
          <w:ilvl w:val="0"/>
          <w:numId w:val="5"/>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施工单位应有效贯彻落实市代建中心的工程安全管理相关指令。</w:t>
      </w:r>
    </w:p>
    <w:p w14:paraId="3751CC0F">
      <w:pPr>
        <w:keepNext/>
        <w:suppressLineNumbers/>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第四条 质量管理</w:t>
      </w:r>
    </w:p>
    <w:p w14:paraId="536D9965">
      <w:pPr>
        <w:keepNext/>
        <w:numPr>
          <w:ilvl w:val="0"/>
          <w:numId w:val="6"/>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施工单位应按投标文件要求建立项目组织机构，建立质量保证体系，健全管理制度。</w:t>
      </w:r>
    </w:p>
    <w:p w14:paraId="60F46C99">
      <w:pPr>
        <w:keepNext/>
        <w:numPr>
          <w:ilvl w:val="0"/>
          <w:numId w:val="6"/>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施工单位应认真审阅图纸并认真参加由工程技术科组织的图纸会审及技术交底，并及时整理会审纪要。</w:t>
      </w:r>
    </w:p>
    <w:p w14:paraId="7210145D">
      <w:pPr>
        <w:keepNext/>
        <w:numPr>
          <w:ilvl w:val="0"/>
          <w:numId w:val="6"/>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不得擅自修改施工图纸，如图纸中确有错误和缺陷，必须以书面形式提出，经工程技术科和设计单位审查属实且审批同意后，方可按变更实施。因施工单位的原因在图纸会审中未提出造成返工的，市代建中心不予支付返工费用。</w:t>
      </w:r>
    </w:p>
    <w:p w14:paraId="54AC6875">
      <w:pPr>
        <w:keepNext/>
        <w:numPr>
          <w:ilvl w:val="0"/>
          <w:numId w:val="6"/>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施工单位应在工程开工之日起二十一日内报详细的施工组织设计，各专项施工在开始实施前报专项施工方案。</w:t>
      </w:r>
    </w:p>
    <w:p w14:paraId="09098557">
      <w:pPr>
        <w:keepNext/>
        <w:numPr>
          <w:ilvl w:val="0"/>
          <w:numId w:val="6"/>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施工单位应严格按照已审批的施工组织设计和施工方案进行施工，不得随意、擅自更改施工组织设计和施工方案，否则不予结算措施费。</w:t>
      </w:r>
    </w:p>
    <w:p w14:paraId="59D0B83B">
      <w:pPr>
        <w:keepNext/>
        <w:numPr>
          <w:ilvl w:val="0"/>
          <w:numId w:val="6"/>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应严把工程中原材料、设备、成品、半成品的质量关，严格按要求执行见证取样制度。所有进场材料要有出厂合格证、材料出厂检验报告，并按规范要求进行复检。如不按批次复检或复检不合格，要求施工单位立即对该材料进行退场并按要求办理退场手续。</w:t>
      </w:r>
    </w:p>
    <w:p w14:paraId="39FE6DBC">
      <w:pPr>
        <w:keepNext/>
        <w:numPr>
          <w:ilvl w:val="0"/>
          <w:numId w:val="6"/>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所有进场材料、设备须报验监理单位，报审、复检合格后方可投入使用。市代建中心现场代表应随机抽查进场材料、设备，如抽查不合格，按第（六）条处理。</w:t>
      </w:r>
    </w:p>
    <w:p w14:paraId="1B06236F">
      <w:pPr>
        <w:keepNext/>
        <w:numPr>
          <w:ilvl w:val="0"/>
          <w:numId w:val="6"/>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市代建中心对工程所用的原材料、设备、成品、半成品有品牌或技术指标要求的，应严格按照市代建中心要求执行，样品确定后进行现场封样。封样样品由工程技术科和监理各封存一份。如施工单位使用的材料比样品材料档次低，则不予结算该部分工程款。</w:t>
      </w:r>
    </w:p>
    <w:p w14:paraId="172DB680">
      <w:pPr>
        <w:keepNext/>
        <w:numPr>
          <w:ilvl w:val="0"/>
          <w:numId w:val="6"/>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隐蔽工程须经监理单位、市代建中心项目组验收合格后，方可进行下道工序施工。如隐蔽工程未达到验收条件，施工单位应采取措施进行整改，待合格后，通知监理单位重新检查验收。监理单位验收合格的，通知市代建中心现场代表进行复验。</w:t>
      </w:r>
    </w:p>
    <w:p w14:paraId="7A9ADBBC">
      <w:pPr>
        <w:keepNext/>
        <w:numPr>
          <w:ilvl w:val="0"/>
          <w:numId w:val="6"/>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对于给排水、暖通、通风、电气安装、设备安装的试压、试水、试运转与调试，施工单位必须通知设备安装与维护管理科现场代表全过程参加并在试验记录上签字确认。</w:t>
      </w:r>
    </w:p>
    <w:p w14:paraId="40C18029">
      <w:pPr>
        <w:keepNext/>
        <w:numPr>
          <w:ilvl w:val="0"/>
          <w:numId w:val="6"/>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所有的变更（包括设计变更、现场变更）必须先审批后实施。施工单位提前实施未经审批的变更不予计费。施工单位应在收到变更指示的十四天内上报变更审批单。</w:t>
      </w:r>
    </w:p>
    <w:p w14:paraId="46D3B276">
      <w:pPr>
        <w:keepNext/>
        <w:numPr>
          <w:ilvl w:val="0"/>
          <w:numId w:val="6"/>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施工单位应积极配合项目组每周组织相关人员进行质量检查，市代建中心工程管理科组织科室人员、设备安装与维护管理科科室人员及监理单位相关人员每两月进行质量检查。</w:t>
      </w:r>
    </w:p>
    <w:p w14:paraId="5881E153">
      <w:pPr>
        <w:keepNext/>
        <w:numPr>
          <w:ilvl w:val="0"/>
          <w:numId w:val="6"/>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施工单位应严格按施工及验收规范、技术规程、技术标准、质量检验评定标准执行，不得降低合同质量目标。</w:t>
      </w:r>
    </w:p>
    <w:p w14:paraId="429B58A5">
      <w:pPr>
        <w:keepNext/>
        <w:numPr>
          <w:ilvl w:val="0"/>
          <w:numId w:val="6"/>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施工单位应严格执行施工合同内容，配合项目组、合同管理科检查合同的执行情况，履约完毕由合同管理科和项目组共同出具合同评价报告，合同评价报告是施工企业诚信档案的重要资料。</w:t>
      </w:r>
    </w:p>
    <w:p w14:paraId="46892D07">
      <w:pPr>
        <w:keepNext/>
        <w:numPr>
          <w:ilvl w:val="0"/>
          <w:numId w:val="6"/>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施工单位应有效贯彻落实市代建中心的工程质量管理相关指令。</w:t>
      </w:r>
    </w:p>
    <w:p w14:paraId="26E7396B">
      <w:pPr>
        <w:keepNext/>
        <w:suppressLineNumbers/>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第五条 进度管理</w:t>
      </w:r>
    </w:p>
    <w:p w14:paraId="5FF4AE5A">
      <w:pPr>
        <w:keepNext/>
        <w:numPr>
          <w:ilvl w:val="0"/>
          <w:numId w:val="7"/>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施工单位应在开工之日起二十一日内组织相关人员编制项目的总进度计划，根据总进度计划的规定，编制主要物资采购、主要分包单位进场、大型机具设备进场等施工中重要环节的进度计划。</w:t>
      </w:r>
    </w:p>
    <w:p w14:paraId="66EB7AEF">
      <w:pPr>
        <w:keepNext/>
        <w:numPr>
          <w:ilvl w:val="0"/>
          <w:numId w:val="7"/>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施工单位应严格控制工程进度，严格按审批进度计划执行，如出现工程进度滞后，应查明原因并立即采取赶工措施。</w:t>
      </w:r>
    </w:p>
    <w:p w14:paraId="5CFCB1E9">
      <w:pPr>
        <w:keepNext/>
        <w:numPr>
          <w:ilvl w:val="0"/>
          <w:numId w:val="7"/>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工程竣工验收日期提前五天或滞后五天，我中心视为符合合同约定工期。</w:t>
      </w:r>
    </w:p>
    <w:p w14:paraId="128BB325">
      <w:pPr>
        <w:keepNext/>
        <w:numPr>
          <w:ilvl w:val="0"/>
          <w:numId w:val="7"/>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施工单位应按市代建中心规定日期每月申请工程进度款，逾期未报的不得影响工程施工进度。</w:t>
      </w:r>
    </w:p>
    <w:p w14:paraId="0C50C02D">
      <w:pPr>
        <w:keepNext/>
        <w:numPr>
          <w:ilvl w:val="0"/>
          <w:numId w:val="7"/>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施工单位应有效贯彻落实市代建中心的工程进度管理相关指令。</w:t>
      </w:r>
    </w:p>
    <w:p w14:paraId="56BD3E90">
      <w:pPr>
        <w:keepNext/>
        <w:suppressLineNumbers/>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第六条 农民工工资管理 </w:t>
      </w:r>
    </w:p>
    <w:p w14:paraId="4E029791">
      <w:pPr>
        <w:keepNext/>
        <w:suppressLineNumbers/>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（一）施工单位应严格按《鄂尔多斯市政府投资项目代建中心农民工工资发放监督管理制度》的规定执行。</w:t>
      </w:r>
    </w:p>
    <w:p w14:paraId="21212F75">
      <w:pPr>
        <w:keepNext/>
        <w:suppressLineNumbers/>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（二）施工单位自用工之日起即与劳动者建立劳动关系，应当签订书面劳动合同。</w:t>
      </w:r>
    </w:p>
    <w:p w14:paraId="0269D48F">
      <w:pPr>
        <w:keepNext/>
        <w:suppressLineNumbers/>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（三）劳动合同必须使用规范的文本，一式两份，用工单位和劳动者各持一份。</w:t>
      </w:r>
    </w:p>
    <w:p w14:paraId="7D1218B2">
      <w:pPr>
        <w:keepNext/>
        <w:suppressLineNumbers/>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（四）施工单位和农民工应当严格履行劳动合同约定和义务。</w:t>
      </w:r>
    </w:p>
    <w:p w14:paraId="74724BEB">
      <w:pPr>
        <w:keepNext/>
        <w:suppressLineNumbers/>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（五）施工单位需在银行建立农民工工资专用账户，用于支付农民工工资。</w:t>
      </w:r>
    </w:p>
    <w:p w14:paraId="1B08A72E">
      <w:pPr>
        <w:keepNext/>
        <w:suppressLineNumbers/>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（六）施工单位应按时足额支付农民工工资，不得拖欠或克扣。如发现拖欠或克扣农民工工资，市代建中心将直接从工程款中扣除相关费用，不与施工单位办理任何支付手续。</w:t>
      </w:r>
    </w:p>
    <w:p w14:paraId="38DBC900">
      <w:pPr>
        <w:keepNext/>
        <w:suppressLineNumbers/>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第七条 资料管理</w:t>
      </w:r>
    </w:p>
    <w:p w14:paraId="207A3418">
      <w:pPr>
        <w:keepNext/>
        <w:numPr>
          <w:ilvl w:val="0"/>
          <w:numId w:val="8"/>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施工单位的施工资料必须与施工进度同步，资料应真实有效，并及时整理归档。</w:t>
      </w:r>
    </w:p>
    <w:p w14:paraId="62D7BBC3">
      <w:pPr>
        <w:keepNext/>
        <w:numPr>
          <w:ilvl w:val="0"/>
          <w:numId w:val="8"/>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施工单位必须按照市代建中心要求及时办理工程和资料的移交手续，并出具设备的使用说明书。</w:t>
      </w:r>
    </w:p>
    <w:p w14:paraId="56F910AC">
      <w:pPr>
        <w:keepNext/>
        <w:numPr>
          <w:ilvl w:val="0"/>
          <w:numId w:val="8"/>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施工单位须配合建设单位在竣工验收十五日内完成工程竣工相关手续。</w:t>
      </w:r>
    </w:p>
    <w:p w14:paraId="2FF7D9A6">
      <w:pPr>
        <w:keepNext/>
        <w:suppressLineNumbers/>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第八条 其他方面管理</w:t>
      </w:r>
    </w:p>
    <w:p w14:paraId="7B49AC37">
      <w:pPr>
        <w:numPr>
          <w:ilvl w:val="0"/>
          <w:numId w:val="9"/>
        </w:numPr>
        <w:spacing w:line="560" w:lineRule="exact"/>
        <w:jc w:val="left"/>
        <w:rPr>
          <w:rFonts w:ascii="宋体" w:hAnsi="宋体" w:cs="宋体"/>
          <w:color w:val="auto"/>
          <w:sz w:val="24"/>
          <w:szCs w:val="24"/>
          <w:highlight w:val="none"/>
        </w:rPr>
      </w:pPr>
      <w:r>
        <w:rPr>
          <w:rFonts w:hint="eastAsia" w:ascii="宋体" w:hAnsi="宋体" w:cs="宋体"/>
          <w:color w:val="auto"/>
          <w:sz w:val="24"/>
          <w:szCs w:val="24"/>
          <w:highlight w:val="none"/>
        </w:rPr>
        <w:t>市代建中心对施工单位进行的各项检查和考核，施工单位应积极配合并完成存在问题的整改及回复。</w:t>
      </w:r>
    </w:p>
    <w:p w14:paraId="5C680F23">
      <w:pPr>
        <w:numPr>
          <w:ilvl w:val="0"/>
          <w:numId w:val="9"/>
        </w:numPr>
        <w:spacing w:line="560" w:lineRule="exact"/>
        <w:jc w:val="left"/>
        <w:rPr>
          <w:rFonts w:ascii="宋体" w:hAnsi="宋体" w:cs="宋体"/>
          <w:color w:val="auto"/>
          <w:sz w:val="24"/>
          <w:szCs w:val="24"/>
          <w:highlight w:val="none"/>
        </w:rPr>
      </w:pPr>
      <w:r>
        <w:rPr>
          <w:rFonts w:hint="eastAsia" w:ascii="宋体" w:hAnsi="宋体" w:cs="宋体"/>
          <w:color w:val="auto"/>
          <w:sz w:val="24"/>
          <w:szCs w:val="24"/>
          <w:highlight w:val="none"/>
        </w:rPr>
        <w:t>市代建中心每季度组织相关人员对施工单位进行考核，并将考核结果记入企业诚信档案。</w:t>
      </w:r>
    </w:p>
    <w:p w14:paraId="3D742312">
      <w:pPr>
        <w:keepNext/>
        <w:suppressLineNumbers/>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第九条 奖惩条例</w:t>
      </w:r>
    </w:p>
    <w:p w14:paraId="2BB6A6AB">
      <w:pPr>
        <w:numPr>
          <w:ilvl w:val="0"/>
          <w:numId w:val="10"/>
        </w:numPr>
        <w:spacing w:line="560" w:lineRule="exact"/>
        <w:jc w:val="left"/>
        <w:rPr>
          <w:rFonts w:ascii="宋体" w:hAnsi="宋体" w:cs="宋体"/>
          <w:color w:val="auto"/>
          <w:sz w:val="24"/>
          <w:szCs w:val="24"/>
          <w:highlight w:val="none"/>
        </w:rPr>
      </w:pPr>
      <w:r>
        <w:rPr>
          <w:rFonts w:hint="eastAsia" w:ascii="宋体" w:hAnsi="宋体" w:cs="宋体"/>
          <w:color w:val="auto"/>
          <w:sz w:val="24"/>
          <w:szCs w:val="24"/>
          <w:highlight w:val="none"/>
        </w:rPr>
        <w:t>对于能够提出合理化建议并被采纳的施工单位，给予不低于五万元的奖励。</w:t>
      </w:r>
    </w:p>
    <w:p w14:paraId="61C929F7">
      <w:pPr>
        <w:numPr>
          <w:ilvl w:val="0"/>
          <w:numId w:val="10"/>
        </w:numPr>
        <w:spacing w:line="560" w:lineRule="exact"/>
        <w:jc w:val="left"/>
        <w:rPr>
          <w:rFonts w:ascii="宋体" w:hAnsi="宋体" w:cs="宋体"/>
          <w:color w:val="auto"/>
          <w:sz w:val="24"/>
          <w:szCs w:val="24"/>
          <w:highlight w:val="none"/>
        </w:rPr>
      </w:pPr>
      <w:r>
        <w:rPr>
          <w:rFonts w:hint="eastAsia" w:ascii="宋体" w:hAnsi="宋体" w:cs="宋体"/>
          <w:color w:val="auto"/>
          <w:sz w:val="24"/>
          <w:szCs w:val="24"/>
          <w:highlight w:val="none"/>
        </w:rPr>
        <w:t>对于及时发现设计、决策、管理失误并挽回损失的施工单位，给予不低于五万元的奖励。</w:t>
      </w:r>
    </w:p>
    <w:p w14:paraId="4AC8D283">
      <w:pPr>
        <w:numPr>
          <w:ilvl w:val="0"/>
          <w:numId w:val="10"/>
        </w:numPr>
        <w:spacing w:line="560" w:lineRule="exact"/>
        <w:jc w:val="left"/>
        <w:rPr>
          <w:rFonts w:ascii="宋体" w:hAnsi="宋体" w:cs="宋体"/>
          <w:color w:val="auto"/>
          <w:sz w:val="24"/>
          <w:szCs w:val="24"/>
          <w:highlight w:val="none"/>
        </w:rPr>
      </w:pPr>
      <w:r>
        <w:rPr>
          <w:rFonts w:hint="eastAsia" w:ascii="宋体" w:hAnsi="宋体" w:cs="宋体"/>
          <w:color w:val="auto"/>
          <w:sz w:val="24"/>
          <w:szCs w:val="24"/>
          <w:highlight w:val="none"/>
        </w:rPr>
        <w:t>对于年度考核业绩突出的施工单位，给予不低于五万元的奖励。</w:t>
      </w:r>
    </w:p>
    <w:p w14:paraId="46C98B2E">
      <w:pPr>
        <w:numPr>
          <w:ilvl w:val="0"/>
          <w:numId w:val="10"/>
        </w:numPr>
        <w:spacing w:line="560" w:lineRule="exact"/>
        <w:jc w:val="left"/>
        <w:rPr>
          <w:rFonts w:ascii="宋体" w:hAnsi="宋体" w:cs="宋体"/>
          <w:color w:val="auto"/>
          <w:sz w:val="24"/>
          <w:szCs w:val="24"/>
          <w:highlight w:val="none"/>
        </w:rPr>
      </w:pPr>
      <w:r>
        <w:rPr>
          <w:rFonts w:hint="eastAsia" w:ascii="宋体" w:hAnsi="宋体" w:cs="宋体"/>
          <w:color w:val="auto"/>
          <w:sz w:val="24"/>
          <w:szCs w:val="24"/>
          <w:highlight w:val="none"/>
        </w:rPr>
        <w:t>对于违反安全方面有关条例的施工单位，应根据情节扣除不低于五万元的违约金。</w:t>
      </w:r>
    </w:p>
    <w:p w14:paraId="723F8C48">
      <w:pPr>
        <w:numPr>
          <w:ilvl w:val="0"/>
          <w:numId w:val="10"/>
        </w:numPr>
        <w:spacing w:line="560" w:lineRule="exact"/>
        <w:jc w:val="left"/>
        <w:rPr>
          <w:rFonts w:ascii="宋体" w:hAnsi="宋体" w:cs="宋体"/>
          <w:color w:val="auto"/>
          <w:sz w:val="24"/>
          <w:szCs w:val="24"/>
          <w:highlight w:val="none"/>
        </w:rPr>
      </w:pPr>
      <w:r>
        <w:rPr>
          <w:rFonts w:hint="eastAsia" w:ascii="宋体" w:hAnsi="宋体" w:cs="宋体"/>
          <w:color w:val="auto"/>
          <w:sz w:val="24"/>
          <w:szCs w:val="24"/>
          <w:highlight w:val="none"/>
        </w:rPr>
        <w:t>对于违反质量方面有关条例的施工单位，应根据情节扣除不低于五万元的违约金。</w:t>
      </w:r>
    </w:p>
    <w:p w14:paraId="6DB81D56">
      <w:pPr>
        <w:numPr>
          <w:ilvl w:val="0"/>
          <w:numId w:val="10"/>
        </w:numPr>
        <w:spacing w:line="560" w:lineRule="exact"/>
        <w:jc w:val="left"/>
        <w:rPr>
          <w:rFonts w:ascii="宋体" w:hAnsi="宋体" w:cs="宋体"/>
          <w:color w:val="auto"/>
          <w:sz w:val="24"/>
          <w:szCs w:val="24"/>
          <w:highlight w:val="none"/>
        </w:rPr>
      </w:pPr>
      <w:r>
        <w:rPr>
          <w:rFonts w:hint="eastAsia" w:ascii="宋体" w:hAnsi="宋体" w:cs="宋体"/>
          <w:color w:val="auto"/>
          <w:sz w:val="24"/>
          <w:szCs w:val="24"/>
          <w:highlight w:val="none"/>
        </w:rPr>
        <w:t>对于违反进度方面有关条例的施工单位，应根据情节扣除不低于两万元的违约金。</w:t>
      </w:r>
    </w:p>
    <w:p w14:paraId="27080584">
      <w:pPr>
        <w:numPr>
          <w:ilvl w:val="0"/>
          <w:numId w:val="10"/>
        </w:numPr>
        <w:spacing w:line="560" w:lineRule="exact"/>
        <w:jc w:val="left"/>
        <w:rPr>
          <w:rFonts w:ascii="宋体" w:hAnsi="宋体" w:cs="宋体"/>
          <w:color w:val="auto"/>
          <w:sz w:val="24"/>
          <w:szCs w:val="24"/>
          <w:highlight w:val="none"/>
        </w:rPr>
      </w:pPr>
      <w:r>
        <w:rPr>
          <w:rFonts w:hint="eastAsia" w:ascii="宋体" w:hAnsi="宋体" w:cs="宋体"/>
          <w:color w:val="auto"/>
          <w:sz w:val="24"/>
          <w:szCs w:val="24"/>
          <w:highlight w:val="none"/>
        </w:rPr>
        <w:t>对于违反农民工工资管理有关条例的施工单位，应根据情节给予通报、扣除不低于五万元的违约金、在企业诚信档案中记不良记录等相关处罚。</w:t>
      </w:r>
    </w:p>
    <w:p w14:paraId="44C0E6D5">
      <w:pPr>
        <w:keepNext/>
        <w:numPr>
          <w:ilvl w:val="0"/>
          <w:numId w:val="10"/>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对于违反其他方面有关条例的施工单位，应根据情节扣除不低于两万元的违约金。</w:t>
      </w:r>
    </w:p>
    <w:p w14:paraId="36EF55FF">
      <w:pPr>
        <w:keepNext/>
        <w:numPr>
          <w:ilvl w:val="0"/>
          <w:numId w:val="10"/>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项目经理必须实行带班制。有事外出两日以上者，须履行请假手续，否则扣除违约金每人每日两千元。</w:t>
      </w:r>
    </w:p>
    <w:p w14:paraId="3E00B3C8">
      <w:pPr>
        <w:keepNext/>
        <w:numPr>
          <w:ilvl w:val="0"/>
          <w:numId w:val="10"/>
        </w:numPr>
        <w:suppressLineNumbers/>
        <w:spacing w:line="560" w:lineRule="exact"/>
        <w:rPr>
          <w:rFonts w:ascii="宋体" w:hAnsi="宋体" w:cs="宋体"/>
          <w:color w:val="auto"/>
          <w:sz w:val="24"/>
          <w:szCs w:val="24"/>
          <w:highlight w:val="none"/>
        </w:rPr>
      </w:pPr>
      <w:r>
        <w:rPr>
          <w:rFonts w:hint="eastAsia" w:ascii="宋体" w:hAnsi="宋体" w:cs="宋体"/>
          <w:color w:val="auto"/>
          <w:sz w:val="24"/>
          <w:szCs w:val="24"/>
          <w:highlight w:val="none"/>
        </w:rPr>
        <w:t>施工单位发生一起安全或质量事故，记一次不良记录，并建议建设主管部门取消其两年内在市代建中心的投标资格。</w:t>
      </w:r>
    </w:p>
    <w:p w14:paraId="51957EDD">
      <w:pPr>
        <w:keepNext/>
        <w:suppressLineNumbers/>
        <w:adjustRightInd w:val="0"/>
        <w:snapToGrid w:val="0"/>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第十条 附则</w:t>
      </w:r>
    </w:p>
    <w:p w14:paraId="089F24ED">
      <w:pPr>
        <w:adjustRightInd w:val="0"/>
        <w:snapToGrid w:val="0"/>
        <w:spacing w:line="560" w:lineRule="exact"/>
        <w:ind w:firstLine="720" w:firstLineChars="300"/>
        <w:rPr>
          <w:rFonts w:hint="eastAsia" w:ascii="宋体" w:hAnsi="宋体" w:eastAsia="宋体" w:cs="宋体"/>
          <w:b/>
          <w:bCs/>
          <w:color w:val="auto"/>
          <w:sz w:val="24"/>
          <w:szCs w:val="24"/>
          <w:highlight w:val="none"/>
          <w:lang w:eastAsia="zh-CN"/>
        </w:rPr>
        <w:sectPr>
          <w:pgSz w:w="11906" w:h="16838"/>
          <w:pgMar w:top="1417" w:right="1555" w:bottom="1417" w:left="1531" w:header="851" w:footer="992" w:gutter="0"/>
          <w:pgNumType w:fmt="decimal"/>
          <w:cols w:space="720" w:num="1"/>
          <w:titlePg/>
          <w:rtlGutter w:val="0"/>
          <w:docGrid w:type="lines" w:linePitch="312" w:charSpace="0"/>
        </w:sectPr>
      </w:pPr>
      <w:r>
        <w:rPr>
          <w:rFonts w:hint="eastAsia" w:ascii="宋体" w:hAnsi="宋体" w:cs="宋体"/>
          <w:color w:val="auto"/>
          <w:sz w:val="24"/>
          <w:szCs w:val="24"/>
          <w:highlight w:val="none"/>
        </w:rPr>
        <w:t>本制度自2020年1月1日起施行。2020年1月1日原市基建办公布的《工程施工管理制度》同时废止</w:t>
      </w:r>
      <w:r>
        <w:rPr>
          <w:rFonts w:hint="eastAsia" w:ascii="宋体" w:hAnsi="宋体" w:cs="宋体"/>
          <w:color w:val="auto"/>
          <w:sz w:val="24"/>
          <w:szCs w:val="24"/>
          <w:highlight w:val="none"/>
          <w:lang w:eastAsia="zh-CN"/>
        </w:rPr>
        <w:t>。</w:t>
      </w:r>
    </w:p>
    <w:p w14:paraId="3D0ACD23">
      <w:pPr>
        <w:spacing w:line="560" w:lineRule="exact"/>
        <w:rPr>
          <w:rFonts w:ascii="宋体" w:hAnsi="宋体" w:cs="宋体"/>
          <w:b/>
          <w:bCs/>
          <w:color w:val="auto"/>
          <w:sz w:val="24"/>
          <w:szCs w:val="24"/>
          <w:highlight w:val="none"/>
        </w:rPr>
      </w:pPr>
      <w:r>
        <w:rPr>
          <w:rFonts w:hint="eastAsia" w:ascii="宋体" w:hAnsi="宋体" w:cs="宋体"/>
          <w:b/>
          <w:bCs/>
          <w:color w:val="auto"/>
          <w:sz w:val="24"/>
          <w:szCs w:val="24"/>
          <w:highlight w:val="none"/>
        </w:rPr>
        <w:t>附件五</w:t>
      </w:r>
    </w:p>
    <w:p w14:paraId="69FB455B">
      <w:pPr>
        <w:spacing w:line="360" w:lineRule="auto"/>
        <w:jc w:val="center"/>
        <w:rPr>
          <w:rFonts w:hint="eastAsia" w:ascii="宋体" w:hAnsi="宋体" w:eastAsia="宋体" w:cs="黑体"/>
          <w:b/>
          <w:bCs/>
          <w:color w:val="auto"/>
          <w:sz w:val="24"/>
          <w:szCs w:val="24"/>
          <w:highlight w:val="none"/>
        </w:rPr>
      </w:pPr>
      <w:r>
        <w:rPr>
          <w:rFonts w:hint="eastAsia" w:ascii="宋体" w:hAnsi="宋体" w:eastAsia="宋体" w:cs="黑体"/>
          <w:b/>
          <w:bCs/>
          <w:color w:val="auto"/>
          <w:sz w:val="24"/>
          <w:szCs w:val="24"/>
          <w:highlight w:val="none"/>
        </w:rPr>
        <w:t>鄂尔多斯市政府投资项目代建中心</w:t>
      </w:r>
    </w:p>
    <w:p w14:paraId="57CEFD4F">
      <w:pPr>
        <w:spacing w:line="360" w:lineRule="auto"/>
        <w:jc w:val="center"/>
        <w:rPr>
          <w:rFonts w:hint="eastAsia" w:ascii="黑体" w:hAnsi="黑体" w:eastAsia="黑体" w:cs="黑体"/>
          <w:b w:val="0"/>
          <w:bCs w:val="0"/>
          <w:color w:val="auto"/>
          <w:spacing w:val="0"/>
          <w:kern w:val="10"/>
          <w:sz w:val="32"/>
          <w:szCs w:val="32"/>
          <w:highlight w:val="none"/>
          <w:lang w:val="en-US" w:eastAsia="zh-CN" w:bidi="ar-SA"/>
        </w:rPr>
      </w:pPr>
      <w:r>
        <w:rPr>
          <w:rFonts w:hint="eastAsia" w:ascii="宋体" w:hAnsi="宋体" w:eastAsia="宋体" w:cs="黑体"/>
          <w:b/>
          <w:bCs/>
          <w:color w:val="auto"/>
          <w:sz w:val="24"/>
          <w:szCs w:val="24"/>
          <w:highlight w:val="none"/>
        </w:rPr>
        <w:t>工程变更工作规程</w:t>
      </w:r>
    </w:p>
    <w:p w14:paraId="1711B47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center"/>
        <w:textAlignment w:val="auto"/>
        <w:outlineLvl w:val="9"/>
        <w:rPr>
          <w:rFonts w:hint="eastAsia" w:asciiTheme="majorEastAsia" w:hAnsiTheme="majorEastAsia" w:eastAsiaTheme="majorEastAsia" w:cstheme="majorEastAsia"/>
          <w:b/>
          <w:bCs/>
          <w:color w:val="auto"/>
          <w:spacing w:val="0"/>
          <w:kern w:val="10"/>
          <w:sz w:val="24"/>
          <w:szCs w:val="24"/>
          <w:highlight w:val="none"/>
          <w:lang w:val="en-US" w:eastAsia="zh-CN" w:bidi="ar-SA"/>
        </w:rPr>
      </w:pPr>
      <w:r>
        <w:rPr>
          <w:rFonts w:hint="eastAsia" w:asciiTheme="majorEastAsia" w:hAnsiTheme="majorEastAsia" w:eastAsiaTheme="majorEastAsia" w:cstheme="majorEastAsia"/>
          <w:b/>
          <w:bCs/>
          <w:color w:val="auto"/>
          <w:spacing w:val="0"/>
          <w:kern w:val="10"/>
          <w:sz w:val="24"/>
          <w:szCs w:val="24"/>
          <w:highlight w:val="none"/>
          <w:lang w:val="en-US" w:eastAsia="zh-CN" w:bidi="ar-SA"/>
        </w:rPr>
        <w:t>第一章  总  则</w:t>
      </w:r>
    </w:p>
    <w:p w14:paraId="6192E29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textAlignment w:val="auto"/>
        <w:outlineLvl w:val="9"/>
        <w:rPr>
          <w:rFonts w:hint="eastAsia" w:asciiTheme="majorEastAsia" w:hAnsiTheme="majorEastAsia" w:eastAsiaTheme="majorEastAsia" w:cstheme="majorEastAsia"/>
          <w:b w:val="0"/>
          <w:bCs w:val="0"/>
          <w:color w:val="auto"/>
          <w:spacing w:val="0"/>
          <w:kern w:val="10"/>
          <w:sz w:val="24"/>
          <w:szCs w:val="24"/>
          <w:highlight w:val="none"/>
        </w:rPr>
      </w:pP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 xml:space="preserve">    第一条  </w:t>
      </w:r>
      <w:r>
        <w:rPr>
          <w:rFonts w:hint="eastAsia" w:asciiTheme="majorEastAsia" w:hAnsiTheme="majorEastAsia" w:eastAsiaTheme="majorEastAsia" w:cstheme="majorEastAsia"/>
          <w:color w:val="auto"/>
          <w:spacing w:val="0"/>
          <w:kern w:val="10"/>
          <w:sz w:val="24"/>
          <w:szCs w:val="24"/>
          <w:highlight w:val="none"/>
        </w:rPr>
        <w:t>为</w:t>
      </w:r>
      <w:r>
        <w:rPr>
          <w:rFonts w:hint="eastAsia" w:asciiTheme="majorEastAsia" w:hAnsiTheme="majorEastAsia" w:eastAsiaTheme="majorEastAsia" w:cstheme="majorEastAsia"/>
          <w:color w:val="auto"/>
          <w:spacing w:val="0"/>
          <w:kern w:val="10"/>
          <w:sz w:val="24"/>
          <w:szCs w:val="24"/>
          <w:highlight w:val="none"/>
          <w:lang w:eastAsia="zh-CN"/>
        </w:rPr>
        <w:t>进一步加强政府投资项目管理，规范</w:t>
      </w:r>
      <w:r>
        <w:rPr>
          <w:rFonts w:hint="eastAsia" w:asciiTheme="majorEastAsia" w:hAnsiTheme="majorEastAsia" w:eastAsiaTheme="majorEastAsia" w:cstheme="majorEastAsia"/>
          <w:color w:val="auto"/>
          <w:spacing w:val="0"/>
          <w:kern w:val="10"/>
          <w:sz w:val="24"/>
          <w:szCs w:val="24"/>
          <w:highlight w:val="none"/>
          <w:lang w:val="en-US" w:eastAsia="zh-CN"/>
        </w:rPr>
        <w:t>工程变更行为</w:t>
      </w:r>
      <w:r>
        <w:rPr>
          <w:rFonts w:hint="eastAsia" w:asciiTheme="majorEastAsia" w:hAnsiTheme="majorEastAsia" w:eastAsiaTheme="majorEastAsia" w:cstheme="majorEastAsia"/>
          <w:color w:val="auto"/>
          <w:spacing w:val="0"/>
          <w:kern w:val="10"/>
          <w:sz w:val="24"/>
          <w:szCs w:val="24"/>
          <w:highlight w:val="none"/>
          <w:lang w:eastAsia="zh-CN"/>
        </w:rPr>
        <w:t>，控制工程造价，提高投资效益，根据</w:t>
      </w:r>
      <w:r>
        <w:rPr>
          <w:rFonts w:hint="eastAsia" w:asciiTheme="majorEastAsia" w:hAnsiTheme="majorEastAsia" w:eastAsiaTheme="majorEastAsia" w:cstheme="majorEastAsia"/>
          <w:color w:val="auto"/>
          <w:spacing w:val="0"/>
          <w:kern w:val="10"/>
          <w:sz w:val="24"/>
          <w:szCs w:val="24"/>
          <w:highlight w:val="none"/>
          <w:lang w:val="en-US" w:eastAsia="zh-CN"/>
        </w:rPr>
        <w:t>《中华人民共和国民法典》</w:t>
      </w:r>
      <w:r>
        <w:rPr>
          <w:rFonts w:hint="eastAsia" w:asciiTheme="majorEastAsia" w:hAnsiTheme="majorEastAsia" w:eastAsiaTheme="majorEastAsia" w:cstheme="majorEastAsia"/>
          <w:color w:val="auto"/>
          <w:spacing w:val="0"/>
          <w:kern w:val="10"/>
          <w:sz w:val="24"/>
          <w:szCs w:val="24"/>
          <w:highlight w:val="none"/>
          <w:lang w:eastAsia="zh-CN"/>
        </w:rPr>
        <w:t>《政府投资条例》（国务院令第712号）</w:t>
      </w:r>
      <w:r>
        <w:rPr>
          <w:rFonts w:hint="eastAsia" w:asciiTheme="majorEastAsia" w:hAnsiTheme="majorEastAsia" w:eastAsiaTheme="majorEastAsia" w:cstheme="majorEastAsia"/>
          <w:color w:val="auto"/>
          <w:spacing w:val="0"/>
          <w:kern w:val="10"/>
          <w:sz w:val="24"/>
          <w:szCs w:val="24"/>
          <w:highlight w:val="none"/>
          <w:lang w:val="en-US" w:eastAsia="zh-CN"/>
        </w:rPr>
        <w:t>《内蒙古自治区促进建筑业高质量发展的若干措施》（内政办发〔2022〕58号）《鄂尔多斯市人民政府关于支持建筑业高质量发展的实施意见（试行）》（鄂府发〔2023〕59号）等法律法规</w:t>
      </w:r>
      <w:r>
        <w:rPr>
          <w:rFonts w:hint="eastAsia" w:asciiTheme="majorEastAsia" w:hAnsiTheme="majorEastAsia" w:eastAsiaTheme="majorEastAsia" w:cstheme="majorEastAsia"/>
          <w:color w:val="auto"/>
          <w:spacing w:val="0"/>
          <w:kern w:val="10"/>
          <w:sz w:val="24"/>
          <w:szCs w:val="24"/>
          <w:highlight w:val="none"/>
          <w:lang w:eastAsia="zh-CN"/>
        </w:rPr>
        <w:t>，结合</w:t>
      </w:r>
      <w:r>
        <w:rPr>
          <w:rFonts w:hint="eastAsia" w:asciiTheme="majorEastAsia" w:hAnsiTheme="majorEastAsia" w:eastAsiaTheme="majorEastAsia" w:cstheme="majorEastAsia"/>
          <w:color w:val="auto"/>
          <w:spacing w:val="0"/>
          <w:kern w:val="10"/>
          <w:sz w:val="24"/>
          <w:szCs w:val="24"/>
          <w:highlight w:val="none"/>
        </w:rPr>
        <w:t>鄂尔多斯市政府投资项目代建中心</w:t>
      </w:r>
      <w:r>
        <w:rPr>
          <w:rFonts w:hint="eastAsia" w:asciiTheme="majorEastAsia" w:hAnsiTheme="majorEastAsia" w:eastAsiaTheme="majorEastAsia" w:cstheme="majorEastAsia"/>
          <w:color w:val="auto"/>
          <w:spacing w:val="0"/>
          <w:kern w:val="10"/>
          <w:sz w:val="24"/>
          <w:szCs w:val="24"/>
          <w:highlight w:val="none"/>
          <w:lang w:eastAsia="zh-CN"/>
        </w:rPr>
        <w:t>（</w:t>
      </w:r>
      <w:r>
        <w:rPr>
          <w:rFonts w:hint="eastAsia" w:asciiTheme="majorEastAsia" w:hAnsiTheme="majorEastAsia" w:eastAsiaTheme="majorEastAsia" w:cstheme="majorEastAsia"/>
          <w:color w:val="auto"/>
          <w:spacing w:val="0"/>
          <w:kern w:val="10"/>
          <w:sz w:val="24"/>
          <w:szCs w:val="24"/>
          <w:highlight w:val="none"/>
          <w:lang w:val="en-US" w:eastAsia="zh-CN"/>
        </w:rPr>
        <w:t>以下简称代建</w:t>
      </w:r>
      <w:r>
        <w:rPr>
          <w:rFonts w:hint="eastAsia" w:asciiTheme="majorEastAsia" w:hAnsiTheme="majorEastAsia" w:eastAsiaTheme="majorEastAsia" w:cstheme="majorEastAsia"/>
          <w:color w:val="auto"/>
          <w:spacing w:val="0"/>
          <w:kern w:val="10"/>
          <w:sz w:val="24"/>
          <w:szCs w:val="24"/>
          <w:highlight w:val="none"/>
          <w:lang w:eastAsia="zh-CN"/>
        </w:rPr>
        <w:t>中心）实际情况，特制定本</w:t>
      </w:r>
      <w:r>
        <w:rPr>
          <w:rFonts w:hint="eastAsia" w:asciiTheme="majorEastAsia" w:hAnsiTheme="majorEastAsia" w:eastAsiaTheme="majorEastAsia" w:cstheme="majorEastAsia"/>
          <w:b w:val="0"/>
          <w:bCs w:val="0"/>
          <w:color w:val="auto"/>
          <w:spacing w:val="0"/>
          <w:kern w:val="10"/>
          <w:sz w:val="24"/>
          <w:szCs w:val="24"/>
          <w:highlight w:val="none"/>
        </w:rPr>
        <w:t>工作</w:t>
      </w:r>
      <w:r>
        <w:rPr>
          <w:rFonts w:hint="eastAsia" w:asciiTheme="majorEastAsia" w:hAnsiTheme="majorEastAsia" w:eastAsiaTheme="majorEastAsia" w:cstheme="majorEastAsia"/>
          <w:b w:val="0"/>
          <w:bCs w:val="0"/>
          <w:color w:val="auto"/>
          <w:spacing w:val="0"/>
          <w:kern w:val="10"/>
          <w:sz w:val="24"/>
          <w:szCs w:val="24"/>
          <w:highlight w:val="none"/>
          <w:lang w:eastAsia="zh-CN"/>
        </w:rPr>
        <w:t>规程</w:t>
      </w:r>
      <w:r>
        <w:rPr>
          <w:rFonts w:hint="eastAsia" w:asciiTheme="majorEastAsia" w:hAnsiTheme="majorEastAsia" w:eastAsiaTheme="majorEastAsia" w:cstheme="majorEastAsia"/>
          <w:b w:val="0"/>
          <w:bCs w:val="0"/>
          <w:color w:val="auto"/>
          <w:spacing w:val="0"/>
          <w:kern w:val="10"/>
          <w:sz w:val="24"/>
          <w:szCs w:val="24"/>
          <w:highlight w:val="none"/>
        </w:rPr>
        <w:t>。</w:t>
      </w:r>
    </w:p>
    <w:p w14:paraId="0AB7B08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 xml:space="preserve">    第二条  </w:t>
      </w:r>
      <w:r>
        <w:rPr>
          <w:rFonts w:hint="eastAsia" w:asciiTheme="majorEastAsia" w:hAnsiTheme="majorEastAsia" w:eastAsiaTheme="majorEastAsia" w:cstheme="majorEastAsia"/>
          <w:b w:val="0"/>
          <w:bCs w:val="0"/>
          <w:color w:val="auto"/>
          <w:spacing w:val="0"/>
          <w:kern w:val="10"/>
          <w:sz w:val="24"/>
          <w:szCs w:val="24"/>
          <w:highlight w:val="none"/>
          <w:lang w:eastAsia="zh-CN"/>
        </w:rPr>
        <w:t>本工作规程适用于代建中心负责建设管理的</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新建、改建、扩建、维修、布展工程</w:t>
      </w:r>
      <w:r>
        <w:rPr>
          <w:rFonts w:hint="eastAsia" w:asciiTheme="majorEastAsia" w:hAnsiTheme="majorEastAsia" w:eastAsiaTheme="majorEastAsia" w:cstheme="majorEastAsia"/>
          <w:b w:val="0"/>
          <w:bCs w:val="0"/>
          <w:color w:val="auto"/>
          <w:spacing w:val="0"/>
          <w:kern w:val="10"/>
          <w:sz w:val="24"/>
          <w:szCs w:val="24"/>
          <w:highlight w:val="none"/>
          <w:lang w:eastAsia="zh-CN"/>
        </w:rPr>
        <w:t>的工程变更及材料设备认质认价</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申请审批及结算</w:t>
      </w:r>
      <w:r>
        <w:rPr>
          <w:rFonts w:hint="eastAsia" w:asciiTheme="majorEastAsia" w:hAnsiTheme="majorEastAsia" w:eastAsiaTheme="majorEastAsia" w:cstheme="majorEastAsia"/>
          <w:b w:val="0"/>
          <w:bCs w:val="0"/>
          <w:color w:val="auto"/>
          <w:spacing w:val="0"/>
          <w:kern w:val="10"/>
          <w:sz w:val="24"/>
          <w:szCs w:val="24"/>
          <w:highlight w:val="none"/>
          <w:lang w:eastAsia="zh-CN"/>
        </w:rPr>
        <w:t>。工程变更</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主要</w:t>
      </w:r>
      <w:r>
        <w:rPr>
          <w:rFonts w:hint="eastAsia" w:asciiTheme="majorEastAsia" w:hAnsiTheme="majorEastAsia" w:eastAsiaTheme="majorEastAsia" w:cstheme="majorEastAsia"/>
          <w:b w:val="0"/>
          <w:bCs w:val="0"/>
          <w:color w:val="auto"/>
          <w:spacing w:val="0"/>
          <w:kern w:val="10"/>
          <w:sz w:val="24"/>
          <w:szCs w:val="24"/>
          <w:highlight w:val="none"/>
          <w:lang w:eastAsia="zh-CN"/>
        </w:rPr>
        <w:t>包含设计变更、工程洽商、现场签证三大类。</w:t>
      </w:r>
    </w:p>
    <w:p w14:paraId="64C7049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 xml:space="preserve">    第三条  </w:t>
      </w:r>
      <w:r>
        <w:rPr>
          <w:rFonts w:hint="eastAsia" w:asciiTheme="majorEastAsia" w:hAnsiTheme="majorEastAsia" w:eastAsiaTheme="majorEastAsia" w:cstheme="majorEastAsia"/>
          <w:b w:val="0"/>
          <w:bCs w:val="0"/>
          <w:color w:val="auto"/>
          <w:spacing w:val="0"/>
          <w:kern w:val="10"/>
          <w:sz w:val="24"/>
          <w:szCs w:val="24"/>
          <w:highlight w:val="none"/>
        </w:rPr>
        <w:t>使用单位在设计阶段应</w:t>
      </w:r>
      <w:r>
        <w:rPr>
          <w:rFonts w:hint="eastAsia" w:asciiTheme="majorEastAsia" w:hAnsiTheme="majorEastAsia" w:eastAsiaTheme="majorEastAsia" w:cstheme="majorEastAsia"/>
          <w:b w:val="0"/>
          <w:bCs w:val="0"/>
          <w:color w:val="auto"/>
          <w:spacing w:val="0"/>
          <w:kern w:val="10"/>
          <w:sz w:val="24"/>
          <w:szCs w:val="24"/>
          <w:highlight w:val="none"/>
          <w:lang w:eastAsia="zh-CN"/>
        </w:rPr>
        <w:t>积极</w:t>
      </w:r>
      <w:r>
        <w:rPr>
          <w:rFonts w:hint="eastAsia" w:asciiTheme="majorEastAsia" w:hAnsiTheme="majorEastAsia" w:eastAsiaTheme="majorEastAsia" w:cstheme="majorEastAsia"/>
          <w:b w:val="0"/>
          <w:bCs w:val="0"/>
          <w:color w:val="auto"/>
          <w:spacing w:val="0"/>
          <w:kern w:val="10"/>
          <w:sz w:val="24"/>
          <w:szCs w:val="24"/>
          <w:highlight w:val="none"/>
        </w:rPr>
        <w:t>参与方案审核，</w:t>
      </w:r>
      <w:r>
        <w:rPr>
          <w:rFonts w:hint="eastAsia" w:asciiTheme="majorEastAsia" w:hAnsiTheme="majorEastAsia" w:eastAsiaTheme="majorEastAsia" w:cstheme="majorEastAsia"/>
          <w:b w:val="0"/>
          <w:bCs w:val="0"/>
          <w:color w:val="auto"/>
          <w:spacing w:val="0"/>
          <w:kern w:val="10"/>
          <w:sz w:val="24"/>
          <w:szCs w:val="24"/>
          <w:highlight w:val="none"/>
          <w:lang w:eastAsia="zh-CN"/>
        </w:rPr>
        <w:t>对设计方案在使用功能的完整性及可行性上做出充分的论证，</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并进行书面</w:t>
      </w:r>
      <w:r>
        <w:rPr>
          <w:rFonts w:hint="eastAsia" w:asciiTheme="majorEastAsia" w:hAnsiTheme="majorEastAsia" w:eastAsiaTheme="majorEastAsia" w:cstheme="majorEastAsia"/>
          <w:b w:val="0"/>
          <w:bCs w:val="0"/>
          <w:color w:val="auto"/>
          <w:spacing w:val="0"/>
          <w:kern w:val="10"/>
          <w:sz w:val="24"/>
          <w:szCs w:val="24"/>
          <w:highlight w:val="none"/>
          <w:lang w:eastAsia="zh-CN"/>
        </w:rPr>
        <w:t>确认。</w:t>
      </w:r>
      <w:r>
        <w:rPr>
          <w:rFonts w:hint="eastAsia" w:asciiTheme="majorEastAsia" w:hAnsiTheme="majorEastAsia" w:eastAsiaTheme="majorEastAsia" w:cstheme="majorEastAsia"/>
          <w:b w:val="0"/>
          <w:bCs w:val="0"/>
          <w:color w:val="auto"/>
          <w:spacing w:val="0"/>
          <w:kern w:val="10"/>
          <w:sz w:val="24"/>
          <w:szCs w:val="24"/>
          <w:highlight w:val="none"/>
        </w:rPr>
        <w:t>方案一经确认</w:t>
      </w:r>
      <w:r>
        <w:rPr>
          <w:rFonts w:hint="eastAsia" w:asciiTheme="majorEastAsia" w:hAnsiTheme="majorEastAsia" w:eastAsiaTheme="majorEastAsia" w:cstheme="majorEastAsia"/>
          <w:b w:val="0"/>
          <w:bCs w:val="0"/>
          <w:color w:val="auto"/>
          <w:spacing w:val="0"/>
          <w:kern w:val="10"/>
          <w:sz w:val="24"/>
          <w:szCs w:val="24"/>
          <w:highlight w:val="none"/>
          <w:lang w:eastAsia="zh-CN"/>
        </w:rPr>
        <w:t>，</w:t>
      </w:r>
      <w:r>
        <w:rPr>
          <w:rFonts w:hint="eastAsia" w:asciiTheme="majorEastAsia" w:hAnsiTheme="majorEastAsia" w:eastAsiaTheme="majorEastAsia" w:cstheme="majorEastAsia"/>
          <w:b w:val="0"/>
          <w:bCs w:val="0"/>
          <w:color w:val="auto"/>
          <w:spacing w:val="0"/>
          <w:kern w:val="10"/>
          <w:sz w:val="24"/>
          <w:szCs w:val="24"/>
          <w:highlight w:val="none"/>
        </w:rPr>
        <w:t>原则上不允许</w:t>
      </w:r>
      <w:r>
        <w:rPr>
          <w:rFonts w:hint="eastAsia" w:asciiTheme="majorEastAsia" w:hAnsiTheme="majorEastAsia" w:eastAsiaTheme="majorEastAsia" w:cstheme="majorEastAsia"/>
          <w:b w:val="0"/>
          <w:bCs w:val="0"/>
          <w:color w:val="auto"/>
          <w:spacing w:val="0"/>
          <w:kern w:val="10"/>
          <w:sz w:val="24"/>
          <w:szCs w:val="24"/>
          <w:highlight w:val="none"/>
          <w:lang w:eastAsia="zh-CN"/>
        </w:rPr>
        <w:t>发生</w:t>
      </w:r>
      <w:r>
        <w:rPr>
          <w:rFonts w:hint="eastAsia" w:asciiTheme="majorEastAsia" w:hAnsiTheme="majorEastAsia" w:eastAsiaTheme="majorEastAsia" w:cstheme="majorEastAsia"/>
          <w:b w:val="0"/>
          <w:bCs w:val="0"/>
          <w:color w:val="auto"/>
          <w:spacing w:val="0"/>
          <w:kern w:val="10"/>
          <w:sz w:val="24"/>
          <w:szCs w:val="24"/>
          <w:highlight w:val="none"/>
          <w:u w:val="none"/>
          <w:lang w:eastAsia="zh-CN"/>
        </w:rPr>
        <w:t>较大</w:t>
      </w:r>
      <w:r>
        <w:rPr>
          <w:rFonts w:hint="eastAsia" w:asciiTheme="majorEastAsia" w:hAnsiTheme="majorEastAsia" w:eastAsiaTheme="majorEastAsia" w:cstheme="majorEastAsia"/>
          <w:b w:val="0"/>
          <w:bCs w:val="0"/>
          <w:color w:val="auto"/>
          <w:spacing w:val="0"/>
          <w:kern w:val="10"/>
          <w:sz w:val="24"/>
          <w:szCs w:val="24"/>
          <w:highlight w:val="none"/>
          <w:u w:val="none"/>
        </w:rPr>
        <w:t>功能</w:t>
      </w:r>
      <w:r>
        <w:rPr>
          <w:rFonts w:hint="eastAsia" w:asciiTheme="majorEastAsia" w:hAnsiTheme="majorEastAsia" w:eastAsiaTheme="majorEastAsia" w:cstheme="majorEastAsia"/>
          <w:b w:val="0"/>
          <w:bCs w:val="0"/>
          <w:color w:val="auto"/>
          <w:spacing w:val="0"/>
          <w:kern w:val="10"/>
          <w:sz w:val="24"/>
          <w:szCs w:val="24"/>
          <w:highlight w:val="none"/>
          <w:u w:val="none"/>
          <w:lang w:eastAsia="zh-CN"/>
        </w:rPr>
        <w:t>性改变</w:t>
      </w:r>
      <w:r>
        <w:rPr>
          <w:rFonts w:hint="eastAsia" w:asciiTheme="majorEastAsia" w:hAnsiTheme="majorEastAsia" w:eastAsiaTheme="majorEastAsia" w:cstheme="majorEastAsia"/>
          <w:b w:val="0"/>
          <w:bCs w:val="0"/>
          <w:color w:val="auto"/>
          <w:spacing w:val="0"/>
          <w:kern w:val="10"/>
          <w:sz w:val="24"/>
          <w:szCs w:val="24"/>
          <w:highlight w:val="none"/>
          <w:u w:val="none"/>
        </w:rPr>
        <w:t>或提高</w:t>
      </w:r>
      <w:r>
        <w:rPr>
          <w:rFonts w:hint="eastAsia" w:asciiTheme="majorEastAsia" w:hAnsiTheme="majorEastAsia" w:eastAsiaTheme="majorEastAsia" w:cstheme="majorEastAsia"/>
          <w:b w:val="0"/>
          <w:bCs w:val="0"/>
          <w:color w:val="auto"/>
          <w:spacing w:val="0"/>
          <w:kern w:val="10"/>
          <w:sz w:val="24"/>
          <w:szCs w:val="24"/>
          <w:highlight w:val="none"/>
          <w:u w:val="none"/>
          <w:lang w:eastAsia="zh-CN"/>
        </w:rPr>
        <w:t>建设</w:t>
      </w:r>
      <w:r>
        <w:rPr>
          <w:rFonts w:hint="eastAsia" w:asciiTheme="majorEastAsia" w:hAnsiTheme="majorEastAsia" w:eastAsiaTheme="majorEastAsia" w:cstheme="majorEastAsia"/>
          <w:b w:val="0"/>
          <w:bCs w:val="0"/>
          <w:color w:val="auto"/>
          <w:spacing w:val="0"/>
          <w:kern w:val="10"/>
          <w:sz w:val="24"/>
          <w:szCs w:val="24"/>
          <w:highlight w:val="none"/>
          <w:u w:val="none"/>
        </w:rPr>
        <w:t>标准</w:t>
      </w:r>
      <w:r>
        <w:rPr>
          <w:rFonts w:hint="eastAsia" w:asciiTheme="majorEastAsia" w:hAnsiTheme="majorEastAsia" w:eastAsiaTheme="majorEastAsia" w:cstheme="majorEastAsia"/>
          <w:b w:val="0"/>
          <w:bCs w:val="0"/>
          <w:color w:val="auto"/>
          <w:spacing w:val="0"/>
          <w:kern w:val="10"/>
          <w:sz w:val="24"/>
          <w:szCs w:val="24"/>
          <w:highlight w:val="none"/>
          <w:u w:val="none"/>
          <w:lang w:eastAsia="zh-CN"/>
        </w:rPr>
        <w:t>的</w:t>
      </w:r>
      <w:r>
        <w:rPr>
          <w:rFonts w:hint="eastAsia" w:asciiTheme="majorEastAsia" w:hAnsiTheme="majorEastAsia" w:eastAsiaTheme="majorEastAsia" w:cstheme="majorEastAsia"/>
          <w:b w:val="0"/>
          <w:bCs w:val="0"/>
          <w:color w:val="auto"/>
          <w:spacing w:val="0"/>
          <w:kern w:val="10"/>
          <w:sz w:val="24"/>
          <w:szCs w:val="24"/>
          <w:highlight w:val="none"/>
          <w:u w:val="none"/>
        </w:rPr>
        <w:t>变更</w:t>
      </w:r>
      <w:r>
        <w:rPr>
          <w:rFonts w:hint="eastAsia" w:asciiTheme="majorEastAsia" w:hAnsiTheme="majorEastAsia" w:eastAsiaTheme="majorEastAsia" w:cstheme="majorEastAsia"/>
          <w:b w:val="0"/>
          <w:bCs w:val="0"/>
          <w:color w:val="auto"/>
          <w:spacing w:val="0"/>
          <w:kern w:val="10"/>
          <w:sz w:val="24"/>
          <w:szCs w:val="24"/>
          <w:highlight w:val="none"/>
          <w:u w:val="none"/>
          <w:lang w:eastAsia="zh-CN"/>
        </w:rPr>
        <w:t>。在项目建设过程中，使用单位确因使用功能需要变更的，</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不得</w:t>
      </w:r>
      <w:r>
        <w:rPr>
          <w:rFonts w:hint="eastAsia" w:asciiTheme="majorEastAsia" w:hAnsiTheme="majorEastAsia" w:eastAsiaTheme="majorEastAsia" w:cstheme="majorEastAsia"/>
          <w:b w:val="0"/>
          <w:bCs w:val="0"/>
          <w:color w:val="auto"/>
          <w:spacing w:val="0"/>
          <w:kern w:val="10"/>
          <w:sz w:val="24"/>
          <w:szCs w:val="24"/>
          <w:highlight w:val="none"/>
          <w:lang w:eastAsia="zh-CN"/>
        </w:rPr>
        <w:t>直接向施工单位提出变更</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要求</w:t>
      </w:r>
      <w:r>
        <w:rPr>
          <w:rFonts w:hint="eastAsia" w:asciiTheme="majorEastAsia" w:hAnsiTheme="majorEastAsia" w:eastAsiaTheme="majorEastAsia" w:cstheme="majorEastAsia"/>
          <w:b w:val="0"/>
          <w:bCs w:val="0"/>
          <w:color w:val="auto"/>
          <w:spacing w:val="0"/>
          <w:kern w:val="10"/>
          <w:sz w:val="24"/>
          <w:szCs w:val="24"/>
          <w:highlight w:val="none"/>
          <w:lang w:eastAsia="zh-CN"/>
        </w:rPr>
        <w:t>，应以正式文件</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向</w:t>
      </w:r>
      <w:r>
        <w:rPr>
          <w:rFonts w:hint="eastAsia" w:asciiTheme="majorEastAsia" w:hAnsiTheme="majorEastAsia" w:eastAsiaTheme="majorEastAsia" w:cstheme="majorEastAsia"/>
          <w:b w:val="0"/>
          <w:bCs w:val="0"/>
          <w:color w:val="auto"/>
          <w:spacing w:val="0"/>
          <w:kern w:val="10"/>
          <w:sz w:val="24"/>
          <w:szCs w:val="24"/>
          <w:highlight w:val="none"/>
          <w:lang w:eastAsia="zh-CN"/>
        </w:rPr>
        <w:t>代建中心</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提出申请</w:t>
      </w:r>
      <w:r>
        <w:rPr>
          <w:rFonts w:hint="eastAsia" w:asciiTheme="majorEastAsia" w:hAnsiTheme="majorEastAsia" w:eastAsiaTheme="majorEastAsia" w:cstheme="majorEastAsia"/>
          <w:b w:val="0"/>
          <w:bCs w:val="0"/>
          <w:color w:val="auto"/>
          <w:spacing w:val="0"/>
          <w:kern w:val="10"/>
          <w:sz w:val="24"/>
          <w:szCs w:val="24"/>
          <w:highlight w:val="none"/>
          <w:lang w:eastAsia="zh-CN"/>
        </w:rPr>
        <w:t>，由</w:t>
      </w:r>
      <w:r>
        <w:rPr>
          <w:rFonts w:hint="eastAsia" w:asciiTheme="majorEastAsia" w:hAnsiTheme="majorEastAsia" w:eastAsiaTheme="majorEastAsia" w:cstheme="majorEastAsia"/>
          <w:b w:val="0"/>
          <w:bCs w:val="0"/>
          <w:color w:val="auto"/>
          <w:spacing w:val="0"/>
          <w:kern w:val="10"/>
          <w:sz w:val="24"/>
          <w:szCs w:val="24"/>
          <w:highlight w:val="none"/>
          <w:u w:val="none"/>
          <w:lang w:eastAsia="zh-CN"/>
        </w:rPr>
        <w:t>代建</w:t>
      </w:r>
      <w:r>
        <w:rPr>
          <w:rFonts w:hint="eastAsia" w:asciiTheme="majorEastAsia" w:hAnsiTheme="majorEastAsia" w:eastAsiaTheme="majorEastAsia" w:cstheme="majorEastAsia"/>
          <w:b w:val="0"/>
          <w:bCs w:val="0"/>
          <w:color w:val="auto"/>
          <w:spacing w:val="0"/>
          <w:kern w:val="10"/>
          <w:sz w:val="24"/>
          <w:szCs w:val="24"/>
          <w:highlight w:val="none"/>
          <w:lang w:eastAsia="zh-CN"/>
        </w:rPr>
        <w:t>中心办公室批转</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至</w:t>
      </w:r>
      <w:r>
        <w:rPr>
          <w:rFonts w:hint="eastAsia" w:asciiTheme="majorEastAsia" w:hAnsiTheme="majorEastAsia" w:eastAsiaTheme="majorEastAsia" w:cstheme="majorEastAsia"/>
          <w:b w:val="0"/>
          <w:bCs w:val="0"/>
          <w:color w:val="auto"/>
          <w:spacing w:val="0"/>
          <w:kern w:val="10"/>
          <w:sz w:val="24"/>
          <w:szCs w:val="24"/>
          <w:highlight w:val="none"/>
          <w:lang w:eastAsia="zh-CN"/>
        </w:rPr>
        <w:t>相关科室</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及项目组</w:t>
      </w:r>
      <w:r>
        <w:rPr>
          <w:rFonts w:hint="eastAsia" w:asciiTheme="majorEastAsia" w:hAnsiTheme="majorEastAsia" w:eastAsiaTheme="majorEastAsia" w:cstheme="majorEastAsia"/>
          <w:b w:val="0"/>
          <w:bCs w:val="0"/>
          <w:color w:val="auto"/>
          <w:spacing w:val="0"/>
          <w:kern w:val="10"/>
          <w:sz w:val="24"/>
          <w:szCs w:val="24"/>
          <w:highlight w:val="none"/>
          <w:lang w:eastAsia="zh-CN"/>
        </w:rPr>
        <w:t>，经充分</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研究</w:t>
      </w:r>
      <w:r>
        <w:rPr>
          <w:rFonts w:hint="eastAsia" w:asciiTheme="majorEastAsia" w:hAnsiTheme="majorEastAsia" w:eastAsiaTheme="majorEastAsia" w:cstheme="majorEastAsia"/>
          <w:b w:val="0"/>
          <w:bCs w:val="0"/>
          <w:color w:val="auto"/>
          <w:spacing w:val="0"/>
          <w:kern w:val="10"/>
          <w:sz w:val="24"/>
          <w:szCs w:val="24"/>
          <w:highlight w:val="none"/>
          <w:lang w:eastAsia="zh-CN"/>
        </w:rPr>
        <w:t>后决定是否</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同意变</w:t>
      </w:r>
      <w:r>
        <w:rPr>
          <w:rFonts w:hint="eastAsia" w:asciiTheme="majorEastAsia" w:hAnsiTheme="majorEastAsia" w:eastAsiaTheme="majorEastAsia" w:cstheme="majorEastAsia"/>
          <w:b w:val="0"/>
          <w:bCs w:val="0"/>
          <w:color w:val="auto"/>
          <w:spacing w:val="0"/>
          <w:kern w:val="10"/>
          <w:sz w:val="24"/>
          <w:szCs w:val="24"/>
          <w:highlight w:val="none"/>
          <w:lang w:eastAsia="zh-CN"/>
        </w:rPr>
        <w:t>更。</w:t>
      </w:r>
    </w:p>
    <w:p w14:paraId="6B2BD6F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 xml:space="preserve">    第四条</w:t>
      </w:r>
      <w:r>
        <w:rPr>
          <w:rFonts w:hint="eastAsia" w:asciiTheme="majorEastAsia" w:hAnsiTheme="majorEastAsia" w:eastAsiaTheme="majorEastAsia" w:cstheme="majorEastAsia"/>
          <w:color w:val="auto"/>
          <w:spacing w:val="0"/>
          <w:kern w:val="10"/>
          <w:sz w:val="24"/>
          <w:szCs w:val="24"/>
          <w:highlight w:val="none"/>
        </w:rPr>
        <w:t xml:space="preserve"> </w:t>
      </w:r>
      <w:r>
        <w:rPr>
          <w:rFonts w:hint="eastAsia" w:asciiTheme="majorEastAsia" w:hAnsiTheme="majorEastAsia" w:eastAsiaTheme="majorEastAsia" w:cstheme="majorEastAsia"/>
          <w:color w:val="auto"/>
          <w:spacing w:val="0"/>
          <w:kern w:val="10"/>
          <w:sz w:val="24"/>
          <w:szCs w:val="24"/>
          <w:highlight w:val="none"/>
          <w:lang w:val="en-US" w:eastAsia="zh-CN"/>
        </w:rPr>
        <w:t xml:space="preserve"> </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所有在建工程推行“少变更、少签证”。因施工单位原因造成的误工、返工不予签证；法律、法规、规章规定不能办理的其他情况不予签证。确</w:t>
      </w:r>
      <w:r>
        <w:rPr>
          <w:rFonts w:hint="eastAsia" w:asciiTheme="majorEastAsia" w:hAnsiTheme="majorEastAsia" w:eastAsiaTheme="majorEastAsia" w:cstheme="majorEastAsia"/>
          <w:b w:val="0"/>
          <w:bCs w:val="0"/>
          <w:color w:val="auto"/>
          <w:spacing w:val="0"/>
          <w:kern w:val="10"/>
          <w:sz w:val="24"/>
          <w:szCs w:val="24"/>
          <w:highlight w:val="none"/>
        </w:rPr>
        <w:t>需</w:t>
      </w:r>
      <w:r>
        <w:rPr>
          <w:rFonts w:hint="eastAsia" w:asciiTheme="majorEastAsia" w:hAnsiTheme="majorEastAsia" w:eastAsiaTheme="majorEastAsia" w:cstheme="majorEastAsia"/>
          <w:b w:val="0"/>
          <w:bCs w:val="0"/>
          <w:color w:val="auto"/>
          <w:spacing w:val="0"/>
          <w:kern w:val="10"/>
          <w:sz w:val="24"/>
          <w:szCs w:val="24"/>
          <w:highlight w:val="none"/>
          <w:lang w:eastAsia="zh-CN"/>
        </w:rPr>
        <w:t>发生的工程</w:t>
      </w:r>
      <w:r>
        <w:rPr>
          <w:rFonts w:hint="eastAsia" w:asciiTheme="majorEastAsia" w:hAnsiTheme="majorEastAsia" w:eastAsiaTheme="majorEastAsia" w:cstheme="majorEastAsia"/>
          <w:b w:val="0"/>
          <w:bCs w:val="0"/>
          <w:color w:val="auto"/>
          <w:spacing w:val="0"/>
          <w:kern w:val="10"/>
          <w:sz w:val="24"/>
          <w:szCs w:val="24"/>
          <w:highlight w:val="none"/>
        </w:rPr>
        <w:t>变更</w:t>
      </w:r>
      <w:r>
        <w:rPr>
          <w:rFonts w:hint="eastAsia" w:asciiTheme="majorEastAsia" w:hAnsiTheme="majorEastAsia" w:eastAsiaTheme="majorEastAsia" w:cstheme="majorEastAsia"/>
          <w:b w:val="0"/>
          <w:bCs w:val="0"/>
          <w:color w:val="auto"/>
          <w:spacing w:val="0"/>
          <w:kern w:val="10"/>
          <w:sz w:val="24"/>
          <w:szCs w:val="24"/>
          <w:highlight w:val="none"/>
          <w:lang w:eastAsia="zh-CN"/>
        </w:rPr>
        <w:t>应当遵循先审批后实施的原则，</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严禁</w:t>
      </w:r>
      <w:r>
        <w:rPr>
          <w:rFonts w:hint="eastAsia" w:asciiTheme="majorEastAsia" w:hAnsiTheme="majorEastAsia" w:eastAsiaTheme="majorEastAsia" w:cstheme="majorEastAsia"/>
          <w:b w:val="0"/>
          <w:bCs w:val="0"/>
          <w:color w:val="auto"/>
          <w:spacing w:val="0"/>
          <w:kern w:val="10"/>
          <w:sz w:val="24"/>
          <w:szCs w:val="24"/>
          <w:highlight w:val="none"/>
          <w:lang w:eastAsia="zh-CN"/>
        </w:rPr>
        <w:t>未经批准擅自变更</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实施</w:t>
      </w:r>
      <w:r>
        <w:rPr>
          <w:rFonts w:hint="eastAsia" w:asciiTheme="majorEastAsia" w:hAnsiTheme="majorEastAsia" w:eastAsiaTheme="majorEastAsia" w:cstheme="majorEastAsia"/>
          <w:b w:val="0"/>
          <w:bCs w:val="0"/>
          <w:color w:val="auto"/>
          <w:spacing w:val="0"/>
          <w:kern w:val="10"/>
          <w:sz w:val="24"/>
          <w:szCs w:val="24"/>
          <w:highlight w:val="none"/>
          <w:lang w:eastAsia="zh-CN"/>
        </w:rPr>
        <w:t>的行为。</w:t>
      </w:r>
    </w:p>
    <w:p w14:paraId="23DF0B15">
      <w:pPr>
        <w:pStyle w:val="12"/>
        <w:keepNext w:val="0"/>
        <w:keepLines w:val="0"/>
        <w:pageBreakBefore w:val="0"/>
        <w:kinsoku/>
        <w:wordWrap/>
        <w:overflowPunct/>
        <w:topLinePunct w:val="0"/>
        <w:bidi w:val="0"/>
        <w:spacing w:line="560" w:lineRule="exact"/>
        <w:textAlignment w:val="auto"/>
        <w:rPr>
          <w:rFonts w:hint="eastAsia" w:asciiTheme="majorEastAsia" w:hAnsiTheme="majorEastAsia" w:eastAsiaTheme="majorEastAsia" w:cstheme="majorEastAsia"/>
          <w:color w:val="auto"/>
          <w:spacing w:val="0"/>
          <w:kern w:val="10"/>
          <w:sz w:val="24"/>
          <w:szCs w:val="24"/>
          <w:highlight w:val="none"/>
        </w:rPr>
      </w:pPr>
      <w:r>
        <w:rPr>
          <w:rFonts w:hint="eastAsia" w:asciiTheme="majorEastAsia" w:hAnsiTheme="majorEastAsia" w:eastAsiaTheme="majorEastAsia" w:cstheme="majorEastAsia"/>
          <w:color w:val="auto"/>
          <w:spacing w:val="0"/>
          <w:kern w:val="10"/>
          <w:sz w:val="24"/>
          <w:szCs w:val="24"/>
          <w:highlight w:val="none"/>
          <w:lang w:val="en-US" w:eastAsia="zh-CN"/>
        </w:rPr>
        <w:t xml:space="preserve">    </w:t>
      </w:r>
      <w:r>
        <w:rPr>
          <w:rFonts w:hint="eastAsia" w:asciiTheme="majorEastAsia" w:hAnsiTheme="majorEastAsia" w:eastAsiaTheme="majorEastAsia" w:cstheme="majorEastAsia"/>
          <w:color w:val="auto"/>
          <w:spacing w:val="0"/>
          <w:kern w:val="10"/>
          <w:sz w:val="24"/>
          <w:szCs w:val="24"/>
          <w:highlight w:val="none"/>
        </w:rPr>
        <w:t>第</w:t>
      </w:r>
      <w:r>
        <w:rPr>
          <w:rFonts w:hint="eastAsia" w:asciiTheme="majorEastAsia" w:hAnsiTheme="majorEastAsia" w:eastAsiaTheme="majorEastAsia" w:cstheme="majorEastAsia"/>
          <w:color w:val="auto"/>
          <w:spacing w:val="0"/>
          <w:kern w:val="10"/>
          <w:sz w:val="24"/>
          <w:szCs w:val="24"/>
          <w:highlight w:val="none"/>
          <w:lang w:eastAsia="zh-CN"/>
        </w:rPr>
        <w:t>五</w:t>
      </w:r>
      <w:r>
        <w:rPr>
          <w:rFonts w:hint="eastAsia" w:asciiTheme="majorEastAsia" w:hAnsiTheme="majorEastAsia" w:eastAsiaTheme="majorEastAsia" w:cstheme="majorEastAsia"/>
          <w:color w:val="auto"/>
          <w:spacing w:val="0"/>
          <w:kern w:val="10"/>
          <w:sz w:val="24"/>
          <w:szCs w:val="24"/>
          <w:highlight w:val="none"/>
        </w:rPr>
        <w:t>条</w:t>
      </w:r>
      <w:r>
        <w:rPr>
          <w:rFonts w:hint="eastAsia" w:asciiTheme="majorEastAsia" w:hAnsiTheme="majorEastAsia" w:eastAsiaTheme="majorEastAsia" w:cstheme="majorEastAsia"/>
          <w:color w:val="auto"/>
          <w:spacing w:val="0"/>
          <w:kern w:val="10"/>
          <w:sz w:val="24"/>
          <w:szCs w:val="24"/>
          <w:highlight w:val="none"/>
          <w:lang w:val="en-US" w:eastAsia="zh-CN"/>
        </w:rPr>
        <w:t xml:space="preserve">  </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bidi="ar-SA"/>
        </w:rPr>
        <w:t>项目建设过程中，</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发生以下特殊情形时，施工单位</w:t>
      </w:r>
      <w:r>
        <w:rPr>
          <w:rFonts w:hint="eastAsia" w:asciiTheme="majorEastAsia" w:hAnsiTheme="majorEastAsia" w:eastAsiaTheme="majorEastAsia" w:cstheme="majorEastAsia"/>
          <w:color w:val="auto"/>
          <w:spacing w:val="0"/>
          <w:kern w:val="10"/>
          <w:sz w:val="24"/>
          <w:szCs w:val="24"/>
          <w:highlight w:val="none"/>
          <w:lang w:val="en-US" w:eastAsia="zh-CN"/>
        </w:rPr>
        <w:t>应当第一时间向项目组长</w:t>
      </w:r>
      <w:r>
        <w:rPr>
          <w:rFonts w:hint="eastAsia" w:asciiTheme="majorEastAsia" w:hAnsiTheme="majorEastAsia" w:eastAsiaTheme="majorEastAsia" w:cstheme="majorEastAsia"/>
          <w:color w:val="auto"/>
          <w:spacing w:val="0"/>
          <w:kern w:val="10"/>
          <w:sz w:val="24"/>
          <w:szCs w:val="24"/>
          <w:highlight w:val="none"/>
          <w:lang w:eastAsia="zh-CN"/>
        </w:rPr>
        <w:t>汇报情况，</w:t>
      </w:r>
      <w:r>
        <w:rPr>
          <w:rFonts w:hint="eastAsia" w:asciiTheme="majorEastAsia" w:hAnsiTheme="majorEastAsia" w:eastAsiaTheme="majorEastAsia" w:cstheme="majorEastAsia"/>
          <w:color w:val="auto"/>
          <w:spacing w:val="0"/>
          <w:kern w:val="10"/>
          <w:sz w:val="24"/>
          <w:szCs w:val="24"/>
          <w:highlight w:val="none"/>
          <w:lang w:val="en-US" w:eastAsia="zh-CN"/>
        </w:rPr>
        <w:t>按程序报告后及时组织施工</w:t>
      </w:r>
      <w:r>
        <w:rPr>
          <w:rFonts w:hint="eastAsia" w:asciiTheme="majorEastAsia" w:hAnsiTheme="majorEastAsia" w:eastAsiaTheme="majorEastAsia" w:cstheme="majorEastAsia"/>
          <w:color w:val="auto"/>
          <w:spacing w:val="0"/>
          <w:kern w:val="10"/>
          <w:sz w:val="24"/>
          <w:szCs w:val="24"/>
          <w:highlight w:val="none"/>
          <w:lang w:eastAsia="zh-CN"/>
        </w:rPr>
        <w:t>，</w:t>
      </w:r>
      <w:r>
        <w:rPr>
          <w:rFonts w:hint="eastAsia" w:asciiTheme="majorEastAsia" w:hAnsiTheme="majorEastAsia" w:eastAsiaTheme="majorEastAsia" w:cstheme="majorEastAsia"/>
          <w:color w:val="auto"/>
          <w:spacing w:val="0"/>
          <w:kern w:val="10"/>
          <w:sz w:val="24"/>
          <w:szCs w:val="24"/>
          <w:highlight w:val="none"/>
          <w:lang w:val="en-US" w:eastAsia="zh-CN"/>
        </w:rPr>
        <w:t>并在发生之日起3日</w:t>
      </w:r>
      <w:r>
        <w:rPr>
          <w:rFonts w:hint="eastAsia" w:asciiTheme="majorEastAsia" w:hAnsiTheme="majorEastAsia" w:eastAsiaTheme="majorEastAsia" w:cstheme="majorEastAsia"/>
          <w:color w:val="auto"/>
          <w:spacing w:val="0"/>
          <w:kern w:val="10"/>
          <w:sz w:val="24"/>
          <w:szCs w:val="24"/>
          <w:highlight w:val="none"/>
        </w:rPr>
        <w:t>内</w:t>
      </w:r>
      <w:r>
        <w:rPr>
          <w:rFonts w:hint="eastAsia" w:asciiTheme="majorEastAsia" w:hAnsiTheme="majorEastAsia" w:eastAsiaTheme="majorEastAsia" w:cstheme="majorEastAsia"/>
          <w:color w:val="auto"/>
          <w:spacing w:val="0"/>
          <w:kern w:val="10"/>
          <w:sz w:val="24"/>
          <w:szCs w:val="24"/>
          <w:highlight w:val="none"/>
          <w:lang w:eastAsia="zh-CN"/>
        </w:rPr>
        <w:t>及时履行</w:t>
      </w:r>
      <w:r>
        <w:rPr>
          <w:rFonts w:hint="eastAsia" w:asciiTheme="majorEastAsia" w:hAnsiTheme="majorEastAsia" w:eastAsiaTheme="majorEastAsia" w:cstheme="majorEastAsia"/>
          <w:color w:val="auto"/>
          <w:spacing w:val="0"/>
          <w:kern w:val="10"/>
          <w:sz w:val="24"/>
          <w:szCs w:val="24"/>
          <w:highlight w:val="none"/>
          <w:lang w:val="en-US" w:eastAsia="zh-CN"/>
        </w:rPr>
        <w:t>工程变更</w:t>
      </w:r>
      <w:r>
        <w:rPr>
          <w:rFonts w:hint="eastAsia" w:asciiTheme="majorEastAsia" w:hAnsiTheme="majorEastAsia" w:eastAsiaTheme="majorEastAsia" w:cstheme="majorEastAsia"/>
          <w:color w:val="auto"/>
          <w:spacing w:val="0"/>
          <w:kern w:val="10"/>
          <w:sz w:val="24"/>
          <w:szCs w:val="24"/>
          <w:highlight w:val="none"/>
          <w:lang w:eastAsia="zh-CN"/>
        </w:rPr>
        <w:t>申报手续</w:t>
      </w:r>
      <w:r>
        <w:rPr>
          <w:rFonts w:hint="eastAsia" w:asciiTheme="majorEastAsia" w:hAnsiTheme="majorEastAsia" w:eastAsiaTheme="majorEastAsia" w:cstheme="majorEastAsia"/>
          <w:color w:val="auto"/>
          <w:spacing w:val="0"/>
          <w:kern w:val="10"/>
          <w:sz w:val="24"/>
          <w:szCs w:val="24"/>
          <w:highlight w:val="none"/>
        </w:rPr>
        <w:t>：</w:t>
      </w:r>
    </w:p>
    <w:p w14:paraId="03B82710">
      <w:pPr>
        <w:keepNext w:val="0"/>
        <w:keepLines w:val="0"/>
        <w:pageBreakBefore w:val="0"/>
        <w:widowControl w:val="0"/>
        <w:numPr>
          <w:ilvl w:val="0"/>
          <w:numId w:val="11"/>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color w:val="auto"/>
          <w:spacing w:val="0"/>
          <w:kern w:val="10"/>
          <w:sz w:val="24"/>
          <w:szCs w:val="24"/>
          <w:highlight w:val="none"/>
        </w:rPr>
      </w:pPr>
      <w:r>
        <w:rPr>
          <w:rFonts w:hint="eastAsia" w:asciiTheme="majorEastAsia" w:hAnsiTheme="majorEastAsia" w:eastAsiaTheme="majorEastAsia" w:cstheme="majorEastAsia"/>
          <w:color w:val="auto"/>
          <w:spacing w:val="0"/>
          <w:kern w:val="10"/>
          <w:sz w:val="24"/>
          <w:szCs w:val="24"/>
          <w:highlight w:val="none"/>
        </w:rPr>
        <w:t>涉及安全、质量的突发性事件</w:t>
      </w:r>
      <w:r>
        <w:rPr>
          <w:rFonts w:hint="eastAsia" w:asciiTheme="majorEastAsia" w:hAnsiTheme="majorEastAsia" w:eastAsiaTheme="majorEastAsia" w:cstheme="majorEastAsia"/>
          <w:color w:val="auto"/>
          <w:spacing w:val="0"/>
          <w:kern w:val="10"/>
          <w:sz w:val="24"/>
          <w:szCs w:val="24"/>
          <w:highlight w:val="none"/>
          <w:lang w:eastAsia="zh-CN"/>
        </w:rPr>
        <w:t>，需抢修、抢险的应急工程</w:t>
      </w:r>
      <w:r>
        <w:rPr>
          <w:rFonts w:hint="eastAsia" w:asciiTheme="majorEastAsia" w:hAnsiTheme="majorEastAsia" w:eastAsiaTheme="majorEastAsia" w:cstheme="majorEastAsia"/>
          <w:color w:val="auto"/>
          <w:spacing w:val="0"/>
          <w:kern w:val="10"/>
          <w:sz w:val="24"/>
          <w:szCs w:val="24"/>
          <w:highlight w:val="none"/>
        </w:rPr>
        <w:t>；</w:t>
      </w:r>
    </w:p>
    <w:p w14:paraId="643D9B2E">
      <w:pPr>
        <w:keepNext w:val="0"/>
        <w:keepLines w:val="0"/>
        <w:pageBreakBefore w:val="0"/>
        <w:widowControl w:val="0"/>
        <w:numPr>
          <w:ilvl w:val="0"/>
          <w:numId w:val="11"/>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color w:val="auto"/>
          <w:spacing w:val="0"/>
          <w:kern w:val="10"/>
          <w:sz w:val="24"/>
          <w:szCs w:val="24"/>
          <w:highlight w:val="none"/>
          <w:lang w:val="en-US" w:eastAsia="zh-CN"/>
        </w:rPr>
        <w:t>工程变更不及时实施，可能</w:t>
      </w:r>
      <w:r>
        <w:rPr>
          <w:rFonts w:hint="eastAsia" w:asciiTheme="majorEastAsia" w:hAnsiTheme="majorEastAsia" w:eastAsiaTheme="majorEastAsia" w:cstheme="majorEastAsia"/>
          <w:color w:val="auto"/>
          <w:spacing w:val="0"/>
          <w:kern w:val="10"/>
          <w:sz w:val="24"/>
          <w:szCs w:val="24"/>
          <w:highlight w:val="none"/>
        </w:rPr>
        <w:t>造成现场大</w:t>
      </w:r>
      <w:r>
        <w:rPr>
          <w:rFonts w:hint="eastAsia" w:asciiTheme="majorEastAsia" w:hAnsiTheme="majorEastAsia" w:eastAsiaTheme="majorEastAsia" w:cstheme="majorEastAsia"/>
          <w:color w:val="auto"/>
          <w:spacing w:val="0"/>
          <w:kern w:val="10"/>
          <w:sz w:val="24"/>
          <w:szCs w:val="24"/>
          <w:highlight w:val="none"/>
          <w:lang w:eastAsia="zh-CN"/>
        </w:rPr>
        <w:t>范围</w:t>
      </w:r>
      <w:r>
        <w:rPr>
          <w:rFonts w:hint="eastAsia" w:asciiTheme="majorEastAsia" w:hAnsiTheme="majorEastAsia" w:eastAsiaTheme="majorEastAsia" w:cstheme="majorEastAsia"/>
          <w:color w:val="auto"/>
          <w:spacing w:val="0"/>
          <w:kern w:val="10"/>
          <w:sz w:val="24"/>
          <w:szCs w:val="24"/>
          <w:highlight w:val="none"/>
        </w:rPr>
        <w:t>停工的</w:t>
      </w:r>
      <w:r>
        <w:rPr>
          <w:rFonts w:hint="eastAsia" w:asciiTheme="majorEastAsia" w:hAnsiTheme="majorEastAsia" w:eastAsiaTheme="majorEastAsia" w:cstheme="majorEastAsia"/>
          <w:color w:val="auto"/>
          <w:spacing w:val="0"/>
          <w:kern w:val="10"/>
          <w:sz w:val="24"/>
          <w:szCs w:val="24"/>
          <w:highlight w:val="none"/>
          <w:lang w:val="en-US" w:eastAsia="zh-CN"/>
        </w:rPr>
        <w:t>、</w:t>
      </w:r>
      <w:r>
        <w:rPr>
          <w:rFonts w:hint="eastAsia" w:asciiTheme="majorEastAsia" w:hAnsiTheme="majorEastAsia" w:eastAsiaTheme="majorEastAsia" w:cstheme="majorEastAsia"/>
          <w:color w:val="auto"/>
          <w:spacing w:val="0"/>
          <w:kern w:val="10"/>
          <w:sz w:val="24"/>
          <w:szCs w:val="24"/>
          <w:highlight w:val="none"/>
        </w:rPr>
        <w:t>直接影响施工</w:t>
      </w:r>
      <w:r>
        <w:rPr>
          <w:rFonts w:hint="eastAsia" w:asciiTheme="majorEastAsia" w:hAnsiTheme="majorEastAsia" w:eastAsiaTheme="majorEastAsia" w:cstheme="majorEastAsia"/>
          <w:color w:val="auto"/>
          <w:spacing w:val="0"/>
          <w:kern w:val="10"/>
          <w:sz w:val="24"/>
          <w:szCs w:val="24"/>
          <w:highlight w:val="none"/>
          <w:lang w:val="en-US" w:eastAsia="zh-CN"/>
        </w:rPr>
        <w:t>进度的、导致经济损失的</w:t>
      </w:r>
      <w:r>
        <w:rPr>
          <w:rFonts w:hint="eastAsia" w:asciiTheme="majorEastAsia" w:hAnsiTheme="majorEastAsia" w:eastAsiaTheme="majorEastAsia" w:cstheme="majorEastAsia"/>
          <w:color w:val="auto"/>
          <w:spacing w:val="0"/>
          <w:kern w:val="10"/>
          <w:sz w:val="24"/>
          <w:szCs w:val="24"/>
          <w:highlight w:val="none"/>
          <w:lang w:eastAsia="zh-CN"/>
        </w:rPr>
        <w:t>；</w:t>
      </w:r>
    </w:p>
    <w:p w14:paraId="46EA07D9">
      <w:pPr>
        <w:keepNext w:val="0"/>
        <w:keepLines w:val="0"/>
        <w:pageBreakBefore w:val="0"/>
        <w:widowControl w:val="0"/>
        <w:numPr>
          <w:ilvl w:val="0"/>
          <w:numId w:val="11"/>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color w:val="auto"/>
          <w:spacing w:val="0"/>
          <w:kern w:val="10"/>
          <w:sz w:val="24"/>
          <w:szCs w:val="24"/>
          <w:highlight w:val="none"/>
          <w:lang w:eastAsia="zh-CN"/>
        </w:rPr>
        <w:t>其他不可抗力因素。</w:t>
      </w:r>
    </w:p>
    <w:p w14:paraId="5DEB5A5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eastAsia="zh-CN"/>
        </w:rPr>
      </w:pPr>
      <w:r>
        <w:rPr>
          <w:rFonts w:hint="eastAsia" w:asciiTheme="majorEastAsia" w:hAnsiTheme="majorEastAsia" w:eastAsiaTheme="majorEastAsia" w:cstheme="majorEastAsia"/>
          <w:color w:val="auto"/>
          <w:spacing w:val="0"/>
          <w:kern w:val="10"/>
          <w:sz w:val="24"/>
          <w:szCs w:val="24"/>
          <w:highlight w:val="none"/>
          <w:lang w:val="en-US" w:eastAsia="zh-CN" w:bidi="ar-SA"/>
        </w:rPr>
        <w:t xml:space="preserve">    第六条</w:t>
      </w:r>
      <w:r>
        <w:rPr>
          <w:rFonts w:hint="eastAsia" w:asciiTheme="majorEastAsia" w:hAnsiTheme="majorEastAsia" w:eastAsiaTheme="majorEastAsia" w:cstheme="majorEastAsia"/>
          <w:color w:val="auto"/>
          <w:spacing w:val="0"/>
          <w:kern w:val="10"/>
          <w:sz w:val="24"/>
          <w:szCs w:val="24"/>
          <w:highlight w:val="none"/>
          <w:lang w:val="en-US" w:eastAsia="zh-CN"/>
        </w:rPr>
        <w:t xml:space="preserve">  </w:t>
      </w:r>
      <w:r>
        <w:rPr>
          <w:rFonts w:hint="eastAsia" w:asciiTheme="majorEastAsia" w:hAnsiTheme="majorEastAsia" w:eastAsiaTheme="majorEastAsia" w:cstheme="majorEastAsia"/>
          <w:b w:val="0"/>
          <w:bCs w:val="0"/>
          <w:color w:val="auto"/>
          <w:spacing w:val="0"/>
          <w:kern w:val="10"/>
          <w:sz w:val="24"/>
          <w:szCs w:val="24"/>
          <w:highlight w:val="none"/>
          <w:lang w:eastAsia="zh-CN"/>
        </w:rPr>
        <w:t>本规程中的工程变更不包含招标工程量清单偏差。招标工程量清单偏差是指承包人按照招标时建设单位发布的施工图纸、现行国家计量规范规定的工程量计算规则，计算得到的完成合同工程项目应予计量的工程量与相应的招标工程量清单项目列出的工程量之间出现的量差，其结算原则按照施工招标文件和签订合同中相关约定执行。</w:t>
      </w:r>
    </w:p>
    <w:p w14:paraId="520A292A">
      <w:pPr>
        <w:keepNext w:val="0"/>
        <w:keepLines w:val="0"/>
        <w:pageBreakBefore w:val="0"/>
        <w:widowControl w:val="0"/>
        <w:numPr>
          <w:ilvl w:val="0"/>
          <w:numId w:val="12"/>
        </w:numPr>
        <w:kinsoku/>
        <w:wordWrap/>
        <w:overflowPunct/>
        <w:topLinePunct w:val="0"/>
        <w:autoSpaceDE/>
        <w:autoSpaceDN/>
        <w:bidi w:val="0"/>
        <w:adjustRightInd w:val="0"/>
        <w:snapToGrid w:val="0"/>
        <w:spacing w:line="560" w:lineRule="exact"/>
        <w:ind w:firstLine="482" w:firstLineChars="200"/>
        <w:jc w:val="center"/>
        <w:textAlignment w:val="auto"/>
        <w:outlineLvl w:val="9"/>
        <w:rPr>
          <w:rFonts w:hint="eastAsia" w:asciiTheme="majorEastAsia" w:hAnsiTheme="majorEastAsia" w:eastAsiaTheme="majorEastAsia" w:cstheme="majorEastAsia"/>
          <w:b/>
          <w:bCs/>
          <w:color w:val="auto"/>
          <w:spacing w:val="0"/>
          <w:kern w:val="10"/>
          <w:sz w:val="24"/>
          <w:szCs w:val="24"/>
          <w:highlight w:val="none"/>
        </w:rPr>
      </w:pPr>
      <w:r>
        <w:rPr>
          <w:rFonts w:hint="eastAsia" w:asciiTheme="majorEastAsia" w:hAnsiTheme="majorEastAsia" w:eastAsiaTheme="majorEastAsia" w:cstheme="majorEastAsia"/>
          <w:b/>
          <w:bCs/>
          <w:color w:val="auto"/>
          <w:spacing w:val="0"/>
          <w:kern w:val="10"/>
          <w:sz w:val="24"/>
          <w:szCs w:val="24"/>
          <w:highlight w:val="none"/>
          <w:lang w:val="en-US" w:eastAsia="zh-CN" w:bidi="ar-SA"/>
        </w:rPr>
        <w:t xml:space="preserve"> 工程变更申请审批总体要求</w:t>
      </w:r>
    </w:p>
    <w:p w14:paraId="5154D2F4">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 xml:space="preserve">第七条  </w:t>
      </w:r>
      <w:r>
        <w:rPr>
          <w:rFonts w:hint="eastAsia" w:asciiTheme="majorEastAsia" w:hAnsiTheme="majorEastAsia" w:eastAsiaTheme="majorEastAsia" w:cstheme="majorEastAsia"/>
          <w:color w:val="auto"/>
          <w:spacing w:val="0"/>
          <w:kern w:val="10"/>
          <w:sz w:val="24"/>
          <w:szCs w:val="24"/>
          <w:highlight w:val="none"/>
          <w:lang w:val="en-US" w:eastAsia="zh-CN"/>
        </w:rPr>
        <w:t>除第五条特殊情况外，</w:t>
      </w:r>
      <w:r>
        <w:rPr>
          <w:rFonts w:hint="eastAsia" w:asciiTheme="majorEastAsia" w:hAnsiTheme="majorEastAsia" w:eastAsiaTheme="majorEastAsia" w:cstheme="majorEastAsia"/>
          <w:color w:val="auto"/>
          <w:spacing w:val="0"/>
          <w:kern w:val="10"/>
          <w:sz w:val="24"/>
          <w:szCs w:val="24"/>
          <w:highlight w:val="none"/>
        </w:rPr>
        <w:t>施工单位</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对拟发生的工程变更应当提前收集整理资料，在预计变更实施前至少</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14个工</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作日内向代建中心提出变更申请，存在需认质认价的新增材料设备的变更应当至少在</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材料设备进场前30日历天</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提出变更申请，并应当明确新增材料设备的</w:t>
      </w: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规格参数、品质效果、</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主要技术参数要求，涉及工程造价调整的需另附预算明细。造价咨询单位应当自收到变更申请之日起3个工作日内完成工程变更造价的估算，</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因工程变更新增材料和设备的，应在估算审核意见中明确说明材料设备的估算限额。</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如不涉及造价调整，也应当明确意见，其他审批环节应当各</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在2个工</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作日内完成审核。</w:t>
      </w:r>
    </w:p>
    <w:p w14:paraId="0F3C8DC8">
      <w:pPr>
        <w:pStyle w:val="12"/>
        <w:keepNext w:val="0"/>
        <w:keepLines w:val="0"/>
        <w:pageBreakBefore w:val="0"/>
        <w:kinsoku/>
        <w:wordWrap/>
        <w:overflowPunct/>
        <w:topLinePunct w:val="0"/>
        <w:bidi w:val="0"/>
        <w:spacing w:line="560" w:lineRule="exact"/>
        <w:ind w:firstLine="480" w:firstLineChars="200"/>
        <w:textAlignment w:val="auto"/>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第八条  施工单位申请的变更，原则上必须按单位工程及专业划分，且按变更时间顺序连贯编号，仅同一部位变更同时引起土建装饰及安装工程的可以一并申请。凡属于施工做法变更的，必须一同上报需核减的原设计内容及造价。</w:t>
      </w:r>
    </w:p>
    <w:p w14:paraId="374EBA2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 xml:space="preserve">    第九条  </w:t>
      </w:r>
      <w:r>
        <w:rPr>
          <w:rFonts w:hint="eastAsia" w:asciiTheme="majorEastAsia" w:hAnsiTheme="majorEastAsia" w:eastAsiaTheme="majorEastAsia" w:cstheme="majorEastAsia"/>
          <w:b w:val="0"/>
          <w:bCs w:val="0"/>
          <w:color w:val="auto"/>
          <w:spacing w:val="0"/>
          <w:kern w:val="10"/>
          <w:sz w:val="24"/>
          <w:szCs w:val="24"/>
          <w:highlight w:val="none"/>
          <w:u w:val="none"/>
          <w:lang w:eastAsia="zh-CN"/>
        </w:rPr>
        <w:t>工程变更</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申请</w:t>
      </w:r>
      <w:r>
        <w:rPr>
          <w:rFonts w:hint="eastAsia" w:asciiTheme="majorEastAsia" w:hAnsiTheme="majorEastAsia" w:eastAsiaTheme="majorEastAsia" w:cstheme="majorEastAsia"/>
          <w:b w:val="0"/>
          <w:bCs w:val="0"/>
          <w:color w:val="auto"/>
          <w:spacing w:val="0"/>
          <w:kern w:val="10"/>
          <w:sz w:val="24"/>
          <w:szCs w:val="24"/>
          <w:highlight w:val="none"/>
          <w:u w:val="none"/>
          <w:lang w:eastAsia="zh-CN"/>
        </w:rPr>
        <w:t>资料所述</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内容复杂、篇幅超过一页的，各参建单位仅在最后一页签署意见并加盖骑缝章。申请</w:t>
      </w:r>
      <w:r>
        <w:rPr>
          <w:rFonts w:hint="eastAsia" w:asciiTheme="majorEastAsia" w:hAnsiTheme="majorEastAsia" w:eastAsiaTheme="majorEastAsia" w:cstheme="majorEastAsia"/>
          <w:b w:val="0"/>
          <w:bCs w:val="0"/>
          <w:color w:val="auto"/>
          <w:spacing w:val="0"/>
          <w:kern w:val="10"/>
          <w:sz w:val="24"/>
          <w:szCs w:val="24"/>
          <w:highlight w:val="none"/>
          <w:u w:val="none"/>
          <w:lang w:eastAsia="zh-CN"/>
        </w:rPr>
        <w:t>资料</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应当明确共几页和第几页，附图也应标明页码。</w:t>
      </w:r>
    </w:p>
    <w:p w14:paraId="14B4FFB5">
      <w:pPr>
        <w:pStyle w:val="7"/>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pP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 xml:space="preserve">第十条  </w:t>
      </w:r>
      <w:r>
        <w:rPr>
          <w:rFonts w:hint="eastAsia" w:asciiTheme="majorEastAsia" w:hAnsiTheme="majorEastAsia" w:eastAsiaTheme="majorEastAsia" w:cstheme="majorEastAsia"/>
          <w:b w:val="0"/>
          <w:bCs w:val="0"/>
          <w:color w:val="auto"/>
          <w:spacing w:val="0"/>
          <w:kern w:val="10"/>
          <w:sz w:val="24"/>
          <w:szCs w:val="24"/>
          <w:highlight w:val="none"/>
          <w:lang w:eastAsia="zh-CN"/>
        </w:rPr>
        <w:t>造价咨询单位</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对所有工程变更都应出具工程变更估算审核意见单（附件7），并由工程预决算科进行审核，</w:t>
      </w: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除新增加内容的工程变更外，</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必须综合考虑对工程变更前内容的造价核减。</w:t>
      </w:r>
      <w:r>
        <w:rPr>
          <w:rFonts w:hint="eastAsia" w:asciiTheme="majorEastAsia" w:hAnsiTheme="majorEastAsia" w:eastAsiaTheme="majorEastAsia" w:cstheme="majorEastAsia"/>
          <w:b w:val="0"/>
          <w:bCs w:val="0"/>
          <w:color w:val="auto"/>
          <w:spacing w:val="0"/>
          <w:kern w:val="10"/>
          <w:sz w:val="24"/>
          <w:szCs w:val="24"/>
          <w:highlight w:val="none"/>
          <w:lang w:eastAsia="zh-CN"/>
        </w:rPr>
        <w:t>造</w:t>
      </w: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价咨询单位应当对其所出具的估算意见及结算审核意见的准确性负责。</w:t>
      </w:r>
    </w:p>
    <w:p w14:paraId="1E103334">
      <w:pPr>
        <w:pStyle w:val="12"/>
        <w:keepNext w:val="0"/>
        <w:keepLines w:val="0"/>
        <w:pageBreakBefore w:val="0"/>
        <w:kinsoku/>
        <w:wordWrap/>
        <w:overflowPunct/>
        <w:topLinePunct w:val="0"/>
        <w:bidi w:val="0"/>
        <w:spacing w:line="560" w:lineRule="exact"/>
        <w:ind w:firstLine="480" w:firstLineChars="200"/>
        <w:textAlignment w:val="auto"/>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第十一条  新建、改建、扩建、布展项目单次估算为30万元及以上，或维修项目单次估算为5万元及以上的工程变更，按照“一事一议”的原则，提交主任办公会研究决定。限额以下的</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工程变更，由分管领导组织相关科室</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研究</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，经审批同意后实施。</w:t>
      </w:r>
    </w:p>
    <w:p w14:paraId="1B532741">
      <w:pPr>
        <w:pStyle w:val="12"/>
        <w:keepNext w:val="0"/>
        <w:keepLines w:val="0"/>
        <w:pageBreakBefore w:val="0"/>
        <w:kinsoku/>
        <w:wordWrap/>
        <w:overflowPunct/>
        <w:topLinePunct w:val="0"/>
        <w:bidi w:val="0"/>
        <w:spacing w:line="560" w:lineRule="exact"/>
        <w:ind w:firstLine="480" w:firstLineChars="200"/>
        <w:textAlignment w:val="auto"/>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pP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第十二条  需提交主任办公会决议的工程变更，由项目组长负责整理变更申请资料及会议议题，相关业务科室应当明确各自审核意见，并配合完善议题；主任办公会议因特殊情况无法及时研究工程变更事宜时，由工程变更所属分管领导研究并向主要领导汇报，主要领导同意后，先组织实施工程变更，并在下次主任办公会议上详细说明工程变更情况；不需提交主任办公会议的工程变更，由项目组负责完成相关业务科室和分管领导的审签。</w:t>
      </w:r>
    </w:p>
    <w:p w14:paraId="79E6EBD2">
      <w:pPr>
        <w:pStyle w:val="12"/>
        <w:keepNext w:val="0"/>
        <w:keepLines w:val="0"/>
        <w:pageBreakBefore w:val="0"/>
        <w:kinsoku/>
        <w:wordWrap/>
        <w:overflowPunct/>
        <w:topLinePunct w:val="0"/>
        <w:bidi w:val="0"/>
        <w:spacing w:line="560" w:lineRule="exact"/>
        <w:ind w:firstLine="480" w:firstLineChars="200"/>
        <w:textAlignment w:val="auto"/>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pP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第十三条  工程变更经</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审批同意后</w:t>
      </w: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w:t>
      </w:r>
      <w:r>
        <w:rPr>
          <w:rFonts w:hint="eastAsia" w:asciiTheme="majorEastAsia" w:hAnsiTheme="majorEastAsia" w:eastAsiaTheme="majorEastAsia" w:cstheme="majorEastAsia"/>
          <w:b w:val="0"/>
          <w:bCs w:val="0"/>
          <w:color w:val="auto"/>
          <w:spacing w:val="0"/>
          <w:kern w:val="10"/>
          <w:sz w:val="24"/>
          <w:szCs w:val="24"/>
          <w:highlight w:val="none"/>
          <w:u w:val="none"/>
          <w:lang w:eastAsia="zh-CN"/>
        </w:rPr>
        <w:t>项目组长应当</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在3个工作日内履行工程变更资料中建设单位的盖章工作，并</w:t>
      </w:r>
      <w:r>
        <w:rPr>
          <w:rFonts w:hint="eastAsia" w:asciiTheme="majorEastAsia" w:hAnsiTheme="majorEastAsia" w:eastAsiaTheme="majorEastAsia" w:cstheme="majorEastAsia"/>
          <w:b w:val="0"/>
          <w:bCs w:val="0"/>
          <w:color w:val="auto"/>
          <w:spacing w:val="0"/>
          <w:kern w:val="10"/>
          <w:sz w:val="24"/>
          <w:szCs w:val="24"/>
          <w:highlight w:val="none"/>
          <w:u w:val="none"/>
          <w:lang w:eastAsia="zh-CN"/>
        </w:rPr>
        <w:t>及时通知监理单位和施工单位开始实施变更。</w:t>
      </w:r>
    </w:p>
    <w:p w14:paraId="2495516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center"/>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pPr>
      <w:r>
        <w:rPr>
          <w:rFonts w:hint="eastAsia" w:asciiTheme="majorEastAsia" w:hAnsiTheme="majorEastAsia" w:eastAsiaTheme="majorEastAsia" w:cstheme="majorEastAsia"/>
          <w:b/>
          <w:bCs/>
          <w:color w:val="auto"/>
          <w:spacing w:val="0"/>
          <w:kern w:val="10"/>
          <w:sz w:val="24"/>
          <w:szCs w:val="24"/>
          <w:highlight w:val="none"/>
          <w:lang w:val="en-US" w:eastAsia="zh-CN" w:bidi="ar-SA"/>
        </w:rPr>
        <w:t>第三章  设计变更申请审批流程</w:t>
      </w:r>
    </w:p>
    <w:p w14:paraId="5D7BC3C1">
      <w:pPr>
        <w:pStyle w:val="12"/>
        <w:keepNext w:val="0"/>
        <w:keepLines w:val="0"/>
        <w:pageBreakBefore w:val="0"/>
        <w:kinsoku/>
        <w:wordWrap/>
        <w:overflowPunct/>
        <w:topLinePunct w:val="0"/>
        <w:bidi w:val="0"/>
        <w:spacing w:line="560" w:lineRule="exact"/>
        <w:ind w:firstLine="480" w:firstLineChars="200"/>
        <w:textAlignment w:val="auto"/>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pPr>
      <w:r>
        <w:rPr>
          <w:rFonts w:hint="eastAsia" w:asciiTheme="majorEastAsia" w:hAnsiTheme="majorEastAsia" w:eastAsiaTheme="majorEastAsia" w:cstheme="majorEastAsia"/>
          <w:color w:val="auto"/>
          <w:spacing w:val="0"/>
          <w:kern w:val="10"/>
          <w:sz w:val="24"/>
          <w:szCs w:val="24"/>
          <w:highlight w:val="none"/>
          <w:lang w:eastAsia="zh-CN"/>
        </w:rPr>
        <w:t>第十</w:t>
      </w:r>
      <w:r>
        <w:rPr>
          <w:rFonts w:hint="eastAsia" w:asciiTheme="majorEastAsia" w:hAnsiTheme="majorEastAsia" w:eastAsiaTheme="majorEastAsia" w:cstheme="majorEastAsia"/>
          <w:color w:val="auto"/>
          <w:spacing w:val="0"/>
          <w:kern w:val="10"/>
          <w:sz w:val="24"/>
          <w:szCs w:val="24"/>
          <w:highlight w:val="none"/>
          <w:lang w:val="en-US" w:eastAsia="zh-CN"/>
        </w:rPr>
        <w:t>四</w:t>
      </w:r>
      <w:r>
        <w:rPr>
          <w:rFonts w:hint="eastAsia" w:asciiTheme="majorEastAsia" w:hAnsiTheme="majorEastAsia" w:eastAsiaTheme="majorEastAsia" w:cstheme="majorEastAsia"/>
          <w:color w:val="auto"/>
          <w:spacing w:val="0"/>
          <w:kern w:val="10"/>
          <w:sz w:val="24"/>
          <w:szCs w:val="24"/>
          <w:highlight w:val="none"/>
          <w:lang w:eastAsia="zh-CN"/>
        </w:rPr>
        <w:t>条</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 xml:space="preserve">  本规程所称</w:t>
      </w:r>
      <w:r>
        <w:rPr>
          <w:rFonts w:hint="eastAsia" w:asciiTheme="majorEastAsia" w:hAnsiTheme="majorEastAsia" w:eastAsiaTheme="majorEastAsia" w:cstheme="majorEastAsia"/>
          <w:b w:val="0"/>
          <w:bCs w:val="0"/>
          <w:color w:val="auto"/>
          <w:spacing w:val="0"/>
          <w:kern w:val="10"/>
          <w:sz w:val="24"/>
          <w:szCs w:val="24"/>
          <w:highlight w:val="none"/>
          <w:lang w:eastAsia="zh-CN"/>
        </w:rPr>
        <w:t>设计变更</w:t>
      </w:r>
      <w:r>
        <w:rPr>
          <w:rFonts w:hint="eastAsia" w:asciiTheme="majorEastAsia" w:hAnsiTheme="majorEastAsia" w:eastAsiaTheme="majorEastAsia" w:cstheme="majorEastAsia"/>
          <w:color w:val="auto"/>
          <w:spacing w:val="0"/>
          <w:kern w:val="10"/>
          <w:sz w:val="24"/>
          <w:szCs w:val="24"/>
          <w:highlight w:val="none"/>
        </w:rPr>
        <w:t>是指</w:t>
      </w:r>
      <w:r>
        <w:rPr>
          <w:rFonts w:hint="eastAsia" w:asciiTheme="majorEastAsia" w:hAnsiTheme="majorEastAsia" w:eastAsiaTheme="majorEastAsia" w:cstheme="majorEastAsia"/>
          <w:color w:val="auto"/>
          <w:spacing w:val="0"/>
          <w:kern w:val="10"/>
          <w:sz w:val="24"/>
          <w:szCs w:val="24"/>
          <w:highlight w:val="none"/>
          <w:lang w:eastAsia="zh-CN"/>
        </w:rPr>
        <w:t>在项目实施过程中，由于设计错误、功能需求变化、现行行业规范及政策变化等原因，导致原有设计图纸或技术要求需要进行的调整，由设计单位出具的设计变更文件。</w:t>
      </w:r>
    </w:p>
    <w:p w14:paraId="66573F17">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第十五条  设计单位出具设计变更，应当明确变更理由及具体变更内容，负责人签字并加盖设计单位“设计出图专用章”，同时按照本规程要求附</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设计变更审批单（附件2</w:t>
      </w:r>
      <w:r>
        <w:rPr>
          <w:rFonts w:hint="eastAsia" w:asciiTheme="majorEastAsia" w:hAnsiTheme="majorEastAsia" w:eastAsiaTheme="majorEastAsia" w:cstheme="majorEastAsia"/>
          <w:b w:val="0"/>
          <w:bCs w:val="0"/>
          <w:color w:val="auto"/>
          <w:spacing w:val="0"/>
          <w:kern w:val="10"/>
          <w:sz w:val="24"/>
          <w:szCs w:val="24"/>
          <w:highlight w:val="none"/>
          <w:lang w:eastAsia="zh-CN"/>
        </w:rPr>
        <w:t>），</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报送</w:t>
      </w:r>
      <w:r>
        <w:rPr>
          <w:rFonts w:hint="eastAsia" w:asciiTheme="majorEastAsia" w:hAnsiTheme="majorEastAsia" w:eastAsiaTheme="majorEastAsia" w:cstheme="majorEastAsia"/>
          <w:b w:val="0"/>
          <w:bCs w:val="0"/>
          <w:color w:val="auto"/>
          <w:spacing w:val="0"/>
          <w:kern w:val="10"/>
          <w:sz w:val="24"/>
          <w:szCs w:val="24"/>
          <w:highlight w:val="none"/>
          <w:lang w:eastAsia="zh-CN"/>
        </w:rPr>
        <w:t>代建中心</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工程技术科进行审核及书面确认后</w:t>
      </w:r>
      <w:r>
        <w:rPr>
          <w:rFonts w:hint="eastAsia" w:asciiTheme="majorEastAsia" w:hAnsiTheme="majorEastAsia" w:eastAsiaTheme="majorEastAsia" w:cstheme="majorEastAsia"/>
          <w:b w:val="0"/>
          <w:bCs w:val="0"/>
          <w:color w:val="auto"/>
          <w:spacing w:val="0"/>
          <w:kern w:val="10"/>
          <w:sz w:val="24"/>
          <w:szCs w:val="24"/>
          <w:highlight w:val="none"/>
          <w:lang w:eastAsia="zh-CN"/>
        </w:rPr>
        <w:t>，工程预决算科安排造价咨询单位进行估算后交项目组长。项目组</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负责完成工程技术科和</w:t>
      </w:r>
      <w:r>
        <w:rPr>
          <w:rFonts w:hint="eastAsia" w:asciiTheme="majorEastAsia" w:hAnsiTheme="majorEastAsia" w:eastAsiaTheme="majorEastAsia" w:cstheme="majorEastAsia"/>
          <w:b w:val="0"/>
          <w:bCs w:val="0"/>
          <w:color w:val="auto"/>
          <w:spacing w:val="0"/>
          <w:kern w:val="10"/>
          <w:sz w:val="24"/>
          <w:szCs w:val="24"/>
          <w:highlight w:val="none"/>
          <w:lang w:eastAsia="zh-CN"/>
        </w:rPr>
        <w:t>分管领导的审签，并及时组织</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监理单位和施工单位实施工程变更</w:t>
      </w:r>
      <w:r>
        <w:rPr>
          <w:rFonts w:hint="eastAsia" w:asciiTheme="majorEastAsia" w:hAnsiTheme="majorEastAsia" w:eastAsiaTheme="majorEastAsia" w:cstheme="majorEastAsia"/>
          <w:b w:val="0"/>
          <w:bCs w:val="0"/>
          <w:color w:val="auto"/>
          <w:spacing w:val="0"/>
          <w:kern w:val="10"/>
          <w:sz w:val="24"/>
          <w:szCs w:val="24"/>
          <w:highlight w:val="none"/>
          <w:lang w:eastAsia="zh-CN"/>
        </w:rPr>
        <w:t>。</w:t>
      </w:r>
    </w:p>
    <w:p w14:paraId="3324D139">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第十六条  施工单位应当在收到设计变更单之日起</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2</w:t>
      </w:r>
      <w:r>
        <w:rPr>
          <w:rFonts w:hint="eastAsia" w:asciiTheme="majorEastAsia" w:hAnsiTheme="majorEastAsia" w:eastAsiaTheme="majorEastAsia" w:cstheme="majorEastAsia"/>
          <w:b w:val="0"/>
          <w:bCs w:val="0"/>
          <w:color w:val="auto"/>
          <w:spacing w:val="0"/>
          <w:kern w:val="10"/>
          <w:sz w:val="24"/>
          <w:szCs w:val="24"/>
          <w:highlight w:val="none"/>
          <w:lang w:eastAsia="zh-CN"/>
        </w:rPr>
        <w:t>个工作日内，针</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对因设计变更</w:t>
      </w:r>
      <w:r>
        <w:rPr>
          <w:rFonts w:hint="eastAsia" w:asciiTheme="majorEastAsia" w:hAnsiTheme="majorEastAsia" w:eastAsiaTheme="majorEastAsia" w:cstheme="majorEastAsia"/>
          <w:b w:val="0"/>
          <w:bCs w:val="0"/>
          <w:color w:val="auto"/>
          <w:spacing w:val="0"/>
          <w:kern w:val="10"/>
          <w:sz w:val="24"/>
          <w:szCs w:val="24"/>
          <w:highlight w:val="none"/>
          <w:lang w:eastAsia="zh-CN"/>
        </w:rPr>
        <w:t>可能引发的返工或其他造价调整，以及对施工工期的影响</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等</w:t>
      </w:r>
      <w:r>
        <w:rPr>
          <w:rFonts w:hint="eastAsia" w:asciiTheme="majorEastAsia" w:hAnsiTheme="majorEastAsia" w:eastAsiaTheme="majorEastAsia" w:cstheme="majorEastAsia"/>
          <w:b w:val="0"/>
          <w:bCs w:val="0"/>
          <w:color w:val="auto"/>
          <w:spacing w:val="0"/>
          <w:kern w:val="10"/>
          <w:sz w:val="24"/>
          <w:szCs w:val="24"/>
          <w:highlight w:val="none"/>
          <w:lang w:eastAsia="zh-CN"/>
        </w:rPr>
        <w:t>事宜</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，按照</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现场签证</w:t>
      </w:r>
      <w:r>
        <w:rPr>
          <w:rFonts w:hint="eastAsia" w:asciiTheme="majorEastAsia" w:hAnsiTheme="majorEastAsia" w:eastAsiaTheme="majorEastAsia" w:cstheme="majorEastAsia"/>
          <w:b w:val="0"/>
          <w:bCs w:val="0"/>
          <w:color w:val="auto"/>
          <w:spacing w:val="0"/>
          <w:kern w:val="10"/>
          <w:sz w:val="24"/>
          <w:szCs w:val="24"/>
          <w:highlight w:val="none"/>
          <w:lang w:eastAsia="zh-CN"/>
        </w:rPr>
        <w:t>的申请审批流程</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办理。</w:t>
      </w:r>
      <w:r>
        <w:rPr>
          <w:rFonts w:hint="eastAsia" w:asciiTheme="majorEastAsia" w:hAnsiTheme="majorEastAsia" w:eastAsiaTheme="majorEastAsia" w:cstheme="majorEastAsia"/>
          <w:b w:val="0"/>
          <w:bCs w:val="0"/>
          <w:color w:val="auto"/>
          <w:spacing w:val="0"/>
          <w:kern w:val="10"/>
          <w:sz w:val="24"/>
          <w:szCs w:val="24"/>
          <w:highlight w:val="none"/>
          <w:lang w:eastAsia="zh-CN"/>
        </w:rPr>
        <w:t>逾期报送视为该设计变更没有对现场施工造成其他造价调整及工期的影响，竣工结算仅以代建中心发出的设计变更为依据。</w:t>
      </w:r>
    </w:p>
    <w:p w14:paraId="10F07A1B">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eastAsia="zh-CN"/>
        </w:rPr>
      </w:pP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 xml:space="preserve">第十七条  </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本规程所称</w:t>
      </w:r>
      <w:r>
        <w:rPr>
          <w:rFonts w:hint="eastAsia" w:asciiTheme="majorEastAsia" w:hAnsiTheme="majorEastAsia" w:eastAsiaTheme="majorEastAsia" w:cstheme="majorEastAsia"/>
          <w:b w:val="0"/>
          <w:bCs w:val="0"/>
          <w:color w:val="auto"/>
          <w:spacing w:val="0"/>
          <w:kern w:val="10"/>
          <w:sz w:val="24"/>
          <w:szCs w:val="24"/>
          <w:highlight w:val="none"/>
          <w:lang w:eastAsia="zh-CN"/>
        </w:rPr>
        <w:t>图纸会审也属设计变更范畴，是指建设单位、监理单位、设计单位、施工单位在工程施工前对施工图纸进行全面熟悉和细致的审查后，针对图纸存在问题及答复的整理</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和</w:t>
      </w:r>
      <w:r>
        <w:rPr>
          <w:rFonts w:hint="eastAsia" w:asciiTheme="majorEastAsia" w:hAnsiTheme="majorEastAsia" w:eastAsiaTheme="majorEastAsia" w:cstheme="majorEastAsia"/>
          <w:b w:val="0"/>
          <w:bCs w:val="0"/>
          <w:color w:val="auto"/>
          <w:spacing w:val="0"/>
          <w:kern w:val="10"/>
          <w:sz w:val="24"/>
          <w:szCs w:val="24"/>
          <w:highlight w:val="none"/>
          <w:lang w:eastAsia="zh-CN"/>
        </w:rPr>
        <w:t>确认。</w:t>
      </w:r>
    </w:p>
    <w:p w14:paraId="4D1AD5F2">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 xml:space="preserve">第十八条  </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图纸会审会议由代建中心工程技术科在项目开工后30日内组织，施工单位应当自图纸会审会议结束之日起14个工作日内汇总整理书面资料（附件3），涉及工程造价调整的应附预算明细。经监理单位和设计单位复核及书面确认后报送工程技术科进行审核及书面确认，工程预决算科安排造价咨询单位进行估算后交项目组长审核。项目组负责完成工程技术科和分管领导的审签。</w:t>
      </w:r>
    </w:p>
    <w:p w14:paraId="4E9112DD">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center"/>
        <w:textAlignment w:val="auto"/>
        <w:outlineLvl w:val="9"/>
        <w:rPr>
          <w:rFonts w:hint="eastAsia" w:asciiTheme="majorEastAsia" w:hAnsiTheme="majorEastAsia" w:eastAsiaTheme="majorEastAsia" w:cstheme="majorEastAsia"/>
          <w:b/>
          <w:bCs/>
          <w:color w:val="auto"/>
          <w:spacing w:val="0"/>
          <w:sz w:val="24"/>
          <w:szCs w:val="24"/>
          <w:highlight w:val="none"/>
          <w:lang w:val="en-US" w:eastAsia="zh-CN"/>
        </w:rPr>
      </w:pPr>
      <w:r>
        <w:rPr>
          <w:rFonts w:hint="eastAsia" w:asciiTheme="majorEastAsia" w:hAnsiTheme="majorEastAsia" w:eastAsiaTheme="majorEastAsia" w:cstheme="majorEastAsia"/>
          <w:b/>
          <w:bCs/>
          <w:color w:val="auto"/>
          <w:spacing w:val="0"/>
          <w:kern w:val="10"/>
          <w:sz w:val="24"/>
          <w:szCs w:val="24"/>
          <w:highlight w:val="none"/>
          <w:lang w:val="en-US" w:eastAsia="zh-CN" w:bidi="ar-SA"/>
        </w:rPr>
        <w:t>第四章  工程洽商申请审批流程</w:t>
      </w:r>
    </w:p>
    <w:p w14:paraId="6433319B">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 xml:space="preserve">第十九条  </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本规程所称工程洽商是指在确保结构安全、使用功能及工程质量的前提下，各参建单位提出需解决与图纸有关的技术问题，建设单位组织设计单位、监理单位、施工单位共同讨论确定的洽商记录</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主要包括以下几种情况：</w:t>
      </w:r>
    </w:p>
    <w:p w14:paraId="69A4F73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（一）原设计</w:t>
      </w:r>
      <w:r>
        <w:rPr>
          <w:rFonts w:hint="eastAsia" w:asciiTheme="majorEastAsia" w:hAnsiTheme="majorEastAsia" w:eastAsiaTheme="majorEastAsia" w:cstheme="majorEastAsia"/>
          <w:color w:val="auto"/>
          <w:spacing w:val="0"/>
          <w:kern w:val="10"/>
          <w:sz w:val="24"/>
          <w:szCs w:val="24"/>
          <w:highlight w:val="none"/>
          <w:lang w:eastAsia="zh-CN"/>
        </w:rPr>
        <w:t>与自然条件（含地质、水文、地形等）不符，或因勘察资料不详尽，导致设计不准确、甚至存在重大质量和安全隐患，需对</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地基基础进行加固、处理或修改，确保地基的稳定性和安全性；</w:t>
      </w:r>
    </w:p>
    <w:p w14:paraId="000C707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（二）在不降低工程质量和使用功能的前提下，能有效减少工程数量，降低施工难度、工程成本，加快施工进度而进行的设计优化；</w:t>
      </w:r>
    </w:p>
    <w:p w14:paraId="74E7390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（三）对原设计中做法矛盾或无法实施的修改建议，或需施工单位对合同内的材料暂估价和专业工程暂估项进行深化的设计，经设计单位确认后，确保设计变更符合技术规范和安全要求；</w:t>
      </w:r>
    </w:p>
    <w:p w14:paraId="33527EF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（四）原设计中的主要工程材料和设备技术参数、性能指标等变更，确保材料和设备的质量、性能满足设计要求。</w:t>
      </w:r>
    </w:p>
    <w:p w14:paraId="0A6F730A">
      <w:pPr>
        <w:pStyle w:val="7"/>
        <w:keepNext w:val="0"/>
        <w:keepLines w:val="0"/>
        <w:pageBreakBefore w:val="0"/>
        <w:kinsoku/>
        <w:wordWrap/>
        <w:overflowPunct/>
        <w:topLinePunct w:val="0"/>
        <w:bidi w:val="0"/>
        <w:spacing w:line="560" w:lineRule="exact"/>
        <w:ind w:left="0" w:leftChars="0" w:firstLine="480" w:firstLineChars="200"/>
        <w:textAlignment w:val="auto"/>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（五）符合工程洽商的其他情况。</w:t>
      </w:r>
    </w:p>
    <w:p w14:paraId="3B71AB32">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 xml:space="preserve">第二十条  </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施工单位应当按照工程洽商（附件4）提出申请，并附以相关佐证材料及预算明细，报送监理单位和设计单位同意后提交代建中心工程技术科</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审核及书面确认</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w:t>
      </w:r>
      <w:r>
        <w:rPr>
          <w:rFonts w:hint="eastAsia" w:asciiTheme="majorEastAsia" w:hAnsiTheme="majorEastAsia" w:eastAsiaTheme="majorEastAsia" w:cstheme="majorEastAsia"/>
          <w:b w:val="0"/>
          <w:bCs w:val="0"/>
          <w:color w:val="auto"/>
          <w:spacing w:val="0"/>
          <w:kern w:val="10"/>
          <w:sz w:val="24"/>
          <w:szCs w:val="24"/>
          <w:highlight w:val="none"/>
          <w:lang w:eastAsia="zh-CN"/>
        </w:rPr>
        <w:t>工程预决算科安排造价咨询单位进行估算后交项目组长审核，项目组负责完成</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工程技术科和分管领导的审签</w:t>
      </w:r>
      <w:r>
        <w:rPr>
          <w:rFonts w:hint="eastAsia" w:asciiTheme="majorEastAsia" w:hAnsiTheme="majorEastAsia" w:eastAsiaTheme="majorEastAsia" w:cstheme="majorEastAsia"/>
          <w:b w:val="0"/>
          <w:bCs w:val="0"/>
          <w:color w:val="auto"/>
          <w:spacing w:val="0"/>
          <w:kern w:val="10"/>
          <w:sz w:val="24"/>
          <w:szCs w:val="24"/>
          <w:highlight w:val="none"/>
          <w:lang w:eastAsia="zh-CN"/>
        </w:rPr>
        <w:t>。</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 xml:space="preserve"> </w:t>
      </w:r>
    </w:p>
    <w:p w14:paraId="08BFBCA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center"/>
        <w:textAlignment w:val="auto"/>
        <w:outlineLvl w:val="9"/>
        <w:rPr>
          <w:rFonts w:hint="eastAsia" w:asciiTheme="majorEastAsia" w:hAnsiTheme="majorEastAsia" w:eastAsiaTheme="majorEastAsia" w:cstheme="majorEastAsia"/>
          <w:b/>
          <w:bCs/>
          <w:color w:val="auto"/>
          <w:spacing w:val="0"/>
          <w:sz w:val="24"/>
          <w:szCs w:val="24"/>
          <w:highlight w:val="none"/>
          <w:lang w:val="en-US" w:eastAsia="zh-CN"/>
        </w:rPr>
      </w:pPr>
      <w:r>
        <w:rPr>
          <w:rFonts w:hint="eastAsia" w:asciiTheme="majorEastAsia" w:hAnsiTheme="majorEastAsia" w:eastAsiaTheme="majorEastAsia" w:cstheme="majorEastAsia"/>
          <w:b/>
          <w:bCs/>
          <w:color w:val="auto"/>
          <w:spacing w:val="0"/>
          <w:kern w:val="10"/>
          <w:sz w:val="24"/>
          <w:szCs w:val="24"/>
          <w:highlight w:val="none"/>
          <w:lang w:val="en-US" w:eastAsia="zh-CN" w:bidi="ar-SA"/>
        </w:rPr>
        <w:t>第五章  现场签证申请审批流程</w:t>
      </w:r>
    </w:p>
    <w:p w14:paraId="362B3FC1">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 xml:space="preserve">第二十一条  </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本规程所称现场签证是指在项目实施过程中，施工单位对与设计图纸无关，或因施工现场情况变化等引起的费用增减及工期延长等内容所作的签认证明。‌现场签证主要包括以下几种情况：</w:t>
      </w:r>
    </w:p>
    <w:p w14:paraId="3165F80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（一）对施工现场发生与主体工程施工无关的‌零星用工的确认，如定额费用以外的搬运、拆除用工等；</w:t>
      </w:r>
    </w:p>
    <w:p w14:paraId="5B1DDEC3">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（二）对施工过程中需要增补的临时措施项目的确认；</w:t>
      </w:r>
    </w:p>
    <w:p w14:paraId="6DF89EA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（三）对与结算有关的隐蔽工程的确认；</w:t>
      </w:r>
    </w:p>
    <w:p w14:paraId="2C7CF66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（四）对‌窝工、非施工单位原因停工造成的人员、机械经济损失的确认，如非施工单位原因引起施工现场一周内累计长达8小时及以上的停水、停电或因设计变更等导致的损失；</w:t>
      </w:r>
    </w:p>
    <w:p w14:paraId="60357A83">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（五）对施工过程中发生的其他特殊情况或费用的确认。</w:t>
      </w:r>
    </w:p>
    <w:p w14:paraId="1733401D">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 xml:space="preserve">第二十二条  </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施工单位应当按照现场签证（附件5）提出签证内容，并附以相关佐证材料及预算明细，报监理单位审核，</w:t>
      </w:r>
      <w:r>
        <w:rPr>
          <w:rFonts w:hint="eastAsia" w:asciiTheme="majorEastAsia" w:hAnsiTheme="majorEastAsia" w:eastAsiaTheme="majorEastAsia" w:cstheme="majorEastAsia"/>
          <w:b w:val="0"/>
          <w:bCs w:val="0"/>
          <w:color w:val="auto"/>
          <w:spacing w:val="0"/>
          <w:kern w:val="10"/>
          <w:sz w:val="24"/>
          <w:szCs w:val="24"/>
          <w:highlight w:val="none"/>
          <w:lang w:eastAsia="zh-CN"/>
        </w:rPr>
        <w:t>工程预决算科安排造价咨询单位进行估算后交项目组长审核，项目组负责</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完成工程管理科或设备安装与维护管理科和分管领导的审签</w:t>
      </w:r>
      <w:r>
        <w:rPr>
          <w:rFonts w:hint="eastAsia" w:asciiTheme="majorEastAsia" w:hAnsiTheme="majorEastAsia" w:eastAsiaTheme="majorEastAsia" w:cstheme="majorEastAsia"/>
          <w:b w:val="0"/>
          <w:bCs w:val="0"/>
          <w:color w:val="auto"/>
          <w:spacing w:val="0"/>
          <w:kern w:val="10"/>
          <w:sz w:val="24"/>
          <w:szCs w:val="24"/>
          <w:highlight w:val="none"/>
          <w:lang w:eastAsia="zh-CN"/>
        </w:rPr>
        <w:t>。</w:t>
      </w:r>
    </w:p>
    <w:p w14:paraId="7B817D48">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 xml:space="preserve"> 第二十三条  </w:t>
      </w:r>
      <w:r>
        <w:rPr>
          <w:rFonts w:hint="eastAsia" w:asciiTheme="majorEastAsia" w:hAnsiTheme="majorEastAsia" w:eastAsiaTheme="majorEastAsia" w:cstheme="majorEastAsia"/>
          <w:b w:val="0"/>
          <w:bCs w:val="0"/>
          <w:color w:val="auto"/>
          <w:spacing w:val="0"/>
          <w:kern w:val="10"/>
          <w:sz w:val="24"/>
          <w:szCs w:val="24"/>
          <w:highlight w:val="none"/>
        </w:rPr>
        <w:t>涉及土建装饰工程</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相关内容以及由此引起的安装专业的现场</w:t>
      </w:r>
      <w:r>
        <w:rPr>
          <w:rFonts w:hint="eastAsia" w:asciiTheme="majorEastAsia" w:hAnsiTheme="majorEastAsia" w:eastAsiaTheme="majorEastAsia" w:cstheme="majorEastAsia"/>
          <w:b w:val="0"/>
          <w:bCs w:val="0"/>
          <w:color w:val="auto"/>
          <w:spacing w:val="0"/>
          <w:kern w:val="10"/>
          <w:sz w:val="24"/>
          <w:szCs w:val="24"/>
          <w:highlight w:val="none"/>
        </w:rPr>
        <w:t>签证</w:t>
      </w:r>
      <w:r>
        <w:rPr>
          <w:rFonts w:hint="eastAsia" w:asciiTheme="majorEastAsia" w:hAnsiTheme="majorEastAsia" w:eastAsiaTheme="majorEastAsia" w:cstheme="majorEastAsia"/>
          <w:b w:val="0"/>
          <w:bCs w:val="0"/>
          <w:color w:val="auto"/>
          <w:spacing w:val="0"/>
          <w:kern w:val="10"/>
          <w:sz w:val="24"/>
          <w:szCs w:val="24"/>
          <w:highlight w:val="none"/>
          <w:lang w:eastAsia="zh-CN"/>
        </w:rPr>
        <w:t>，</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全部</w:t>
      </w:r>
      <w:r>
        <w:rPr>
          <w:rFonts w:hint="eastAsia" w:asciiTheme="majorEastAsia" w:hAnsiTheme="majorEastAsia" w:eastAsiaTheme="majorEastAsia" w:cstheme="majorEastAsia"/>
          <w:b w:val="0"/>
          <w:bCs w:val="0"/>
          <w:color w:val="auto"/>
          <w:spacing w:val="0"/>
          <w:kern w:val="10"/>
          <w:sz w:val="24"/>
          <w:szCs w:val="24"/>
          <w:highlight w:val="none"/>
          <w:lang w:eastAsia="zh-CN"/>
        </w:rPr>
        <w:t>由</w:t>
      </w:r>
      <w:r>
        <w:rPr>
          <w:rFonts w:hint="eastAsia" w:asciiTheme="majorEastAsia" w:hAnsiTheme="majorEastAsia" w:eastAsiaTheme="majorEastAsia" w:cstheme="majorEastAsia"/>
          <w:b w:val="0"/>
          <w:bCs w:val="0"/>
          <w:color w:val="auto"/>
          <w:spacing w:val="0"/>
          <w:kern w:val="10"/>
          <w:sz w:val="24"/>
          <w:szCs w:val="24"/>
          <w:highlight w:val="none"/>
        </w:rPr>
        <w:t>工程管理科</w:t>
      </w:r>
      <w:r>
        <w:rPr>
          <w:rFonts w:hint="eastAsia" w:asciiTheme="majorEastAsia" w:hAnsiTheme="majorEastAsia" w:eastAsiaTheme="majorEastAsia" w:cstheme="majorEastAsia"/>
          <w:b w:val="0"/>
          <w:bCs w:val="0"/>
          <w:color w:val="auto"/>
          <w:spacing w:val="0"/>
          <w:kern w:val="10"/>
          <w:sz w:val="24"/>
          <w:szCs w:val="24"/>
          <w:highlight w:val="none"/>
          <w:lang w:eastAsia="zh-CN"/>
        </w:rPr>
        <w:t>审签；</w:t>
      </w:r>
      <w:r>
        <w:rPr>
          <w:rFonts w:hint="eastAsia" w:asciiTheme="majorEastAsia" w:hAnsiTheme="majorEastAsia" w:eastAsiaTheme="majorEastAsia" w:cstheme="majorEastAsia"/>
          <w:b w:val="0"/>
          <w:bCs w:val="0"/>
          <w:color w:val="auto"/>
          <w:spacing w:val="0"/>
          <w:kern w:val="10"/>
          <w:sz w:val="24"/>
          <w:szCs w:val="24"/>
          <w:highlight w:val="none"/>
        </w:rPr>
        <w:t>涉及安装工程</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相关内容以及由此引起的土建专业的现场</w:t>
      </w:r>
      <w:r>
        <w:rPr>
          <w:rFonts w:hint="eastAsia" w:asciiTheme="majorEastAsia" w:hAnsiTheme="majorEastAsia" w:eastAsiaTheme="majorEastAsia" w:cstheme="majorEastAsia"/>
          <w:b w:val="0"/>
          <w:bCs w:val="0"/>
          <w:color w:val="auto"/>
          <w:spacing w:val="0"/>
          <w:kern w:val="10"/>
          <w:sz w:val="24"/>
          <w:szCs w:val="24"/>
          <w:highlight w:val="none"/>
        </w:rPr>
        <w:t>签证</w:t>
      </w:r>
      <w:r>
        <w:rPr>
          <w:rFonts w:hint="eastAsia" w:asciiTheme="majorEastAsia" w:hAnsiTheme="majorEastAsia" w:eastAsiaTheme="majorEastAsia" w:cstheme="majorEastAsia"/>
          <w:b w:val="0"/>
          <w:bCs w:val="0"/>
          <w:color w:val="auto"/>
          <w:spacing w:val="0"/>
          <w:kern w:val="10"/>
          <w:sz w:val="24"/>
          <w:szCs w:val="24"/>
          <w:highlight w:val="none"/>
          <w:lang w:eastAsia="zh-CN"/>
        </w:rPr>
        <w:t>，</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全部</w:t>
      </w:r>
      <w:r>
        <w:rPr>
          <w:rFonts w:hint="eastAsia" w:asciiTheme="majorEastAsia" w:hAnsiTheme="majorEastAsia" w:eastAsiaTheme="majorEastAsia" w:cstheme="majorEastAsia"/>
          <w:b w:val="0"/>
          <w:bCs w:val="0"/>
          <w:color w:val="auto"/>
          <w:spacing w:val="0"/>
          <w:kern w:val="10"/>
          <w:sz w:val="24"/>
          <w:szCs w:val="24"/>
          <w:highlight w:val="none"/>
          <w:lang w:eastAsia="zh-CN"/>
        </w:rPr>
        <w:t>由</w:t>
      </w:r>
      <w:r>
        <w:rPr>
          <w:rFonts w:hint="eastAsia" w:asciiTheme="majorEastAsia" w:hAnsiTheme="majorEastAsia" w:eastAsiaTheme="majorEastAsia" w:cstheme="majorEastAsia"/>
          <w:b w:val="0"/>
          <w:bCs w:val="0"/>
          <w:color w:val="auto"/>
          <w:spacing w:val="0"/>
          <w:kern w:val="10"/>
          <w:sz w:val="24"/>
          <w:szCs w:val="24"/>
          <w:highlight w:val="none"/>
        </w:rPr>
        <w:t>设备安装与维护管理科</w:t>
      </w:r>
      <w:r>
        <w:rPr>
          <w:rFonts w:hint="eastAsia" w:asciiTheme="majorEastAsia" w:hAnsiTheme="majorEastAsia" w:eastAsiaTheme="majorEastAsia" w:cstheme="majorEastAsia"/>
          <w:b w:val="0"/>
          <w:bCs w:val="0"/>
          <w:color w:val="auto"/>
          <w:spacing w:val="0"/>
          <w:kern w:val="10"/>
          <w:sz w:val="24"/>
          <w:szCs w:val="24"/>
          <w:highlight w:val="none"/>
          <w:lang w:eastAsia="zh-CN"/>
        </w:rPr>
        <w:t>审签</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w:t>
      </w:r>
    </w:p>
    <w:p w14:paraId="047812E7">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9"/>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pPr>
      <w:r>
        <w:rPr>
          <w:rFonts w:hint="eastAsia" w:asciiTheme="majorEastAsia" w:hAnsiTheme="majorEastAsia" w:eastAsiaTheme="majorEastAsia" w:cstheme="majorEastAsia"/>
          <w:b/>
          <w:bCs/>
          <w:color w:val="auto"/>
          <w:spacing w:val="0"/>
          <w:kern w:val="10"/>
          <w:sz w:val="24"/>
          <w:szCs w:val="24"/>
          <w:highlight w:val="none"/>
          <w:lang w:val="en-US" w:eastAsia="zh-CN" w:bidi="ar-SA"/>
        </w:rPr>
        <w:t>第六章  材料设备品牌变更审批流程</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 xml:space="preserve">    </w:t>
      </w:r>
    </w:p>
    <w:p w14:paraId="6B320968">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 xml:space="preserve">第二十四条  </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本规程所称材料设备是指代建中心负责的所有在建项目中的主要建筑材料及安装设备。</w:t>
      </w:r>
    </w:p>
    <w:p w14:paraId="04F849EA">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 xml:space="preserve">第二十五条  </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本规程所称材料设备品牌是指国内外生产企业对其所生产加工的建筑材料设备产品注册的名称信息。</w:t>
      </w:r>
    </w:p>
    <w:p w14:paraId="2BB034C6">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第二十六条</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 xml:space="preserve"> 本规程所称材料设备品牌变更</w:t>
      </w:r>
      <w:r>
        <w:rPr>
          <w:rFonts w:hint="eastAsia" w:asciiTheme="majorEastAsia" w:hAnsiTheme="majorEastAsia" w:eastAsiaTheme="majorEastAsia" w:cstheme="majorEastAsia"/>
          <w:b w:val="0"/>
          <w:bCs w:val="0"/>
          <w:color w:val="auto"/>
          <w:spacing w:val="0"/>
          <w:kern w:val="10"/>
          <w:sz w:val="24"/>
          <w:szCs w:val="24"/>
          <w:highlight w:val="none"/>
          <w:lang w:eastAsia="zh-CN"/>
        </w:rPr>
        <w:t>也属现场签证范畴，</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是指在建设过程中发生的不改变材料、设备技术参数及产品性能，仅对拟使用品牌改变的情形。</w:t>
      </w:r>
    </w:p>
    <w:p w14:paraId="48E3C813">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第二十七条</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 xml:space="preserve">  在项目建设过程中，施工单位应当遵守投标承诺，按照投标文件中已载明的投标品牌选定材料设备，不得擅自变更品牌。使用单位对材料和设备品牌有变更需求的，应当先以正式文件（附件1）发函至代建中心，由代建中心办公室批转至相关科室和项目组，经充分研究后决定是否可以变更。</w:t>
      </w:r>
    </w:p>
    <w:p w14:paraId="1FA79DBC">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第二十八条</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 xml:space="preserve">  满足以下特殊情形或在不可抗力的情况下，确需变更主要材料设备品牌，应当遵循</w:t>
      </w:r>
      <w:r>
        <w:rPr>
          <w:rFonts w:hint="eastAsia" w:asciiTheme="majorEastAsia" w:hAnsiTheme="majorEastAsia" w:eastAsiaTheme="majorEastAsia" w:cstheme="majorEastAsia"/>
          <w:b w:val="0"/>
          <w:bCs w:val="0"/>
          <w:color w:val="auto"/>
          <w:spacing w:val="0"/>
          <w:kern w:val="10"/>
          <w:sz w:val="24"/>
          <w:szCs w:val="24"/>
          <w:highlight w:val="none"/>
          <w:lang w:eastAsia="zh-CN"/>
        </w:rPr>
        <w:t>先审批后实施</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的原则进行。</w:t>
      </w:r>
    </w:p>
    <w:p w14:paraId="16FA7905">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（一）投标品牌的生产加工企业发生倒闭、破产、兼并等情况，不再生产投标品牌产品，无法完成投标品牌产品的供货；</w:t>
      </w:r>
    </w:p>
    <w:p w14:paraId="011857DE">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（二）投标品牌的生产加工企业由于生产线提升、调整等因素，不再生产代建工程项目图纸设计中规定的规格、型号、技术参数的产品，无法完成投标品牌产品的供货；</w:t>
      </w:r>
    </w:p>
    <w:p w14:paraId="37B19F58">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（三）投标品牌的经销商或代理商存在坐地起价、哄抬产品市场价，造成产品物价上涨、损害采购人利益等不良行为；</w:t>
      </w:r>
    </w:p>
    <w:p w14:paraId="3FAD9641">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（四）使用单位、代建中心根据使用功能需求或特殊行业标准规范提出需求，而投标品牌产品无法满足的；</w:t>
      </w:r>
    </w:p>
    <w:p w14:paraId="1EBF57B1">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（五）其他特殊情况。</w:t>
      </w:r>
    </w:p>
    <w:p w14:paraId="0913A07E">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第二十九条</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 xml:space="preserve">  确需变更主要材料设备投标品牌的，应当由项目组长牵头，施工单位按照本规程中现场签证申请审批流程办理，明确品牌变更的必要原因，并附相关证明文件或使用单位正式发函文件，同时提供拟变更品牌备选方案。</w:t>
      </w:r>
    </w:p>
    <w:p w14:paraId="268B5D2D">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第三十条</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 xml:space="preserve">  施工单位提供的拟变更品牌备选方案应当有两个或两个以上备选品牌及产品价格，优先在招标文件推荐品牌中选取，且不得因变更品牌而改变材料设备的原设计标准及技术参数。原则上，变更后的品牌品质不得低于投标品牌品质，并且价格不得高于投标品牌价格。</w:t>
      </w:r>
    </w:p>
    <w:p w14:paraId="5545DFDE">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 xml:space="preserve">第三十一条 </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造价咨询单位应当自收到材料设备品牌变更申请之日起7个工作日内对拟变更材料设备的备选品牌进行询价、比价，并出具材料设备询价对比表</w:t>
      </w:r>
      <w:r>
        <w:rPr>
          <w:rFonts w:hint="eastAsia" w:asciiTheme="majorEastAsia" w:hAnsiTheme="majorEastAsia" w:eastAsiaTheme="majorEastAsia" w:cstheme="majorEastAsia"/>
          <w:b w:val="0"/>
          <w:bCs w:val="0"/>
          <w:color w:val="auto"/>
          <w:spacing w:val="0"/>
          <w:kern w:val="10"/>
          <w:sz w:val="24"/>
          <w:szCs w:val="24"/>
          <w:highlight w:val="none"/>
          <w:lang w:eastAsia="zh-CN"/>
        </w:rPr>
        <w:t>，</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由</w:t>
      </w:r>
      <w:r>
        <w:rPr>
          <w:rFonts w:hint="eastAsia" w:asciiTheme="majorEastAsia" w:hAnsiTheme="majorEastAsia" w:eastAsiaTheme="majorEastAsia" w:cstheme="majorEastAsia"/>
          <w:b w:val="0"/>
          <w:bCs w:val="0"/>
          <w:color w:val="auto"/>
          <w:spacing w:val="0"/>
          <w:kern w:val="10"/>
          <w:sz w:val="24"/>
          <w:szCs w:val="24"/>
          <w:highlight w:val="none"/>
          <w:lang w:eastAsia="zh-CN"/>
        </w:rPr>
        <w:t>工程预决算科审核后交项目组长，项目组负责完成</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相关业务科室审核和分管领导的审签</w:t>
      </w:r>
      <w:r>
        <w:rPr>
          <w:rFonts w:hint="eastAsia" w:asciiTheme="majorEastAsia" w:hAnsiTheme="majorEastAsia" w:eastAsiaTheme="majorEastAsia" w:cstheme="majorEastAsia"/>
          <w:b w:val="0"/>
          <w:bCs w:val="0"/>
          <w:color w:val="auto"/>
          <w:spacing w:val="0"/>
          <w:kern w:val="10"/>
          <w:sz w:val="24"/>
          <w:szCs w:val="24"/>
          <w:highlight w:val="none"/>
          <w:lang w:eastAsia="zh-CN"/>
        </w:rPr>
        <w:t>。</w:t>
      </w:r>
      <w:r>
        <w:rPr>
          <w:rFonts w:hint="eastAsia" w:asciiTheme="majorEastAsia" w:hAnsiTheme="majorEastAsia" w:eastAsiaTheme="majorEastAsia" w:cstheme="majorEastAsia"/>
          <w:b/>
          <w:bCs/>
          <w:color w:val="auto"/>
          <w:spacing w:val="0"/>
          <w:kern w:val="10"/>
          <w:sz w:val="24"/>
          <w:szCs w:val="24"/>
          <w:highlight w:val="none"/>
          <w:lang w:val="en-US" w:eastAsia="zh-CN"/>
        </w:rPr>
        <w:t>涉及土建装饰材料的品牌变更业务科室为工程预决算科，涉及安装设备的品牌变更业务科室为设备安装与维护管理科。</w:t>
      </w:r>
    </w:p>
    <w:p w14:paraId="32FF8E5B">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第三十二条</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 xml:space="preserve">  施工单位投标文件中材料设备有两个及以上投标品牌时，应当遵循更加有利于项目材料设备质量的原则，由代建中心项目组长组织使用单位、施工单位、工程预决算科、工程技术科或设备安装与维护管理科组成五人代表，采用投票的方式对材料设备品牌共同确认，以得票多者优先。</w:t>
      </w:r>
    </w:p>
    <w:p w14:paraId="64BB7481">
      <w:pPr>
        <w:keepNext w:val="0"/>
        <w:keepLines w:val="0"/>
        <w:pageBreakBefore w:val="0"/>
        <w:widowControl w:val="0"/>
        <w:numPr>
          <w:ilvl w:val="0"/>
          <w:numId w:val="13"/>
        </w:numPr>
        <w:kinsoku/>
        <w:wordWrap/>
        <w:overflowPunct/>
        <w:topLinePunct w:val="0"/>
        <w:autoSpaceDE/>
        <w:autoSpaceDN/>
        <w:bidi w:val="0"/>
        <w:adjustRightInd w:val="0"/>
        <w:snapToGrid w:val="0"/>
        <w:spacing w:before="157" w:beforeLines="50" w:after="157" w:afterLines="50" w:line="560" w:lineRule="exact"/>
        <w:jc w:val="center"/>
        <w:textAlignment w:val="auto"/>
        <w:outlineLvl w:val="9"/>
        <w:rPr>
          <w:rFonts w:hint="eastAsia" w:asciiTheme="majorEastAsia" w:hAnsiTheme="majorEastAsia" w:eastAsiaTheme="majorEastAsia" w:cstheme="majorEastAsia"/>
          <w:b/>
          <w:bCs/>
          <w:color w:val="auto"/>
          <w:sz w:val="24"/>
          <w:szCs w:val="24"/>
          <w:lang w:val="en-US" w:eastAsia="zh-CN"/>
        </w:rPr>
      </w:pPr>
      <w:r>
        <w:rPr>
          <w:rFonts w:hint="eastAsia" w:asciiTheme="majorEastAsia" w:hAnsiTheme="majorEastAsia" w:eastAsiaTheme="majorEastAsia" w:cstheme="majorEastAsia"/>
          <w:b/>
          <w:bCs/>
          <w:color w:val="auto"/>
          <w:spacing w:val="0"/>
          <w:kern w:val="10"/>
          <w:sz w:val="24"/>
          <w:szCs w:val="24"/>
          <w:highlight w:val="none"/>
          <w:lang w:val="en-US" w:eastAsia="zh-CN" w:bidi="ar-SA"/>
        </w:rPr>
        <w:t>材料设备认质认价申请审批流程</w:t>
      </w:r>
    </w:p>
    <w:p w14:paraId="63CA2424">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第三十三条</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 xml:space="preserve"> 本规程所称</w:t>
      </w:r>
      <w:bookmarkStart w:id="25" w:name="OLE_LINK2"/>
      <w:r>
        <w:rPr>
          <w:rFonts w:hint="eastAsia" w:asciiTheme="majorEastAsia" w:hAnsiTheme="majorEastAsia" w:eastAsiaTheme="majorEastAsia" w:cstheme="majorEastAsia"/>
          <w:b w:val="0"/>
          <w:bCs w:val="0"/>
          <w:color w:val="auto"/>
          <w:spacing w:val="0"/>
          <w:kern w:val="10"/>
          <w:sz w:val="24"/>
          <w:szCs w:val="24"/>
          <w:highlight w:val="none"/>
          <w:lang w:val="en-US" w:eastAsia="zh-CN"/>
        </w:rPr>
        <w:t>材料设备认质</w:t>
      </w:r>
      <w:bookmarkEnd w:id="25"/>
      <w:r>
        <w:rPr>
          <w:rFonts w:hint="eastAsia" w:asciiTheme="majorEastAsia" w:hAnsiTheme="majorEastAsia" w:eastAsiaTheme="majorEastAsia" w:cstheme="majorEastAsia"/>
          <w:b w:val="0"/>
          <w:bCs w:val="0"/>
          <w:color w:val="auto"/>
          <w:spacing w:val="0"/>
          <w:kern w:val="10"/>
          <w:sz w:val="24"/>
          <w:szCs w:val="24"/>
          <w:highlight w:val="none"/>
          <w:lang w:val="en-US" w:eastAsia="zh-CN"/>
        </w:rPr>
        <w:t>认价是在项目建设过程中，</w:t>
      </w:r>
      <w:r>
        <w:rPr>
          <w:rFonts w:hint="eastAsia" w:asciiTheme="majorEastAsia" w:hAnsiTheme="majorEastAsia" w:eastAsiaTheme="majorEastAsia" w:cstheme="majorEastAsia"/>
          <w:b/>
          <w:bCs/>
          <w:color w:val="auto"/>
          <w:spacing w:val="0"/>
          <w:kern w:val="10"/>
          <w:sz w:val="24"/>
          <w:szCs w:val="24"/>
          <w:highlight w:val="none"/>
          <w:lang w:val="en-US" w:eastAsia="zh-CN"/>
        </w:rPr>
        <w:t>对合同中未明确价格或新增材料设备价格的确认工作。</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认质是指甲乙双方按施工图设计的要求及相关规范，对工程材料、设备的品牌档次、规格参数、品质效果等予以选定并确认。认价是指甲乙双方在工程材料、设备的品牌档次、规格参数、品质效果等确认的基础上，确认其相应的价格，并作为甲乙双方结算的依据。</w:t>
      </w:r>
    </w:p>
    <w:p w14:paraId="6EA32510">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200" w:firstLine="240" w:firstLineChars="1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 xml:space="preserve">第三十四条 </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材料设备认质认价主要包括的情形有：</w:t>
      </w:r>
    </w:p>
    <w:p w14:paraId="0D24D370">
      <w:pPr>
        <w:pStyle w:val="7"/>
        <w:numPr>
          <w:ilvl w:val="0"/>
          <w:numId w:val="0"/>
        </w:numPr>
        <w:ind w:firstLine="480" w:firstLineChars="200"/>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（一）</w:t>
      </w:r>
      <w:bookmarkStart w:id="26" w:name="OLE_LINK3"/>
      <w:r>
        <w:rPr>
          <w:rFonts w:hint="eastAsia" w:asciiTheme="majorEastAsia" w:hAnsiTheme="majorEastAsia" w:eastAsiaTheme="majorEastAsia" w:cstheme="majorEastAsia"/>
          <w:b w:val="0"/>
          <w:bCs w:val="0"/>
          <w:color w:val="auto"/>
          <w:spacing w:val="0"/>
          <w:kern w:val="10"/>
          <w:sz w:val="24"/>
          <w:szCs w:val="24"/>
          <w:highlight w:val="none"/>
          <w:lang w:val="en-US" w:eastAsia="zh-CN"/>
        </w:rPr>
        <w:t>合同中约定需要通过认质、认价确认结算价格的材料设备，且暂估金额无需通过招标流程确认的暂估价；</w:t>
      </w:r>
      <w:bookmarkEnd w:id="26"/>
    </w:p>
    <w:p w14:paraId="5DB6DD14">
      <w:pPr>
        <w:pStyle w:val="7"/>
        <w:numPr>
          <w:ilvl w:val="0"/>
          <w:numId w:val="0"/>
        </w:numPr>
        <w:ind w:firstLine="480" w:firstLineChars="200"/>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（二）工程量清单存在漏项，需要通过认质、认价确认结算价格的新增材料设备；</w:t>
      </w:r>
    </w:p>
    <w:p w14:paraId="59B5C129">
      <w:pPr>
        <w:pStyle w:val="7"/>
        <w:numPr>
          <w:ilvl w:val="0"/>
          <w:numId w:val="0"/>
        </w:numPr>
        <w:ind w:firstLine="480" w:firstLineChars="200"/>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（三）因工程变更，包括设计变更、工程洽商、现场签证而新增的，需要通过认质、认价确认结算价格的材料设备。</w:t>
      </w:r>
    </w:p>
    <w:p w14:paraId="7B30C3BC">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 xml:space="preserve">第三十五条 </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材料设备认质认价的基本工作原则：</w:t>
      </w:r>
    </w:p>
    <w:p w14:paraId="6B0D1ADF">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（一）事前审批原则，需进行认质、认价的材料设备，应当进行认质认价书面确认后，才可安排进场施工；</w:t>
      </w:r>
    </w:p>
    <w:p w14:paraId="4FC8A19F">
      <w:pPr>
        <w:keepNext w:val="0"/>
        <w:keepLines w:val="0"/>
        <w:pageBreakBefore w:val="0"/>
        <w:widowControl w:val="0"/>
        <w:numPr>
          <w:ilvl w:val="0"/>
          <w:numId w:val="14"/>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限额原则，需进行认质认价的材料设备的选型及认价均应当在合同暂估价或变更估算限额以内；</w:t>
      </w:r>
    </w:p>
    <w:p w14:paraId="1C4A8473">
      <w:pPr>
        <w:keepNext w:val="0"/>
        <w:keepLines w:val="0"/>
        <w:pageBreakBefore w:val="0"/>
        <w:widowControl w:val="0"/>
        <w:numPr>
          <w:ilvl w:val="0"/>
          <w:numId w:val="14"/>
        </w:numPr>
        <w:kinsoku/>
        <w:wordWrap/>
        <w:overflowPunct/>
        <w:topLinePunct w:val="0"/>
        <w:autoSpaceDE/>
        <w:autoSpaceDN/>
        <w:bidi w:val="0"/>
        <w:adjustRightInd w:val="0"/>
        <w:snapToGrid w:val="0"/>
        <w:spacing w:line="560" w:lineRule="exact"/>
        <w:ind w:left="0" w:leftChars="0"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及时性原则，为保证材料设备认质认价的合理性及必要的工作时间，施工单位应充分考虑供货周期、材料设备进场计划，应当至少于材料设备进场前30日历天提供需认质认价材料设备的申请资料。</w:t>
      </w:r>
    </w:p>
    <w:p w14:paraId="554DA395">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200" w:firstLine="240" w:firstLineChars="1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 xml:space="preserve">第三十六条 </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材料设备认质认价资料的申请及审批流程：</w:t>
      </w:r>
    </w:p>
    <w:p w14:paraId="47F13DB4">
      <w:pPr>
        <w:pStyle w:val="7"/>
        <w:keepNext w:val="0"/>
        <w:keepLines w:val="0"/>
        <w:pageBreakBefore w:val="0"/>
        <w:widowControl w:val="0"/>
        <w:numPr>
          <w:ilvl w:val="0"/>
          <w:numId w:val="15"/>
        </w:numPr>
        <w:kinsoku/>
        <w:wordWrap/>
        <w:overflowPunct/>
        <w:topLinePunct w:val="0"/>
        <w:autoSpaceDE/>
        <w:autoSpaceDN/>
        <w:bidi w:val="0"/>
        <w:adjustRightInd/>
        <w:snapToGrid/>
        <w:spacing w:line="560" w:lineRule="exact"/>
        <w:ind w:firstLine="480" w:firstLineChars="200"/>
        <w:textAlignment w:val="auto"/>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pP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施工单位提报需认质、认价的《材料</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设备认质认价单</w:t>
      </w: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附件6</w:t>
      </w: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），经监理审核后，由工程技术科或设备安装与维护管理科对上报的材料、设备的品牌档次、规格参数、品质效果等进行审签，并交工程预决算科；</w:t>
      </w:r>
    </w:p>
    <w:p w14:paraId="6E5472CE">
      <w:pPr>
        <w:keepNext w:val="0"/>
        <w:keepLines w:val="0"/>
        <w:pageBreakBefore w:val="0"/>
        <w:widowControl w:val="0"/>
        <w:numPr>
          <w:ilvl w:val="0"/>
          <w:numId w:val="15"/>
        </w:numPr>
        <w:kinsoku/>
        <w:wordWrap/>
        <w:overflowPunct/>
        <w:topLinePunct w:val="0"/>
        <w:autoSpaceDE/>
        <w:autoSpaceDN/>
        <w:bidi w:val="0"/>
        <w:adjustRightInd w:val="0"/>
        <w:snapToGrid w:val="0"/>
        <w:spacing w:line="560" w:lineRule="exact"/>
        <w:ind w:left="0" w:leftChars="0"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由工程预决算科组织造价咨询单位按照确认的材料、设备的相关参数进行市场询价、比价；造价咨询单位应当自收到材料设备认质认价申请资料之日起7个工作日内完成询价、比价，并出具材料设备询价对比表；</w:t>
      </w:r>
    </w:p>
    <w:p w14:paraId="695B987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（三）由项目组长牵头，组织相关参建单位、工程预决算科、工程技术科或设备安装与维护管理科对材料、设备进行共同确认并完成审签；</w:t>
      </w:r>
    </w:p>
    <w:p w14:paraId="4503217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rPr>
        <w:t xml:space="preserve">（四）确定材料设备选用品牌及初步价格后，由工程预决算科提请分管领导审签，并完成材料设备认质认价单的建设单位盖章事宜，结果抄送项目组长。  </w:t>
      </w:r>
    </w:p>
    <w:p w14:paraId="7B89F467">
      <w:pPr>
        <w:pStyle w:val="7"/>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 xml:space="preserve"> 第三十七条  </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施工单位提供材料设备认质认价资料具体要求：</w:t>
      </w:r>
    </w:p>
    <w:p w14:paraId="4C816D7B">
      <w:pPr>
        <w:pStyle w:val="7"/>
        <w:numPr>
          <w:ilvl w:val="0"/>
          <w:numId w:val="0"/>
        </w:numPr>
        <w:ind w:firstLine="420" w:firstLineChars="0"/>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lang w:val="en-US" w:eastAsia="zh-CN" w:bidi="ar-SA"/>
        </w:rPr>
        <w:t>（一）</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推荐需认质认价材料设备的供应商须资审合格且数量不少于3家，材料、设备须为同档次，拟使用产品备选品牌应优先在招标文件推荐品牌中选取；</w:t>
      </w:r>
    </w:p>
    <w:p w14:paraId="7C090FDF">
      <w:pPr>
        <w:pStyle w:val="7"/>
        <w:numPr>
          <w:ilvl w:val="0"/>
          <w:numId w:val="0"/>
        </w:numPr>
        <w:ind w:firstLine="420" w:firstLineChars="0"/>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lang w:val="en-US" w:eastAsia="zh-CN" w:bidi="ar-SA"/>
        </w:rPr>
        <w:t>（二）</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应当同时提供每种需认质认价材料、设备或综合单价的报价单、所涉及的样品、产品手册等；</w:t>
      </w:r>
    </w:p>
    <w:p w14:paraId="21294C67">
      <w:pPr>
        <w:pStyle w:val="7"/>
        <w:numPr>
          <w:ilvl w:val="0"/>
          <w:numId w:val="0"/>
        </w:numPr>
        <w:ind w:firstLine="420" w:firstLineChars="0"/>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lang w:val="en-US" w:eastAsia="zh-CN" w:bidi="ar-SA"/>
        </w:rPr>
        <w:t>（三）</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认价资料如不符合要求（包括供应商数量、资质、报价、联系方式、签字盖章手续等），需重新申报至合格。</w:t>
      </w:r>
    </w:p>
    <w:p w14:paraId="4DCDCB28">
      <w:pPr>
        <w:pStyle w:val="7"/>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 xml:space="preserve">第三十八条  </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项目组长应当将已完成的材料设备认质认价结果及时告知各参建单位进行现场跟踪和监督，施工单位对进场的不符合要求的材料设备应承担被勒令退场或核减造价的责任。</w:t>
      </w:r>
    </w:p>
    <w:p w14:paraId="6402418B">
      <w:pPr>
        <w:pStyle w:val="7"/>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 xml:space="preserve">第三十九条  </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如无特殊情况，施工单位未按流程要求完成认价，在后续结算审计过程中无条件接受审计结果，且应承担由此造成的一切损失。</w:t>
      </w:r>
    </w:p>
    <w:p w14:paraId="5F358AD3">
      <w:pPr>
        <w:pStyle w:val="12"/>
        <w:keepNext w:val="0"/>
        <w:keepLines w:val="0"/>
        <w:pageBreakBefore w:val="0"/>
        <w:numPr>
          <w:ilvl w:val="0"/>
          <w:numId w:val="16"/>
        </w:numPr>
        <w:kinsoku/>
        <w:wordWrap/>
        <w:overflowPunct/>
        <w:topLinePunct w:val="0"/>
        <w:bidi w:val="0"/>
        <w:spacing w:line="560" w:lineRule="exact"/>
        <w:jc w:val="center"/>
        <w:textAlignment w:val="auto"/>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pPr>
      <w:r>
        <w:rPr>
          <w:rFonts w:hint="eastAsia" w:asciiTheme="majorEastAsia" w:hAnsiTheme="majorEastAsia" w:eastAsiaTheme="majorEastAsia" w:cstheme="majorEastAsia"/>
          <w:b/>
          <w:bCs/>
          <w:color w:val="auto"/>
          <w:spacing w:val="0"/>
          <w:kern w:val="10"/>
          <w:sz w:val="24"/>
          <w:szCs w:val="24"/>
          <w:highlight w:val="none"/>
          <w:lang w:val="en-US" w:eastAsia="zh-CN" w:bidi="ar-SA"/>
        </w:rPr>
        <w:t xml:space="preserve"> 工程变更结算报审流程</w:t>
      </w:r>
    </w:p>
    <w:p w14:paraId="420A195E">
      <w:pPr>
        <w:keepNext w:val="0"/>
        <w:keepLines w:val="0"/>
        <w:pageBreakBefore w:val="0"/>
        <w:widowControl/>
        <w:tabs>
          <w:tab w:val="left" w:pos="889"/>
        </w:tabs>
        <w:kinsoku/>
        <w:wordWrap/>
        <w:overflowPunct/>
        <w:topLinePunct w:val="0"/>
        <w:bidi w:val="0"/>
        <w:snapToGrid w:val="0"/>
        <w:spacing w:before="156" w:beforeLines="50" w:line="560" w:lineRule="exact"/>
        <w:ind w:firstLine="470" w:firstLineChars="196"/>
        <w:textAlignment w:val="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rPr>
        <w:t>第四十条  为实现分部工程阶段性结算，在建工程实行“一变更一结算”。在项目实施过程中，</w:t>
      </w:r>
      <w:r>
        <w:rPr>
          <w:rFonts w:hint="eastAsia" w:asciiTheme="majorEastAsia" w:hAnsiTheme="majorEastAsia" w:eastAsiaTheme="majorEastAsia" w:cstheme="majorEastAsia"/>
          <w:b w:val="0"/>
          <w:bCs w:val="0"/>
          <w:color w:val="auto"/>
          <w:spacing w:val="-1"/>
          <w:sz w:val="24"/>
          <w:szCs w:val="24"/>
          <w:highlight w:val="none"/>
          <w:lang w:val="en-US" w:eastAsia="zh-CN"/>
        </w:rPr>
        <w:t>施工单位应</w:t>
      </w:r>
      <w:r>
        <w:rPr>
          <w:rFonts w:hint="eastAsia" w:asciiTheme="majorEastAsia" w:hAnsiTheme="majorEastAsia" w:eastAsiaTheme="majorEastAsia" w:cstheme="majorEastAsia"/>
          <w:color w:val="auto"/>
          <w:kern w:val="0"/>
          <w:sz w:val="24"/>
          <w:szCs w:val="24"/>
          <w:highlight w:val="none"/>
          <w:lang w:eastAsia="zh-CN"/>
        </w:rPr>
        <w:t>在</w:t>
      </w:r>
      <w:r>
        <w:rPr>
          <w:rFonts w:hint="eastAsia" w:asciiTheme="majorEastAsia" w:hAnsiTheme="majorEastAsia" w:eastAsiaTheme="majorEastAsia" w:cstheme="majorEastAsia"/>
          <w:color w:val="auto"/>
          <w:kern w:val="0"/>
          <w:sz w:val="24"/>
          <w:szCs w:val="24"/>
          <w:highlight w:val="none"/>
        </w:rPr>
        <w:t>工程变更施工完成之日起</w:t>
      </w:r>
      <w:r>
        <w:rPr>
          <w:rFonts w:hint="eastAsia" w:asciiTheme="majorEastAsia" w:hAnsiTheme="majorEastAsia" w:eastAsiaTheme="majorEastAsia" w:cstheme="majorEastAsia"/>
          <w:color w:val="auto"/>
          <w:kern w:val="0"/>
          <w:sz w:val="24"/>
          <w:szCs w:val="24"/>
          <w:highlight w:val="none"/>
          <w:lang w:val="en-US" w:eastAsia="zh-CN"/>
        </w:rPr>
        <w:t>21个工作</w:t>
      </w:r>
      <w:r>
        <w:rPr>
          <w:rFonts w:hint="eastAsia" w:asciiTheme="majorEastAsia" w:hAnsiTheme="majorEastAsia" w:eastAsiaTheme="majorEastAsia" w:cstheme="majorEastAsia"/>
          <w:color w:val="auto"/>
          <w:kern w:val="0"/>
          <w:sz w:val="24"/>
          <w:szCs w:val="24"/>
          <w:highlight w:val="none"/>
        </w:rPr>
        <w:t>日内</w:t>
      </w:r>
      <w:r>
        <w:rPr>
          <w:rFonts w:hint="eastAsia" w:asciiTheme="majorEastAsia" w:hAnsiTheme="majorEastAsia" w:eastAsiaTheme="majorEastAsia" w:cstheme="majorEastAsia"/>
          <w:color w:val="auto"/>
          <w:kern w:val="0"/>
          <w:sz w:val="24"/>
          <w:szCs w:val="24"/>
          <w:highlight w:val="none"/>
          <w:lang w:eastAsia="zh-CN"/>
        </w:rPr>
        <w:t>，</w:t>
      </w:r>
      <w:r>
        <w:rPr>
          <w:rFonts w:hint="eastAsia" w:asciiTheme="majorEastAsia" w:hAnsiTheme="majorEastAsia" w:eastAsiaTheme="majorEastAsia" w:cstheme="majorEastAsia"/>
          <w:color w:val="auto"/>
          <w:kern w:val="0"/>
          <w:sz w:val="24"/>
          <w:szCs w:val="24"/>
          <w:highlight w:val="none"/>
        </w:rPr>
        <w:t>报送工程变更结算</w:t>
      </w:r>
      <w:r>
        <w:rPr>
          <w:rFonts w:hint="eastAsia" w:asciiTheme="majorEastAsia" w:hAnsiTheme="majorEastAsia" w:eastAsiaTheme="majorEastAsia" w:cstheme="majorEastAsia"/>
          <w:color w:val="auto"/>
          <w:kern w:val="0"/>
          <w:sz w:val="24"/>
          <w:szCs w:val="24"/>
          <w:highlight w:val="none"/>
          <w:lang w:eastAsia="zh-CN"/>
        </w:rPr>
        <w:t>资料</w:t>
      </w:r>
      <w:r>
        <w:rPr>
          <w:rFonts w:hint="eastAsia" w:asciiTheme="majorEastAsia" w:hAnsiTheme="majorEastAsia" w:eastAsiaTheme="majorEastAsia" w:cstheme="majorEastAsia"/>
          <w:color w:val="auto"/>
          <w:kern w:val="0"/>
          <w:sz w:val="24"/>
          <w:szCs w:val="24"/>
          <w:highlight w:val="none"/>
        </w:rPr>
        <w:t>，</w:t>
      </w:r>
      <w:r>
        <w:rPr>
          <w:rFonts w:hint="eastAsia" w:asciiTheme="majorEastAsia" w:hAnsiTheme="majorEastAsia" w:eastAsiaTheme="majorEastAsia" w:cstheme="majorEastAsia"/>
          <w:color w:val="auto"/>
          <w:kern w:val="0"/>
          <w:sz w:val="24"/>
          <w:szCs w:val="24"/>
          <w:highlight w:val="none"/>
          <w:lang w:eastAsia="zh-CN"/>
        </w:rPr>
        <w:t>并对</w:t>
      </w:r>
      <w:r>
        <w:rPr>
          <w:rFonts w:hint="eastAsia" w:asciiTheme="majorEastAsia" w:hAnsiTheme="majorEastAsia" w:eastAsiaTheme="majorEastAsia" w:cstheme="majorEastAsia"/>
          <w:color w:val="auto"/>
          <w:kern w:val="0"/>
          <w:sz w:val="24"/>
          <w:szCs w:val="24"/>
          <w:highlight w:val="none"/>
        </w:rPr>
        <w:t>工程变更结算资料的</w:t>
      </w:r>
      <w:r>
        <w:rPr>
          <w:rFonts w:hint="eastAsia" w:asciiTheme="majorEastAsia" w:hAnsiTheme="majorEastAsia" w:eastAsiaTheme="majorEastAsia" w:cstheme="majorEastAsia"/>
          <w:color w:val="auto"/>
          <w:kern w:val="0"/>
          <w:sz w:val="24"/>
          <w:szCs w:val="24"/>
          <w:highlight w:val="none"/>
          <w:lang w:val="en-US" w:eastAsia="zh-CN"/>
        </w:rPr>
        <w:t>真实性、</w:t>
      </w:r>
      <w:r>
        <w:rPr>
          <w:rFonts w:hint="eastAsia" w:asciiTheme="majorEastAsia" w:hAnsiTheme="majorEastAsia" w:eastAsiaTheme="majorEastAsia" w:cstheme="majorEastAsia"/>
          <w:color w:val="auto"/>
          <w:kern w:val="0"/>
          <w:sz w:val="24"/>
          <w:szCs w:val="24"/>
          <w:highlight w:val="none"/>
        </w:rPr>
        <w:t>完整性</w:t>
      </w:r>
      <w:r>
        <w:rPr>
          <w:rFonts w:hint="eastAsia" w:asciiTheme="majorEastAsia" w:hAnsiTheme="majorEastAsia" w:eastAsiaTheme="majorEastAsia" w:cstheme="majorEastAsia"/>
          <w:color w:val="auto"/>
          <w:kern w:val="0"/>
          <w:sz w:val="24"/>
          <w:szCs w:val="24"/>
          <w:highlight w:val="none"/>
          <w:lang w:eastAsia="zh-CN"/>
        </w:rPr>
        <w:t>负责</w:t>
      </w:r>
      <w:r>
        <w:rPr>
          <w:rFonts w:hint="eastAsia" w:asciiTheme="majorEastAsia" w:hAnsiTheme="majorEastAsia" w:eastAsiaTheme="majorEastAsia" w:cstheme="majorEastAsia"/>
          <w:color w:val="auto"/>
          <w:kern w:val="0"/>
          <w:sz w:val="24"/>
          <w:szCs w:val="24"/>
          <w:highlight w:val="none"/>
        </w:rPr>
        <w:t>。</w:t>
      </w:r>
    </w:p>
    <w:p w14:paraId="25AE9E2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 xml:space="preserve">第四十一条  </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bidi="ar-SA"/>
        </w:rPr>
        <w:t>施工单位申报“一变更一结算”</w:t>
      </w:r>
      <w:r>
        <w:rPr>
          <w:rFonts w:hint="eastAsia" w:asciiTheme="majorEastAsia" w:hAnsiTheme="majorEastAsia" w:eastAsiaTheme="majorEastAsia" w:cstheme="majorEastAsia"/>
          <w:b w:val="0"/>
          <w:bCs w:val="0"/>
          <w:color w:val="auto"/>
          <w:spacing w:val="-1"/>
          <w:sz w:val="24"/>
          <w:szCs w:val="24"/>
          <w:highlight w:val="none"/>
          <w:lang w:val="en-US" w:eastAsia="zh-CN"/>
        </w:rPr>
        <w:t>的资料要求：</w:t>
      </w:r>
    </w:p>
    <w:p w14:paraId="3FCA2291">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u w:val="none"/>
          <w:lang w:val="en-US" w:eastAsia="zh-CN" w:bidi="ar-SA"/>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bidi="ar-SA"/>
        </w:rPr>
        <w:t>（一）施工单位申报工程变更结算时，应先办理《工程变更结算送审表》（附件8）的审批；</w:t>
      </w:r>
    </w:p>
    <w:p w14:paraId="7EBAF28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u w:val="none"/>
          <w:lang w:val="en-US" w:eastAsia="zh-CN" w:bidi="ar-SA"/>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bidi="ar-SA"/>
        </w:rPr>
        <w:t>（二）工程变更申请审批资料中明确需暂估工程量的施工内容，施工单位应当在工程变更实施后及时向代建中心提请工程量核定工作。由代建中心工程预决算科组织监理单位、施工单位、造价咨询单位共同据实核定工程量，并完成《工程变更现场核量单》（附件10）的书面确认，报请分管领导审签。工程预决算科自审批通过之日起3个工作日内完成代建中心盖章事宜。工程变更现场核量单作为变更结算依据材料之一，需在变更结算时一并上报；</w:t>
      </w:r>
    </w:p>
    <w:p w14:paraId="0DBCB5D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u w:val="none"/>
          <w:lang w:val="en-US" w:eastAsia="zh-CN" w:bidi="ar-SA"/>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bidi="ar-SA"/>
        </w:rPr>
        <w:t>（三）施工单位申报的工程变更结算书要求一式三份，且资料均为原件，应当资料完整、真实，时间明确，签字盖章齐全，按发生时间先后顺序整理成册，目录、页码完整。内容应包括：变更结算送审表、工程变更审批单、工程变更现场核量单、变更结算书及其他有关资料。深化设计图纸应当经代建中心委托的设计院审核确认，方可做为工程结算依据，与工程变更资料一并成册上报；</w:t>
      </w:r>
    </w:p>
    <w:p w14:paraId="603F0D7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u w:val="none"/>
          <w:lang w:val="en-US" w:eastAsia="zh-CN" w:bidi="ar-SA"/>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bidi="ar-SA"/>
        </w:rPr>
        <w:t>（四）施工单位申报的工程变更结算书，还应当一同报送电子版资料，统一用U盘存储，包含工程变更结算书整套纸版扫描件PDF、相关变更施工图纸、预算软件版、现场照片、录像等资料；隐蔽的现场签证应当提供施工前后的对比照片（有参照物）或影像资料；</w:t>
      </w:r>
    </w:p>
    <w:p w14:paraId="18BC30CD">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pP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bidi="ar-SA"/>
        </w:rPr>
        <w:t>（五）同一时间段实施完的工程变更，可以合并报送结算，另附工程变更汇总表即可。</w:t>
      </w:r>
    </w:p>
    <w:p w14:paraId="0C026B1C">
      <w:pPr>
        <w:pStyle w:val="12"/>
        <w:keepNext w:val="0"/>
        <w:keepLines w:val="0"/>
        <w:pageBreakBefore w:val="0"/>
        <w:kinsoku/>
        <w:wordWrap/>
        <w:overflowPunct/>
        <w:topLinePunct w:val="0"/>
        <w:bidi w:val="0"/>
        <w:spacing w:line="560" w:lineRule="exact"/>
        <w:jc w:val="center"/>
        <w:textAlignment w:val="auto"/>
        <w:rPr>
          <w:rFonts w:hint="eastAsia" w:asciiTheme="majorEastAsia" w:hAnsiTheme="majorEastAsia" w:eastAsiaTheme="majorEastAsia" w:cstheme="majorEastAsia"/>
          <w:b w:val="0"/>
          <w:bCs w:val="0"/>
          <w:color w:val="auto"/>
          <w:spacing w:val="0"/>
          <w:kern w:val="10"/>
          <w:sz w:val="24"/>
          <w:szCs w:val="24"/>
          <w:highlight w:val="none"/>
          <w:u w:val="none"/>
          <w:lang w:eastAsia="zh-CN"/>
        </w:rPr>
      </w:pPr>
      <w:r>
        <w:rPr>
          <w:rFonts w:hint="eastAsia" w:asciiTheme="majorEastAsia" w:hAnsiTheme="majorEastAsia" w:eastAsiaTheme="majorEastAsia" w:cstheme="majorEastAsia"/>
          <w:b/>
          <w:bCs/>
          <w:color w:val="auto"/>
          <w:spacing w:val="0"/>
          <w:kern w:val="10"/>
          <w:sz w:val="24"/>
          <w:szCs w:val="24"/>
          <w:highlight w:val="none"/>
          <w:lang w:val="en-US" w:eastAsia="zh-CN" w:bidi="ar-SA"/>
        </w:rPr>
        <w:t>第九章  工程变更结算审核流程</w:t>
      </w:r>
    </w:p>
    <w:p w14:paraId="50733155">
      <w:pPr>
        <w:pStyle w:val="12"/>
        <w:keepNext w:val="0"/>
        <w:keepLines w:val="0"/>
        <w:pageBreakBefore w:val="0"/>
        <w:kinsoku/>
        <w:wordWrap/>
        <w:overflowPunct/>
        <w:topLinePunct w:val="0"/>
        <w:bidi w:val="0"/>
        <w:spacing w:line="560" w:lineRule="exact"/>
        <w:ind w:firstLine="480" w:firstLineChars="200"/>
        <w:textAlignment w:val="auto"/>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pP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第四十二条  代建中心收到工程变更结算报审资料后，由工程预决算科在2个工作日内向委托的造价咨询单位派发变更结算任务，造价咨询单位应当在接收到变更结算报审资料之日起14个工作日内，完成审核与核对工作。施工单位应当配合造价咨询单位在规定时限内完成工程变更的造价核实。</w:t>
      </w:r>
    </w:p>
    <w:p w14:paraId="295AE47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pP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第四十三条  工程预决算科负责审核造价咨询单位出具的变更结算意见，项目组长应当统筹项目投资总额使用情况，将变更审核结果汇总，提交主任办公会研究审议，经审议通过的工程变更由施工单位和造价咨询单位签认《工程变更结算定案表》（附件9），结算结果直接计入工程竣工结算。</w:t>
      </w:r>
    </w:p>
    <w:p w14:paraId="2D7DE801">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Theme="majorEastAsia" w:hAnsiTheme="majorEastAsia" w:eastAsiaTheme="majorEastAsia" w:cstheme="majorEastAsia"/>
          <w:color w:val="auto"/>
          <w:spacing w:val="0"/>
          <w:sz w:val="24"/>
          <w:szCs w:val="24"/>
          <w:highlight w:val="none"/>
          <w:lang w:val="en-US" w:eastAsia="zh-CN"/>
        </w:rPr>
      </w:pP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第四十四条  新建工程的变更结算纳入分部工程的阶段性结算，维修工程的变更结算纳入工程竣工结算。分部工程的阶段性结算和工程竣工结算由工程预决算科汇总，提交主任办公会研究审议。</w:t>
      </w:r>
    </w:p>
    <w:p w14:paraId="4752C374">
      <w:pPr>
        <w:pStyle w:val="12"/>
        <w:keepNext w:val="0"/>
        <w:keepLines w:val="0"/>
        <w:pageBreakBefore w:val="0"/>
        <w:kinsoku/>
        <w:wordWrap/>
        <w:overflowPunct/>
        <w:topLinePunct w:val="0"/>
        <w:bidi w:val="0"/>
        <w:spacing w:line="560" w:lineRule="exact"/>
        <w:ind w:firstLine="480" w:firstLineChars="200"/>
        <w:textAlignment w:val="auto"/>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pP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第四十五条  对已完成结算审核的变更造价，应当按照合同约定随进度款同步支付，</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未按时完成</w:t>
      </w: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结算审核的变更</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不得</w:t>
      </w: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随进度款同步支付</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。施工单位若未在规定时限内上报工程变更结算书</w:t>
      </w: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，代建中心视情况降低当月完成产值10%-30%的支付比例。</w:t>
      </w:r>
    </w:p>
    <w:p w14:paraId="12FF94EB">
      <w:pPr>
        <w:pStyle w:val="12"/>
        <w:keepNext w:val="0"/>
        <w:keepLines w:val="0"/>
        <w:pageBreakBefore w:val="0"/>
        <w:kinsoku/>
        <w:wordWrap/>
        <w:overflowPunct/>
        <w:topLinePunct w:val="0"/>
        <w:bidi w:val="0"/>
        <w:spacing w:line="560" w:lineRule="exact"/>
        <w:ind w:firstLine="480" w:firstLineChars="200"/>
        <w:textAlignment w:val="auto"/>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pP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第四十六条  施工单位未经代建中心审批同意而擅自实施的工程变更不予结算，并扣除变更前的相关费用。</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bidi="ar-SA"/>
        </w:rPr>
        <w:t>在工程变更结算时，如发现变更的实际做法与变更审批做法不一致，视为</w:t>
      </w: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擅自变更</w:t>
      </w:r>
      <w:r>
        <w:rPr>
          <w:rFonts w:hint="eastAsia" w:asciiTheme="majorEastAsia" w:hAnsiTheme="majorEastAsia" w:eastAsiaTheme="majorEastAsia" w:cstheme="majorEastAsia"/>
          <w:b w:val="0"/>
          <w:bCs w:val="0"/>
          <w:color w:val="auto"/>
          <w:spacing w:val="0"/>
          <w:kern w:val="10"/>
          <w:sz w:val="24"/>
          <w:szCs w:val="24"/>
          <w:highlight w:val="none"/>
          <w:u w:val="none"/>
          <w:lang w:val="en-US" w:eastAsia="zh-CN" w:bidi="ar-SA"/>
        </w:rPr>
        <w:t>。</w:t>
      </w:r>
    </w:p>
    <w:p w14:paraId="470D50C6">
      <w:pPr>
        <w:pStyle w:val="12"/>
        <w:keepNext w:val="0"/>
        <w:keepLines w:val="0"/>
        <w:pageBreakBefore w:val="0"/>
        <w:kinsoku/>
        <w:wordWrap/>
        <w:overflowPunct/>
        <w:topLinePunct w:val="0"/>
        <w:bidi w:val="0"/>
        <w:spacing w:line="560" w:lineRule="exact"/>
        <w:ind w:firstLine="480" w:firstLineChars="200"/>
        <w:textAlignment w:val="auto"/>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pP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 xml:space="preserve">第四十七条  </w:t>
      </w:r>
      <w:r>
        <w:rPr>
          <w:rFonts w:hint="eastAsia" w:asciiTheme="majorEastAsia" w:hAnsiTheme="majorEastAsia" w:eastAsiaTheme="majorEastAsia" w:cstheme="majorEastAsia"/>
          <w:color w:val="auto"/>
          <w:spacing w:val="0"/>
          <w:kern w:val="10"/>
          <w:sz w:val="24"/>
          <w:szCs w:val="24"/>
          <w:highlight w:val="none"/>
          <w:lang w:val="en-US" w:eastAsia="zh-CN"/>
        </w:rPr>
        <w:t>使用单位或设计单位</w:t>
      </w:r>
      <w:r>
        <w:rPr>
          <w:rFonts w:hint="eastAsia" w:asciiTheme="majorEastAsia" w:hAnsiTheme="majorEastAsia" w:eastAsiaTheme="majorEastAsia" w:cstheme="majorEastAsia"/>
          <w:b w:val="0"/>
          <w:bCs w:val="0"/>
          <w:color w:val="auto"/>
          <w:spacing w:val="0"/>
          <w:kern w:val="10"/>
          <w:sz w:val="24"/>
          <w:szCs w:val="24"/>
          <w:highlight w:val="none"/>
          <w:lang w:eastAsia="zh-CN"/>
        </w:rPr>
        <w:t>直接向施工单位提出</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的</w:t>
      </w:r>
      <w:r>
        <w:rPr>
          <w:rFonts w:hint="eastAsia" w:asciiTheme="majorEastAsia" w:hAnsiTheme="majorEastAsia" w:eastAsiaTheme="majorEastAsia" w:cstheme="majorEastAsia"/>
          <w:b w:val="0"/>
          <w:bCs w:val="0"/>
          <w:color w:val="auto"/>
          <w:spacing w:val="0"/>
          <w:kern w:val="10"/>
          <w:sz w:val="24"/>
          <w:szCs w:val="24"/>
          <w:highlight w:val="none"/>
          <w:lang w:eastAsia="zh-CN"/>
        </w:rPr>
        <w:t>变更</w:t>
      </w:r>
      <w:r>
        <w:rPr>
          <w:rFonts w:hint="eastAsia" w:asciiTheme="majorEastAsia" w:hAnsiTheme="majorEastAsia" w:eastAsiaTheme="majorEastAsia" w:cstheme="majorEastAsia"/>
          <w:b w:val="0"/>
          <w:bCs w:val="0"/>
          <w:color w:val="auto"/>
          <w:spacing w:val="0"/>
          <w:kern w:val="10"/>
          <w:sz w:val="24"/>
          <w:szCs w:val="24"/>
          <w:highlight w:val="none"/>
          <w:lang w:val="en-US" w:eastAsia="zh-CN"/>
        </w:rPr>
        <w:t>要求</w:t>
      </w:r>
      <w:r>
        <w:rPr>
          <w:rFonts w:hint="eastAsia" w:asciiTheme="majorEastAsia" w:hAnsiTheme="majorEastAsia" w:eastAsiaTheme="majorEastAsia" w:cstheme="majorEastAsia"/>
          <w:color w:val="auto"/>
          <w:spacing w:val="0"/>
          <w:kern w:val="10"/>
          <w:sz w:val="24"/>
          <w:szCs w:val="24"/>
          <w:highlight w:val="none"/>
          <w:lang w:val="en-US" w:eastAsia="zh-CN"/>
        </w:rPr>
        <w:t>，</w:t>
      </w:r>
      <w:r>
        <w:rPr>
          <w:rFonts w:hint="eastAsia" w:asciiTheme="majorEastAsia" w:hAnsiTheme="majorEastAsia" w:eastAsiaTheme="majorEastAsia" w:cstheme="majorEastAsia"/>
          <w:b w:val="0"/>
          <w:bCs w:val="0"/>
          <w:color w:val="auto"/>
          <w:spacing w:val="0"/>
          <w:kern w:val="10"/>
          <w:sz w:val="24"/>
          <w:szCs w:val="24"/>
          <w:highlight w:val="none"/>
          <w:lang w:eastAsia="zh-CN"/>
        </w:rPr>
        <w:t>施工单位</w:t>
      </w:r>
      <w:r>
        <w:rPr>
          <w:rFonts w:hint="eastAsia" w:asciiTheme="majorEastAsia" w:hAnsiTheme="majorEastAsia" w:eastAsiaTheme="majorEastAsia" w:cstheme="majorEastAsia"/>
          <w:color w:val="auto"/>
          <w:spacing w:val="0"/>
          <w:kern w:val="10"/>
          <w:sz w:val="24"/>
          <w:szCs w:val="24"/>
          <w:highlight w:val="none"/>
          <w:lang w:val="en-US" w:eastAsia="zh-CN"/>
        </w:rPr>
        <w:t>未经代建中心同意而擅自实施的工程变更不予结算</w:t>
      </w:r>
      <w:r>
        <w:rPr>
          <w:rFonts w:hint="eastAsia" w:asciiTheme="majorEastAsia" w:hAnsiTheme="majorEastAsia" w:eastAsiaTheme="majorEastAsia" w:cstheme="majorEastAsia"/>
          <w:b w:val="0"/>
          <w:bCs w:val="0"/>
          <w:color w:val="auto"/>
          <w:spacing w:val="0"/>
          <w:kern w:val="10"/>
          <w:sz w:val="24"/>
          <w:szCs w:val="24"/>
          <w:highlight w:val="none"/>
          <w:lang w:val="en-US" w:eastAsia="zh-CN" w:bidi="ar-SA"/>
        </w:rPr>
        <w:t>，并扣除变更前的相关费用。</w:t>
      </w:r>
    </w:p>
    <w:p w14:paraId="138D5485">
      <w:pPr>
        <w:pStyle w:val="12"/>
        <w:keepNext w:val="0"/>
        <w:keepLines w:val="0"/>
        <w:pageBreakBefore w:val="0"/>
        <w:kinsoku/>
        <w:wordWrap/>
        <w:overflowPunct/>
        <w:topLinePunct w:val="0"/>
        <w:bidi w:val="0"/>
        <w:spacing w:line="560" w:lineRule="exact"/>
        <w:ind w:firstLine="640" w:firstLineChars="200"/>
        <w:textAlignment w:val="auto"/>
        <w:rPr>
          <w:rFonts w:hint="eastAsia" w:eastAsia="仿宋_GB2312" w:cs="仿宋_GB2312"/>
          <w:b w:val="0"/>
          <w:bCs w:val="0"/>
          <w:color w:val="auto"/>
          <w:spacing w:val="0"/>
          <w:kern w:val="10"/>
          <w:sz w:val="32"/>
          <w:szCs w:val="32"/>
          <w:highlight w:val="none"/>
          <w:lang w:val="en-US" w:eastAsia="zh-CN" w:bidi="ar-SA"/>
        </w:rPr>
      </w:pPr>
    </w:p>
    <w:p w14:paraId="0D5B87CA">
      <w:pPr>
        <w:keepNext w:val="0"/>
        <w:keepLines w:val="0"/>
        <w:pageBreakBefore w:val="0"/>
        <w:widowControl w:val="0"/>
        <w:numPr>
          <w:ilvl w:val="0"/>
          <w:numId w:val="17"/>
        </w:numPr>
        <w:kinsoku/>
        <w:wordWrap/>
        <w:overflowPunct/>
        <w:topLinePunct w:val="0"/>
        <w:autoSpaceDE/>
        <w:autoSpaceDN/>
        <w:bidi w:val="0"/>
        <w:adjustRightInd w:val="0"/>
        <w:snapToGrid w:val="0"/>
        <w:spacing w:before="157" w:beforeLines="50" w:after="157" w:afterLines="50" w:line="560" w:lineRule="exact"/>
        <w:jc w:val="center"/>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pacing w:val="0"/>
          <w:kern w:val="10"/>
          <w:sz w:val="24"/>
          <w:szCs w:val="24"/>
          <w:highlight w:val="none"/>
          <w:lang w:val="en-US" w:eastAsia="zh-CN" w:bidi="ar-SA"/>
        </w:rPr>
        <w:t>附  则</w:t>
      </w:r>
    </w:p>
    <w:p w14:paraId="7A4682D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color w:val="auto"/>
          <w:spacing w:val="0"/>
          <w:kern w:val="10"/>
          <w:sz w:val="24"/>
          <w:szCs w:val="24"/>
          <w:highlight w:val="none"/>
          <w:lang w:val="en-US" w:eastAsia="zh-CN" w:bidi="ar-SA"/>
        </w:rPr>
      </w:pPr>
      <w:r>
        <w:rPr>
          <w:rFonts w:hint="eastAsia" w:ascii="宋体" w:hAnsi="宋体" w:eastAsia="宋体" w:cs="宋体"/>
          <w:b w:val="0"/>
          <w:bCs w:val="0"/>
          <w:color w:val="auto"/>
          <w:spacing w:val="0"/>
          <w:kern w:val="10"/>
          <w:sz w:val="24"/>
          <w:szCs w:val="24"/>
          <w:highlight w:val="none"/>
          <w:lang w:val="en-US" w:eastAsia="zh-CN" w:bidi="ar-SA"/>
        </w:rPr>
        <w:t xml:space="preserve">第四十八条  </w:t>
      </w:r>
      <w:r>
        <w:rPr>
          <w:rFonts w:hint="eastAsia" w:ascii="宋体" w:hAnsi="宋体" w:eastAsia="宋体" w:cs="宋体"/>
          <w:color w:val="auto"/>
          <w:spacing w:val="0"/>
          <w:kern w:val="10"/>
          <w:sz w:val="24"/>
          <w:szCs w:val="24"/>
          <w:highlight w:val="none"/>
          <w:lang w:val="en-US" w:eastAsia="zh-CN" w:bidi="ar-SA"/>
        </w:rPr>
        <w:t>代建中心与各施工单位、造价咨询单位、设计单位、监理单位签订的合同中，此工作规程作为附件之一供参建各方共同遵守、执行。</w:t>
      </w:r>
    </w:p>
    <w:p w14:paraId="4363507D">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480" w:firstLineChars="200"/>
        <w:textAlignment w:val="auto"/>
        <w:outlineLvl w:val="9"/>
        <w:rPr>
          <w:rFonts w:hint="eastAsia" w:ascii="宋体" w:hAnsi="宋体" w:eastAsia="宋体" w:cs="宋体"/>
          <w:color w:val="auto"/>
          <w:spacing w:val="0"/>
          <w:kern w:val="10"/>
          <w:sz w:val="24"/>
          <w:szCs w:val="24"/>
          <w:highlight w:val="none"/>
          <w:lang w:eastAsia="zh-CN"/>
        </w:rPr>
      </w:pPr>
      <w:r>
        <w:rPr>
          <w:rFonts w:hint="eastAsia" w:ascii="宋体" w:hAnsi="宋体" w:eastAsia="宋体" w:cs="宋体"/>
          <w:b w:val="0"/>
          <w:bCs w:val="0"/>
          <w:color w:val="auto"/>
          <w:spacing w:val="0"/>
          <w:kern w:val="10"/>
          <w:sz w:val="24"/>
          <w:szCs w:val="24"/>
          <w:highlight w:val="none"/>
          <w:lang w:eastAsia="zh-CN"/>
        </w:rPr>
        <w:t>第四十九条</w:t>
      </w:r>
      <w:r>
        <w:rPr>
          <w:rFonts w:hint="eastAsia" w:ascii="宋体" w:hAnsi="宋体" w:eastAsia="宋体" w:cs="宋体"/>
          <w:color w:val="auto"/>
          <w:spacing w:val="0"/>
          <w:kern w:val="10"/>
          <w:sz w:val="24"/>
          <w:szCs w:val="24"/>
          <w:highlight w:val="none"/>
          <w:lang w:val="en-US" w:eastAsia="zh-CN"/>
        </w:rPr>
        <w:t xml:space="preserve">  </w:t>
      </w:r>
      <w:r>
        <w:rPr>
          <w:rFonts w:hint="eastAsia" w:ascii="宋体" w:hAnsi="宋体" w:eastAsia="宋体" w:cs="宋体"/>
          <w:color w:val="auto"/>
          <w:spacing w:val="0"/>
          <w:kern w:val="10"/>
          <w:sz w:val="24"/>
          <w:szCs w:val="24"/>
          <w:highlight w:val="none"/>
        </w:rPr>
        <w:t>本</w:t>
      </w:r>
      <w:r>
        <w:rPr>
          <w:rFonts w:hint="eastAsia" w:ascii="宋体" w:hAnsi="宋体" w:eastAsia="宋体" w:cs="宋体"/>
          <w:color w:val="auto"/>
          <w:spacing w:val="0"/>
          <w:kern w:val="10"/>
          <w:sz w:val="24"/>
          <w:szCs w:val="24"/>
          <w:highlight w:val="none"/>
          <w:lang w:eastAsia="zh-CN"/>
        </w:rPr>
        <w:t>工作</w:t>
      </w:r>
      <w:r>
        <w:rPr>
          <w:rFonts w:hint="eastAsia" w:ascii="宋体" w:hAnsi="宋体" w:eastAsia="宋体" w:cs="宋体"/>
          <w:color w:val="auto"/>
          <w:spacing w:val="0"/>
          <w:kern w:val="10"/>
          <w:sz w:val="24"/>
          <w:szCs w:val="24"/>
          <w:highlight w:val="none"/>
          <w:lang w:val="en-US" w:eastAsia="zh-CN"/>
        </w:rPr>
        <w:t>规程</w:t>
      </w:r>
      <w:r>
        <w:rPr>
          <w:rFonts w:hint="eastAsia" w:ascii="宋体" w:hAnsi="宋体" w:eastAsia="宋体" w:cs="宋体"/>
          <w:color w:val="auto"/>
          <w:spacing w:val="0"/>
          <w:kern w:val="10"/>
          <w:sz w:val="24"/>
          <w:szCs w:val="24"/>
          <w:highlight w:val="none"/>
        </w:rPr>
        <w:t>由鄂尔多斯市政府投资项目代建中心负责解释</w:t>
      </w:r>
      <w:r>
        <w:rPr>
          <w:rFonts w:hint="eastAsia" w:ascii="宋体" w:hAnsi="宋体" w:eastAsia="宋体" w:cs="宋体"/>
          <w:color w:val="auto"/>
          <w:spacing w:val="0"/>
          <w:kern w:val="10"/>
          <w:sz w:val="24"/>
          <w:szCs w:val="24"/>
          <w:highlight w:val="none"/>
          <w:lang w:eastAsia="zh-CN"/>
        </w:rPr>
        <w:t>。</w:t>
      </w:r>
    </w:p>
    <w:p w14:paraId="598C9244">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eastAsia" w:ascii="宋体" w:hAnsi="宋体" w:eastAsia="宋体" w:cs="宋体"/>
          <w:b w:val="0"/>
          <w:bCs w:val="0"/>
          <w:color w:val="auto"/>
          <w:spacing w:val="0"/>
          <w:kern w:val="10"/>
          <w:sz w:val="24"/>
          <w:szCs w:val="24"/>
          <w:highlight w:val="none"/>
          <w:lang w:val="en-US" w:eastAsia="zh-CN"/>
        </w:rPr>
      </w:pPr>
      <w:r>
        <w:rPr>
          <w:rFonts w:hint="eastAsia" w:ascii="宋体" w:hAnsi="宋体" w:eastAsia="宋体" w:cs="宋体"/>
          <w:b w:val="0"/>
          <w:bCs w:val="0"/>
          <w:color w:val="auto"/>
          <w:spacing w:val="0"/>
          <w:kern w:val="10"/>
          <w:sz w:val="24"/>
          <w:szCs w:val="24"/>
          <w:highlight w:val="none"/>
          <w:lang w:eastAsia="zh-CN"/>
        </w:rPr>
        <w:t>第五十条</w:t>
      </w:r>
      <w:r>
        <w:rPr>
          <w:rFonts w:hint="eastAsia" w:ascii="宋体" w:hAnsi="宋体" w:eastAsia="宋体" w:cs="宋体"/>
          <w:color w:val="auto"/>
          <w:spacing w:val="0"/>
          <w:kern w:val="10"/>
          <w:sz w:val="24"/>
          <w:szCs w:val="24"/>
          <w:highlight w:val="none"/>
          <w:lang w:val="en-US" w:eastAsia="zh-CN"/>
        </w:rPr>
        <w:t xml:space="preserve">  原</w:t>
      </w:r>
      <w:r>
        <w:rPr>
          <w:rFonts w:hint="eastAsia" w:ascii="宋体" w:hAnsi="宋体" w:eastAsia="宋体" w:cs="宋体"/>
          <w:b w:val="0"/>
          <w:bCs w:val="0"/>
          <w:color w:val="auto"/>
          <w:spacing w:val="0"/>
          <w:kern w:val="10"/>
          <w:sz w:val="24"/>
          <w:szCs w:val="24"/>
          <w:highlight w:val="none"/>
          <w:lang w:val="en-US" w:eastAsia="zh-CN"/>
        </w:rPr>
        <w:t>《鄂尔多斯市政府投资项目代建中心项目工程变更工作规程（试行）》《鄂尔多斯市政府投资项目代建中心材料、设备认质认价流程》自本规程施行之日起废止。《鄂尔多斯市政府投资项目代建中心项目管理制度（试行）》《鄂尔多斯市政府投资项目代建中心工程结算工作规程（试行）》与本规程不一致的，以本规程为准。</w:t>
      </w:r>
    </w:p>
    <w:p w14:paraId="69124364">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eastAsia" w:ascii="宋体" w:hAnsi="宋体" w:eastAsia="宋体" w:cs="宋体"/>
          <w:b/>
          <w:bCs/>
          <w:color w:val="auto"/>
          <w:spacing w:val="0"/>
          <w:sz w:val="24"/>
          <w:szCs w:val="24"/>
          <w:highlight w:val="none"/>
          <w:lang w:eastAsia="zh-CN"/>
        </w:rPr>
      </w:pPr>
      <w:r>
        <w:rPr>
          <w:rFonts w:hint="eastAsia" w:ascii="宋体" w:hAnsi="宋体" w:eastAsia="宋体" w:cs="宋体"/>
          <w:b w:val="0"/>
          <w:bCs w:val="0"/>
          <w:color w:val="auto"/>
          <w:spacing w:val="0"/>
          <w:kern w:val="10"/>
          <w:sz w:val="24"/>
          <w:szCs w:val="24"/>
          <w:highlight w:val="none"/>
          <w:lang w:eastAsia="zh-CN"/>
        </w:rPr>
        <w:t>第五十一条</w:t>
      </w:r>
      <w:r>
        <w:rPr>
          <w:rFonts w:hint="eastAsia" w:ascii="宋体" w:hAnsi="宋体" w:eastAsia="宋体" w:cs="宋体"/>
          <w:color w:val="auto"/>
          <w:spacing w:val="0"/>
          <w:kern w:val="10"/>
          <w:sz w:val="24"/>
          <w:szCs w:val="24"/>
          <w:highlight w:val="none"/>
          <w:lang w:val="en-US" w:eastAsia="zh-CN" w:bidi="ar-SA"/>
        </w:rPr>
        <w:t xml:space="preserve">  </w:t>
      </w:r>
      <w:r>
        <w:rPr>
          <w:rFonts w:hint="eastAsia" w:ascii="宋体" w:hAnsi="宋体" w:eastAsia="宋体" w:cs="宋体"/>
          <w:b w:val="0"/>
          <w:bCs w:val="0"/>
          <w:color w:val="auto"/>
          <w:spacing w:val="0"/>
          <w:kern w:val="10"/>
          <w:sz w:val="24"/>
          <w:szCs w:val="24"/>
          <w:highlight w:val="none"/>
          <w:lang w:val="en-US" w:eastAsia="zh-CN"/>
        </w:rPr>
        <w:t>本规程自2025年3月1日起施行。</w:t>
      </w:r>
    </w:p>
    <w:p w14:paraId="0CA03A7F">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color w:val="auto"/>
          <w:spacing w:val="0"/>
          <w:sz w:val="24"/>
          <w:szCs w:val="24"/>
          <w:highlight w:val="none"/>
          <w:lang w:eastAsia="zh-CN"/>
        </w:rPr>
      </w:pPr>
    </w:p>
    <w:p w14:paraId="446FC80A">
      <w:pPr>
        <w:pStyle w:val="7"/>
        <w:rPr>
          <w:rFonts w:hint="eastAsia" w:ascii="宋体" w:hAnsi="宋体" w:eastAsia="宋体" w:cs="宋体"/>
          <w:b/>
          <w:bCs/>
          <w:color w:val="auto"/>
          <w:spacing w:val="0"/>
          <w:sz w:val="24"/>
          <w:szCs w:val="24"/>
          <w:highlight w:val="none"/>
          <w:lang w:eastAsia="zh-CN"/>
        </w:rPr>
      </w:pPr>
    </w:p>
    <w:p w14:paraId="4422758F">
      <w:pPr>
        <w:pStyle w:val="7"/>
        <w:rPr>
          <w:rFonts w:hint="eastAsia" w:ascii="宋体" w:hAnsi="宋体" w:eastAsia="宋体" w:cs="宋体"/>
          <w:b/>
          <w:bCs/>
          <w:color w:val="auto"/>
          <w:spacing w:val="0"/>
          <w:sz w:val="24"/>
          <w:szCs w:val="24"/>
          <w:highlight w:val="none"/>
          <w:lang w:eastAsia="zh-CN"/>
        </w:rPr>
      </w:pPr>
    </w:p>
    <w:p w14:paraId="268344EE">
      <w:pPr>
        <w:pStyle w:val="7"/>
        <w:rPr>
          <w:rFonts w:hint="eastAsia" w:ascii="宋体" w:hAnsi="宋体" w:eastAsia="宋体" w:cs="宋体"/>
          <w:b/>
          <w:bCs/>
          <w:color w:val="auto"/>
          <w:spacing w:val="0"/>
          <w:sz w:val="24"/>
          <w:szCs w:val="24"/>
          <w:highlight w:val="none"/>
          <w:lang w:eastAsia="zh-CN"/>
        </w:rPr>
      </w:pPr>
    </w:p>
    <w:p w14:paraId="303A0E64">
      <w:pPr>
        <w:pStyle w:val="7"/>
        <w:rPr>
          <w:rFonts w:hint="eastAsia" w:ascii="宋体" w:hAnsi="宋体" w:eastAsia="宋体" w:cs="宋体"/>
          <w:b/>
          <w:bCs/>
          <w:color w:val="auto"/>
          <w:spacing w:val="0"/>
          <w:sz w:val="24"/>
          <w:szCs w:val="24"/>
          <w:highlight w:val="none"/>
          <w:lang w:eastAsia="zh-CN"/>
        </w:rPr>
      </w:pPr>
    </w:p>
    <w:p w14:paraId="6610A5E8">
      <w:pPr>
        <w:rPr>
          <w:rFonts w:hint="eastAsia" w:ascii="宋体" w:hAnsi="宋体" w:eastAsia="宋体" w:cs="宋体"/>
          <w:b/>
          <w:bCs/>
          <w:color w:val="auto"/>
          <w:spacing w:val="0"/>
          <w:sz w:val="24"/>
          <w:szCs w:val="24"/>
          <w:highlight w:val="none"/>
          <w:lang w:eastAsia="zh-CN"/>
        </w:rPr>
      </w:pPr>
    </w:p>
    <w:p w14:paraId="1F0FC621">
      <w:pPr>
        <w:pStyle w:val="7"/>
        <w:rPr>
          <w:rFonts w:hint="eastAsia" w:ascii="宋体" w:hAnsi="宋体" w:eastAsia="宋体" w:cs="宋体"/>
          <w:color w:val="auto"/>
          <w:sz w:val="24"/>
          <w:szCs w:val="24"/>
          <w:lang w:eastAsia="zh-CN"/>
        </w:rPr>
      </w:pPr>
    </w:p>
    <w:p w14:paraId="532FE8CA">
      <w:pPr>
        <w:rPr>
          <w:rFonts w:hint="eastAsia" w:ascii="宋体" w:hAnsi="宋体" w:eastAsia="宋体" w:cs="宋体"/>
          <w:color w:val="auto"/>
          <w:sz w:val="24"/>
          <w:szCs w:val="24"/>
          <w:lang w:eastAsia="zh-CN"/>
        </w:rPr>
      </w:pPr>
    </w:p>
    <w:p w14:paraId="296F19A7">
      <w:pPr>
        <w:pStyle w:val="7"/>
        <w:rPr>
          <w:rFonts w:hint="eastAsia" w:ascii="宋体" w:hAnsi="宋体" w:eastAsia="宋体" w:cs="宋体"/>
          <w:color w:val="auto"/>
          <w:sz w:val="24"/>
          <w:szCs w:val="24"/>
          <w:lang w:eastAsia="zh-CN"/>
        </w:rPr>
      </w:pPr>
    </w:p>
    <w:p w14:paraId="39B477CA">
      <w:pPr>
        <w:rPr>
          <w:rFonts w:hint="eastAsia" w:ascii="宋体" w:hAnsi="宋体" w:eastAsia="宋体" w:cs="宋体"/>
          <w:color w:val="auto"/>
          <w:sz w:val="24"/>
          <w:szCs w:val="24"/>
          <w:lang w:eastAsia="zh-CN"/>
        </w:rPr>
      </w:pPr>
    </w:p>
    <w:p w14:paraId="25872BF8">
      <w:pPr>
        <w:pStyle w:val="7"/>
        <w:ind w:left="0" w:leftChars="0" w:firstLine="0" w:firstLineChars="0"/>
        <w:rPr>
          <w:rFonts w:hint="eastAsia" w:ascii="宋体" w:hAnsi="宋体" w:eastAsia="宋体" w:cs="宋体"/>
          <w:b/>
          <w:bCs/>
          <w:color w:val="auto"/>
          <w:spacing w:val="0"/>
          <w:sz w:val="32"/>
          <w:szCs w:val="32"/>
          <w:highlight w:val="none"/>
          <w:lang w:eastAsia="zh-CN"/>
        </w:rPr>
      </w:pPr>
    </w:p>
    <w:p w14:paraId="5141C6A5">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黑体" w:hAnsi="黑体" w:eastAsia="黑体" w:cs="黑体"/>
          <w:b w:val="0"/>
          <w:bCs w:val="0"/>
          <w:color w:val="auto"/>
          <w:spacing w:val="0"/>
          <w:sz w:val="28"/>
          <w:szCs w:val="28"/>
          <w:highlight w:val="none"/>
          <w:lang w:eastAsia="zh-CN"/>
        </w:rPr>
      </w:pPr>
    </w:p>
    <w:p w14:paraId="28DAD26C">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黑体" w:hAnsi="黑体" w:eastAsia="黑体" w:cs="黑体"/>
          <w:b w:val="0"/>
          <w:bCs w:val="0"/>
          <w:color w:val="auto"/>
          <w:spacing w:val="0"/>
          <w:sz w:val="28"/>
          <w:szCs w:val="28"/>
          <w:highlight w:val="none"/>
          <w:lang w:eastAsia="zh-CN"/>
        </w:rPr>
      </w:pPr>
    </w:p>
    <w:p w14:paraId="395A1EDC">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黑体" w:hAnsi="黑体" w:eastAsia="黑体" w:cs="黑体"/>
          <w:b w:val="0"/>
          <w:bCs w:val="0"/>
          <w:color w:val="auto"/>
          <w:spacing w:val="0"/>
          <w:sz w:val="28"/>
          <w:szCs w:val="28"/>
          <w:highlight w:val="none"/>
          <w:lang w:eastAsia="zh-CN"/>
        </w:rPr>
      </w:pPr>
    </w:p>
    <w:p w14:paraId="12421F3E">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黑体" w:hAnsi="黑体" w:eastAsia="黑体" w:cs="黑体"/>
          <w:b w:val="0"/>
          <w:bCs w:val="0"/>
          <w:color w:val="auto"/>
          <w:spacing w:val="0"/>
          <w:sz w:val="28"/>
          <w:szCs w:val="28"/>
          <w:highlight w:val="none"/>
          <w:lang w:eastAsia="zh-CN"/>
        </w:rPr>
      </w:pPr>
    </w:p>
    <w:p w14:paraId="0CA5D132">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黑体" w:hAnsi="黑体" w:eastAsia="黑体" w:cs="黑体"/>
          <w:b w:val="0"/>
          <w:bCs w:val="0"/>
          <w:color w:val="auto"/>
          <w:spacing w:val="0"/>
          <w:sz w:val="28"/>
          <w:szCs w:val="28"/>
          <w:highlight w:val="none"/>
          <w:lang w:eastAsia="zh-CN"/>
        </w:rPr>
      </w:pPr>
    </w:p>
    <w:p w14:paraId="59AED73D">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黑体" w:hAnsi="黑体" w:eastAsia="黑体" w:cs="黑体"/>
          <w:b w:val="0"/>
          <w:bCs w:val="0"/>
          <w:color w:val="auto"/>
          <w:spacing w:val="0"/>
          <w:sz w:val="28"/>
          <w:szCs w:val="28"/>
          <w:highlight w:val="none"/>
          <w:lang w:eastAsia="zh-CN"/>
        </w:rPr>
      </w:pPr>
    </w:p>
    <w:p w14:paraId="4FCFD537">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黑体" w:hAnsi="黑体" w:eastAsia="黑体" w:cs="黑体"/>
          <w:b w:val="0"/>
          <w:bCs w:val="0"/>
          <w:color w:val="auto"/>
          <w:spacing w:val="0"/>
          <w:sz w:val="28"/>
          <w:szCs w:val="28"/>
          <w:highlight w:val="none"/>
          <w:lang w:val="en-US" w:eastAsia="zh-CN"/>
        </w:rPr>
      </w:pPr>
      <w:r>
        <w:rPr>
          <w:rFonts w:hint="eastAsia" w:ascii="黑体" w:hAnsi="黑体" w:eastAsia="黑体" w:cs="黑体"/>
          <w:b w:val="0"/>
          <w:bCs w:val="0"/>
          <w:color w:val="auto"/>
          <w:spacing w:val="0"/>
          <w:sz w:val="28"/>
          <w:szCs w:val="28"/>
          <w:highlight w:val="none"/>
          <w:lang w:eastAsia="zh-CN"/>
        </w:rPr>
        <w:t>附件</w:t>
      </w:r>
      <w:r>
        <w:rPr>
          <w:rFonts w:hint="eastAsia" w:ascii="黑体" w:hAnsi="黑体" w:eastAsia="黑体" w:cs="黑体"/>
          <w:b w:val="0"/>
          <w:bCs w:val="0"/>
          <w:color w:val="auto"/>
          <w:spacing w:val="0"/>
          <w:sz w:val="28"/>
          <w:szCs w:val="28"/>
          <w:highlight w:val="none"/>
          <w:lang w:val="en-US" w:eastAsia="zh-CN"/>
        </w:rPr>
        <w:t>1</w:t>
      </w:r>
    </w:p>
    <w:p w14:paraId="2B622982">
      <w:pPr>
        <w:adjustRightInd w:val="0"/>
        <w:snapToGrid w:val="0"/>
        <w:spacing w:line="560" w:lineRule="exact"/>
        <w:jc w:val="center"/>
        <w:rPr>
          <w:rFonts w:hint="eastAsia" w:ascii="方正小标宋简体" w:eastAsia="方正小标宋简体"/>
          <w:color w:val="auto"/>
          <w:sz w:val="44"/>
          <w:szCs w:val="44"/>
        </w:rPr>
      </w:pPr>
    </w:p>
    <w:p w14:paraId="12B7A754">
      <w:pPr>
        <w:adjustRightInd w:val="0"/>
        <w:snapToGrid w:val="0"/>
        <w:spacing w:line="560" w:lineRule="exact"/>
        <w:jc w:val="center"/>
        <w:rPr>
          <w:rFonts w:ascii="方正小标宋简体" w:eastAsia="方正小标宋简体"/>
          <w:color w:val="auto"/>
          <w:sz w:val="44"/>
          <w:szCs w:val="44"/>
        </w:rPr>
      </w:pPr>
      <w:r>
        <w:rPr>
          <w:rFonts w:hint="eastAsia" w:ascii="方正小标宋简体" w:eastAsia="方正小标宋简体"/>
          <w:color w:val="auto"/>
          <w:sz w:val="44"/>
          <w:szCs w:val="44"/>
        </w:rPr>
        <w:t>使用单位红头文件</w:t>
      </w:r>
    </w:p>
    <w:p w14:paraId="2C1A8F8A">
      <w:pPr>
        <w:pBdr>
          <w:bottom w:val="thinThickThinMediumGap" w:color="auto" w:sz="18" w:space="0"/>
        </w:pBdr>
        <w:adjustRightInd w:val="0"/>
        <w:snapToGrid w:val="0"/>
        <w:spacing w:line="560" w:lineRule="exact"/>
        <w:jc w:val="center"/>
        <w:rPr>
          <w:rFonts w:ascii="仿宋" w:hAnsi="仿宋" w:eastAsia="仿宋" w:cs="仿宋"/>
          <w:color w:val="auto"/>
          <w:sz w:val="28"/>
          <w:szCs w:val="28"/>
        </w:rPr>
      </w:pPr>
      <w:r>
        <w:rPr>
          <w:rFonts w:hint="eastAsia" w:ascii="仿宋" w:hAnsi="仿宋" w:eastAsia="仿宋" w:cs="仿宋"/>
          <w:color w:val="auto"/>
          <w:sz w:val="28"/>
          <w:szCs w:val="28"/>
        </w:rPr>
        <w:t>文号</w:t>
      </w:r>
    </w:p>
    <w:p w14:paraId="0AD53973">
      <w:pPr>
        <w:pStyle w:val="12"/>
        <w:spacing w:line="560" w:lineRule="exact"/>
        <w:rPr>
          <w:color w:val="auto"/>
        </w:rPr>
      </w:pPr>
    </w:p>
    <w:p w14:paraId="14E6E021">
      <w:pPr>
        <w:adjustRightInd w:val="0"/>
        <w:snapToGrid w:val="0"/>
        <w:spacing w:line="560" w:lineRule="exact"/>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关于申请**项目工程变更的函</w:t>
      </w:r>
    </w:p>
    <w:p w14:paraId="0A68C7C1">
      <w:pPr>
        <w:adjustRightInd w:val="0"/>
        <w:snapToGrid w:val="0"/>
        <w:spacing w:line="560" w:lineRule="exact"/>
        <w:jc w:val="center"/>
        <w:rPr>
          <w:rFonts w:ascii="仿宋" w:hAnsi="仿宋" w:eastAsia="仿宋" w:cs="仿宋"/>
          <w:color w:val="auto"/>
          <w:sz w:val="44"/>
          <w:szCs w:val="44"/>
        </w:rPr>
      </w:pPr>
    </w:p>
    <w:p w14:paraId="090FBA36">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jc w:val="left"/>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鄂尔多斯市政府投资项目代建中心：</w:t>
      </w:r>
    </w:p>
    <w:p w14:paraId="7D7ABD40">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jc w:val="left"/>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我方作为</w:t>
      </w:r>
      <w:r>
        <w:rPr>
          <w:rFonts w:hint="eastAsia" w:ascii="仿宋_GB2312" w:hAnsi="仿宋_GB2312" w:eastAsia="仿宋_GB2312" w:cs="仿宋_GB2312"/>
          <w:color w:val="auto"/>
          <w:sz w:val="32"/>
          <w:szCs w:val="32"/>
        </w:rPr>
        <w:t>**项目</w:t>
      </w:r>
      <w:r>
        <w:rPr>
          <w:rFonts w:hint="eastAsia" w:ascii="仿宋_GB2312" w:hAnsi="仿宋_GB2312" w:eastAsia="仿宋_GB2312" w:cs="仿宋_GB2312"/>
          <w:color w:val="auto"/>
          <w:sz w:val="32"/>
          <w:szCs w:val="32"/>
          <w:lang w:val="en-US" w:eastAsia="zh-CN"/>
        </w:rPr>
        <w:t>的使用</w:t>
      </w:r>
      <w:r>
        <w:rPr>
          <w:rFonts w:hint="eastAsia" w:ascii="仿宋_GB2312" w:hAnsi="仿宋_GB2312" w:eastAsia="仿宋_GB2312" w:cs="仿宋_GB2312"/>
          <w:color w:val="auto"/>
          <w:sz w:val="32"/>
          <w:szCs w:val="32"/>
        </w:rPr>
        <w:t>单位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鉴于项目使用功能和需求，提出如下工程变更原因及内容：</w:t>
      </w:r>
    </w:p>
    <w:p w14:paraId="72CFF1B7">
      <w:pPr>
        <w:pStyle w:val="7"/>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lang w:val="en-US" w:eastAsia="zh-CN"/>
        </w:rPr>
      </w:pPr>
    </w:p>
    <w:p w14:paraId="62E7F974">
      <w:pPr>
        <w:pStyle w:val="7"/>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一、由于……原因,拟将……变更为……。</w:t>
      </w:r>
    </w:p>
    <w:p w14:paraId="689B1115">
      <w:pPr>
        <w:pStyle w:val="7"/>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二、由于……原因,拟将……变更为……。</w:t>
      </w:r>
    </w:p>
    <w:p w14:paraId="59534039">
      <w:pPr>
        <w:pStyle w:val="7"/>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三、由于……原因,拟将……变更为……。</w:t>
      </w:r>
    </w:p>
    <w:p w14:paraId="2D206C7C">
      <w:pPr>
        <w:pStyle w:val="7"/>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w:t>
      </w:r>
    </w:p>
    <w:p w14:paraId="39CC5239">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auto"/>
          <w:sz w:val="32"/>
          <w:szCs w:val="32"/>
        </w:rPr>
      </w:pPr>
    </w:p>
    <w:p w14:paraId="61B1ECC2">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auto"/>
          <w:sz w:val="32"/>
          <w:szCs w:val="32"/>
        </w:rPr>
      </w:pPr>
    </w:p>
    <w:p w14:paraId="0E83DA10">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特此申请</w:t>
      </w:r>
    </w:p>
    <w:p w14:paraId="463E85CD">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jc w:val="left"/>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eastAsia="zh-CN"/>
        </w:rPr>
        <w:t>（单位名称）</w:t>
      </w:r>
    </w:p>
    <w:p w14:paraId="18B3FDA1">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textAlignment w:val="auto"/>
        <w:outlineLvl w:val="9"/>
        <w:rPr>
          <w:rFonts w:hint="eastAsia" w:ascii="仿宋" w:hAnsi="仿宋" w:eastAsia="仿宋" w:cs="仿宋"/>
          <w:color w:val="auto"/>
          <w:sz w:val="32"/>
          <w:szCs w:val="32"/>
        </w:rPr>
      </w:pP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**年**月**日  </w:t>
      </w:r>
      <w:r>
        <w:rPr>
          <w:rFonts w:hint="eastAsia" w:ascii="仿宋" w:hAnsi="仿宋" w:eastAsia="仿宋" w:cs="仿宋"/>
          <w:color w:val="auto"/>
          <w:sz w:val="32"/>
          <w:szCs w:val="32"/>
        </w:rPr>
        <w:t xml:space="preserve">    </w:t>
      </w:r>
    </w:p>
    <w:p w14:paraId="54C01D52">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 w:hAnsi="仿宋" w:eastAsia="仿宋" w:cs="仿宋"/>
          <w:color w:val="auto"/>
          <w:sz w:val="32"/>
          <w:szCs w:val="32"/>
        </w:rPr>
      </w:pPr>
    </w:p>
    <w:p w14:paraId="420C7B96">
      <w:pPr>
        <w:keepNext w:val="0"/>
        <w:keepLines w:val="0"/>
        <w:pageBreakBefore w:val="0"/>
        <w:kinsoku/>
        <w:overflowPunct/>
        <w:topLinePunct w:val="0"/>
        <w:bidi w:val="0"/>
        <w:spacing w:line="560" w:lineRule="exact"/>
        <w:jc w:val="left"/>
        <w:textAlignment w:val="auto"/>
        <w:rPr>
          <w:rFonts w:hint="eastAsia" w:ascii="宋体" w:hAnsi="宋体" w:eastAsia="宋体" w:cs="宋体"/>
          <w:b/>
          <w:bCs/>
          <w:color w:val="auto"/>
          <w:spacing w:val="0"/>
          <w:sz w:val="32"/>
          <w:szCs w:val="32"/>
          <w:highlight w:val="none"/>
          <w:lang w:eastAsia="zh-CN"/>
        </w:rPr>
      </w:pPr>
    </w:p>
    <w:p w14:paraId="77A90E46">
      <w:pPr>
        <w:pStyle w:val="7"/>
        <w:rPr>
          <w:rFonts w:hint="eastAsia"/>
          <w:color w:val="auto"/>
          <w:lang w:eastAsia="zh-CN"/>
        </w:rPr>
      </w:pPr>
    </w:p>
    <w:p w14:paraId="5D979127">
      <w:pPr>
        <w:pStyle w:val="7"/>
        <w:ind w:left="0" w:leftChars="0" w:firstLine="0" w:firstLineChars="0"/>
        <w:rPr>
          <w:rFonts w:hint="eastAsia"/>
          <w:color w:val="auto"/>
          <w:lang w:eastAsia="zh-CN"/>
        </w:rPr>
      </w:pPr>
    </w:p>
    <w:p w14:paraId="31442A32">
      <w:pPr>
        <w:pStyle w:val="7"/>
        <w:rPr>
          <w:rFonts w:hint="eastAsia"/>
          <w:color w:val="auto"/>
          <w:lang w:eastAsia="zh-CN"/>
        </w:rPr>
      </w:pPr>
    </w:p>
    <w:p w14:paraId="18EF4AB7">
      <w:pPr>
        <w:keepNext w:val="0"/>
        <w:keepLines w:val="0"/>
        <w:pageBreakBefore w:val="0"/>
        <w:widowControl w:val="0"/>
        <w:kinsoku/>
        <w:overflowPunct/>
        <w:topLinePunct w:val="0"/>
        <w:bidi w:val="0"/>
        <w:snapToGrid/>
        <w:spacing w:line="400" w:lineRule="exact"/>
        <w:ind w:right="0" w:rightChars="0"/>
        <w:jc w:val="left"/>
        <w:textAlignment w:val="auto"/>
        <w:outlineLvl w:val="9"/>
        <w:rPr>
          <w:rFonts w:hint="eastAsia" w:ascii="宋体" w:hAnsi="宋体" w:eastAsia="宋体" w:cs="宋体"/>
          <w:b/>
          <w:bCs/>
          <w:color w:val="auto"/>
          <w:spacing w:val="0"/>
          <w:sz w:val="28"/>
          <w:szCs w:val="28"/>
          <w:highlight w:val="none"/>
          <w:lang w:eastAsia="zh-CN"/>
        </w:rPr>
      </w:pPr>
      <w:r>
        <w:rPr>
          <w:rFonts w:hint="eastAsia" w:ascii="黑体" w:hAnsi="黑体" w:eastAsia="黑体" w:cs="黑体"/>
          <w:b w:val="0"/>
          <w:bCs w:val="0"/>
          <w:color w:val="auto"/>
          <w:spacing w:val="0"/>
          <w:sz w:val="28"/>
          <w:szCs w:val="28"/>
          <w:highlight w:val="none"/>
          <w:lang w:eastAsia="zh-CN"/>
        </w:rPr>
        <w:t>附件</w:t>
      </w:r>
      <w:r>
        <w:rPr>
          <w:rFonts w:hint="eastAsia" w:ascii="黑体" w:hAnsi="黑体" w:eastAsia="黑体" w:cs="黑体"/>
          <w:b w:val="0"/>
          <w:bCs w:val="0"/>
          <w:color w:val="auto"/>
          <w:spacing w:val="0"/>
          <w:sz w:val="28"/>
          <w:szCs w:val="28"/>
          <w:highlight w:val="none"/>
          <w:lang w:val="en-US" w:eastAsia="zh-CN"/>
        </w:rPr>
        <w:t>2</w:t>
      </w:r>
    </w:p>
    <w:p w14:paraId="4F1CD798">
      <w:pPr>
        <w:keepNext w:val="0"/>
        <w:keepLines w:val="0"/>
        <w:pageBreakBefore w:val="0"/>
        <w:widowControl w:val="0"/>
        <w:tabs>
          <w:tab w:val="left" w:pos="180"/>
        </w:tabs>
        <w:kinsoku/>
        <w:overflowPunct/>
        <w:topLinePunct w:val="0"/>
        <w:autoSpaceDE/>
        <w:autoSpaceDN/>
        <w:bidi w:val="0"/>
        <w:snapToGrid/>
        <w:spacing w:line="400" w:lineRule="exact"/>
        <w:ind w:right="0" w:rightChars="0"/>
        <w:jc w:val="center"/>
        <w:textAlignment w:val="auto"/>
        <w:outlineLvl w:val="9"/>
        <w:rPr>
          <w:rFonts w:hint="eastAsia" w:ascii="方正小标宋简体" w:hAnsi="方正小标宋简体" w:eastAsia="方正小标宋简体" w:cs="方正小标宋简体"/>
          <w:b w:val="0"/>
          <w:bCs w:val="0"/>
          <w:color w:val="auto"/>
          <w:spacing w:val="0"/>
          <w:sz w:val="36"/>
          <w:szCs w:val="36"/>
          <w:highlight w:val="none"/>
        </w:rPr>
      </w:pPr>
      <w:r>
        <w:rPr>
          <w:rFonts w:hint="eastAsia" w:ascii="方正小标宋简体" w:hAnsi="方正小标宋简体" w:eastAsia="方正小标宋简体" w:cs="方正小标宋简体"/>
          <w:b w:val="0"/>
          <w:bCs w:val="0"/>
          <w:color w:val="auto"/>
          <w:spacing w:val="0"/>
          <w:sz w:val="36"/>
          <w:szCs w:val="36"/>
          <w:highlight w:val="none"/>
        </w:rPr>
        <w:t>设计变更</w:t>
      </w:r>
      <w:r>
        <w:rPr>
          <w:rFonts w:hint="eastAsia" w:ascii="方正小标宋简体" w:hAnsi="方正小标宋简体" w:eastAsia="方正小标宋简体" w:cs="方正小标宋简体"/>
          <w:b w:val="0"/>
          <w:bCs w:val="0"/>
          <w:color w:val="auto"/>
          <w:spacing w:val="0"/>
          <w:sz w:val="36"/>
          <w:szCs w:val="36"/>
          <w:highlight w:val="none"/>
          <w:lang w:eastAsia="zh-CN"/>
        </w:rPr>
        <w:t>审批</w:t>
      </w:r>
      <w:r>
        <w:rPr>
          <w:rFonts w:hint="eastAsia" w:ascii="方正小标宋简体" w:hAnsi="方正小标宋简体" w:eastAsia="方正小标宋简体" w:cs="方正小标宋简体"/>
          <w:b w:val="0"/>
          <w:bCs w:val="0"/>
          <w:color w:val="auto"/>
          <w:spacing w:val="0"/>
          <w:sz w:val="36"/>
          <w:szCs w:val="36"/>
          <w:highlight w:val="none"/>
        </w:rPr>
        <w:t>单</w:t>
      </w:r>
    </w:p>
    <w:p w14:paraId="4EE31D40">
      <w:pPr>
        <w:keepNext w:val="0"/>
        <w:keepLines w:val="0"/>
        <w:pageBreakBefore w:val="0"/>
        <w:widowControl w:val="0"/>
        <w:tabs>
          <w:tab w:val="left" w:pos="180"/>
        </w:tabs>
        <w:kinsoku/>
        <w:wordWrap/>
        <w:overflowPunct/>
        <w:topLinePunct w:val="0"/>
        <w:autoSpaceDE/>
        <w:autoSpaceDN/>
        <w:bidi w:val="0"/>
        <w:snapToGrid/>
        <w:spacing w:line="400" w:lineRule="exact"/>
        <w:ind w:right="0" w:rightChars="0"/>
        <w:jc w:val="left"/>
        <w:textAlignment w:val="auto"/>
        <w:outlineLvl w:val="9"/>
        <w:rPr>
          <w:rFonts w:hint="default" w:ascii="宋体" w:hAnsi="宋体" w:eastAsia="宋体" w:cs="宋体"/>
          <w:b/>
          <w:bCs/>
          <w:color w:val="auto"/>
          <w:spacing w:val="0"/>
          <w:sz w:val="24"/>
          <w:szCs w:val="24"/>
          <w:highlight w:val="none"/>
          <w:u w:val="double"/>
          <w:lang w:val="en-US" w:eastAsia="zh-CN"/>
        </w:rPr>
      </w:pPr>
      <w:r>
        <w:rPr>
          <w:rFonts w:hint="eastAsia" w:ascii="黑体" w:hAnsi="黑体" w:eastAsia="黑体" w:cs="黑体"/>
          <w:b w:val="0"/>
          <w:bCs w:val="0"/>
          <w:color w:val="auto"/>
          <w:spacing w:val="0"/>
          <w:sz w:val="24"/>
          <w:szCs w:val="24"/>
          <w:highlight w:val="none"/>
          <w:lang w:eastAsia="zh-CN"/>
        </w:rPr>
        <w:t>项目名称：</w:t>
      </w:r>
      <w:r>
        <w:rPr>
          <w:rFonts w:hint="eastAsia" w:ascii="宋体" w:hAnsi="宋体" w:eastAsia="宋体" w:cs="宋体"/>
          <w:color w:val="auto"/>
          <w:spacing w:val="0"/>
          <w:sz w:val="24"/>
          <w:szCs w:val="24"/>
          <w:highlight w:val="none"/>
          <w:lang w:val="en-US" w:eastAsia="zh-CN"/>
        </w:rPr>
        <w:t xml:space="preserve">                                            </w:t>
      </w:r>
      <w:r>
        <w:rPr>
          <w:rFonts w:hint="eastAsia" w:ascii="宋体" w:hAnsi="宋体" w:cs="宋体"/>
          <w:b/>
          <w:bCs/>
          <w:color w:val="auto"/>
          <w:spacing w:val="0"/>
          <w:sz w:val="24"/>
          <w:szCs w:val="24"/>
          <w:highlight w:val="none"/>
          <w:lang w:val="en-US" w:eastAsia="zh-CN"/>
        </w:rPr>
        <w:t xml:space="preserve"> </w:t>
      </w:r>
      <w:r>
        <w:rPr>
          <w:rFonts w:hint="eastAsia" w:ascii="黑体" w:hAnsi="黑体" w:eastAsia="黑体" w:cs="黑体"/>
          <w:b w:val="0"/>
          <w:bCs w:val="0"/>
          <w:color w:val="auto"/>
          <w:spacing w:val="0"/>
          <w:sz w:val="24"/>
          <w:szCs w:val="24"/>
          <w:highlight w:val="none"/>
          <w:lang w:val="en-US" w:eastAsia="zh-CN"/>
        </w:rPr>
        <w:t>变更专业：</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1525"/>
        <w:gridCol w:w="1933"/>
        <w:gridCol w:w="516"/>
        <w:gridCol w:w="1062"/>
        <w:gridCol w:w="1001"/>
        <w:gridCol w:w="862"/>
        <w:gridCol w:w="939"/>
      </w:tblGrid>
      <w:tr w14:paraId="38E42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700" w:type="dxa"/>
            <w:noWrap w:val="0"/>
            <w:vAlign w:val="center"/>
          </w:tcPr>
          <w:p w14:paraId="40CD86A3">
            <w:pPr>
              <w:keepNext w:val="0"/>
              <w:keepLines w:val="0"/>
              <w:pageBreakBefore w:val="0"/>
              <w:widowControl w:val="0"/>
              <w:kinsoku/>
              <w:wordWrap/>
              <w:overflowPunct/>
              <w:topLinePunct w:val="0"/>
              <w:autoSpaceDE/>
              <w:autoSpaceDN/>
              <w:bidi w:val="0"/>
              <w:adjustRightInd/>
              <w:snapToGrid/>
              <w:spacing w:line="400" w:lineRule="exact"/>
              <w:ind w:right="0" w:rightChars="0"/>
              <w:jc w:val="center"/>
              <w:textAlignment w:val="auto"/>
              <w:outlineLvl w:val="9"/>
              <w:rPr>
                <w:rFonts w:hint="eastAsia" w:ascii="宋体" w:hAnsi="宋体" w:eastAsia="宋体" w:cs="宋体"/>
                <w:b/>
                <w:bCs/>
                <w:color w:val="auto"/>
                <w:spacing w:val="0"/>
                <w:sz w:val="24"/>
                <w:szCs w:val="24"/>
                <w:highlight w:val="none"/>
                <w:lang w:eastAsia="zh-CN"/>
              </w:rPr>
            </w:pPr>
            <w:r>
              <w:rPr>
                <w:rFonts w:hint="eastAsia" w:ascii="黑体" w:hAnsi="黑体" w:eastAsia="黑体" w:cs="黑体"/>
                <w:b w:val="0"/>
                <w:bCs w:val="0"/>
                <w:color w:val="auto"/>
                <w:spacing w:val="0"/>
                <w:sz w:val="24"/>
                <w:szCs w:val="24"/>
                <w:highlight w:val="none"/>
                <w:lang w:val="en-US" w:eastAsia="zh-CN"/>
              </w:rPr>
              <w:t>变更事项名称</w:t>
            </w:r>
          </w:p>
        </w:tc>
        <w:tc>
          <w:tcPr>
            <w:tcW w:w="3974" w:type="dxa"/>
            <w:gridSpan w:val="3"/>
            <w:noWrap w:val="0"/>
            <w:vAlign w:val="center"/>
          </w:tcPr>
          <w:p w14:paraId="55AE869C">
            <w:pPr>
              <w:keepNext w:val="0"/>
              <w:keepLines w:val="0"/>
              <w:pageBreakBefore w:val="0"/>
              <w:widowControl w:val="0"/>
              <w:kinsoku/>
              <w:wordWrap/>
              <w:overflowPunct/>
              <w:topLinePunct w:val="0"/>
              <w:autoSpaceDE/>
              <w:autoSpaceDN/>
              <w:bidi w:val="0"/>
              <w:adjustRightInd/>
              <w:snapToGrid/>
              <w:spacing w:line="400" w:lineRule="exact"/>
              <w:ind w:right="0" w:rightChars="0"/>
              <w:jc w:val="center"/>
              <w:textAlignment w:val="auto"/>
              <w:outlineLvl w:val="9"/>
              <w:rPr>
                <w:rFonts w:hint="eastAsia" w:ascii="宋体" w:hAnsi="宋体" w:eastAsia="宋体" w:cs="宋体"/>
                <w:b/>
                <w:bCs/>
                <w:color w:val="auto"/>
                <w:spacing w:val="0"/>
                <w:sz w:val="24"/>
                <w:szCs w:val="24"/>
                <w:highlight w:val="none"/>
              </w:rPr>
            </w:pPr>
          </w:p>
        </w:tc>
        <w:tc>
          <w:tcPr>
            <w:tcW w:w="2063" w:type="dxa"/>
            <w:gridSpan w:val="2"/>
            <w:noWrap w:val="0"/>
            <w:vAlign w:val="center"/>
          </w:tcPr>
          <w:p w14:paraId="2E6A43C8">
            <w:pPr>
              <w:keepNext w:val="0"/>
              <w:keepLines w:val="0"/>
              <w:pageBreakBefore w:val="0"/>
              <w:widowControl w:val="0"/>
              <w:kinsoku/>
              <w:wordWrap/>
              <w:overflowPunct/>
              <w:topLinePunct w:val="0"/>
              <w:autoSpaceDE/>
              <w:autoSpaceDN/>
              <w:bidi w:val="0"/>
              <w:adjustRightInd/>
              <w:snapToGrid/>
              <w:spacing w:line="400" w:lineRule="exact"/>
              <w:ind w:right="0" w:rightChars="0"/>
              <w:jc w:val="center"/>
              <w:textAlignment w:val="auto"/>
              <w:outlineLvl w:val="9"/>
              <w:rPr>
                <w:rFonts w:hint="eastAsia" w:ascii="黑体" w:hAnsi="黑体" w:eastAsia="黑体" w:cs="黑体"/>
                <w:b w:val="0"/>
                <w:bCs w:val="0"/>
                <w:color w:val="auto"/>
                <w:lang w:eastAsia="zh-CN"/>
              </w:rPr>
            </w:pPr>
            <w:r>
              <w:rPr>
                <w:rFonts w:hint="eastAsia" w:ascii="黑体" w:hAnsi="黑体" w:eastAsia="黑体" w:cs="黑体"/>
                <w:b w:val="0"/>
                <w:bCs w:val="0"/>
                <w:color w:val="auto"/>
                <w:lang w:eastAsia="zh-CN"/>
              </w:rPr>
              <w:t>设计变更编号</w:t>
            </w:r>
          </w:p>
          <w:p w14:paraId="4EA317DB">
            <w:pPr>
              <w:pStyle w:val="7"/>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黑体" w:hAnsi="黑体" w:eastAsia="黑体" w:cs="黑体"/>
                <w:b w:val="0"/>
                <w:bCs w:val="0"/>
                <w:color w:val="auto"/>
                <w:lang w:eastAsia="zh-CN"/>
              </w:rPr>
            </w:pPr>
            <w:r>
              <w:rPr>
                <w:rFonts w:hint="eastAsia" w:ascii="楷体_GB2312" w:hAnsi="楷体_GB2312" w:eastAsia="楷体_GB2312" w:cs="楷体_GB2312"/>
                <w:b w:val="0"/>
                <w:bCs w:val="0"/>
                <w:color w:val="auto"/>
                <w:spacing w:val="0"/>
                <w:sz w:val="21"/>
                <w:szCs w:val="21"/>
                <w:highlight w:val="none"/>
                <w:lang w:eastAsia="zh-CN"/>
              </w:rPr>
              <w:t>（审批通过后填写）</w:t>
            </w:r>
          </w:p>
        </w:tc>
        <w:tc>
          <w:tcPr>
            <w:tcW w:w="1801" w:type="dxa"/>
            <w:gridSpan w:val="2"/>
            <w:noWrap w:val="0"/>
            <w:vAlign w:val="top"/>
          </w:tcPr>
          <w:p w14:paraId="7E0EFB03">
            <w:pPr>
              <w:keepNext w:val="0"/>
              <w:keepLines w:val="0"/>
              <w:pageBreakBefore w:val="0"/>
              <w:widowControl w:val="0"/>
              <w:kinsoku/>
              <w:overflowPunct/>
              <w:topLinePunct w:val="0"/>
              <w:autoSpaceDE/>
              <w:autoSpaceDN/>
              <w:bidi w:val="0"/>
              <w:snapToGrid/>
              <w:spacing w:line="400" w:lineRule="exact"/>
              <w:ind w:right="0" w:rightChars="0"/>
              <w:jc w:val="center"/>
              <w:textAlignment w:val="auto"/>
              <w:outlineLvl w:val="9"/>
              <w:rPr>
                <w:rFonts w:hint="eastAsia" w:ascii="宋体" w:hAnsi="宋体" w:eastAsia="宋体" w:cs="宋体"/>
                <w:b/>
                <w:bCs/>
                <w:color w:val="auto"/>
                <w:spacing w:val="0"/>
                <w:sz w:val="24"/>
                <w:szCs w:val="24"/>
                <w:highlight w:val="none"/>
              </w:rPr>
            </w:pPr>
          </w:p>
        </w:tc>
      </w:tr>
      <w:tr w14:paraId="33B1B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00" w:type="dxa"/>
            <w:noWrap w:val="0"/>
            <w:vAlign w:val="center"/>
          </w:tcPr>
          <w:p w14:paraId="2339B4BB">
            <w:pPr>
              <w:keepNext w:val="0"/>
              <w:keepLines w:val="0"/>
              <w:pageBreakBefore w:val="0"/>
              <w:widowControl w:val="0"/>
              <w:kinsoku/>
              <w:overflowPunct/>
              <w:topLinePunct w:val="0"/>
              <w:autoSpaceDE/>
              <w:autoSpaceDN/>
              <w:bidi w:val="0"/>
              <w:snapToGrid/>
              <w:spacing w:line="400" w:lineRule="exact"/>
              <w:ind w:right="0" w:rightChars="0"/>
              <w:jc w:val="center"/>
              <w:textAlignment w:val="auto"/>
              <w:outlineLvl w:val="9"/>
              <w:rPr>
                <w:rFonts w:hint="eastAsia" w:ascii="宋体" w:hAnsi="宋体" w:eastAsia="宋体" w:cs="宋体"/>
                <w:b/>
                <w:bCs/>
                <w:color w:val="auto"/>
                <w:spacing w:val="0"/>
                <w:sz w:val="24"/>
                <w:szCs w:val="24"/>
                <w:highlight w:val="none"/>
              </w:rPr>
            </w:pPr>
            <w:r>
              <w:rPr>
                <w:rFonts w:hint="eastAsia" w:ascii="黑体" w:hAnsi="黑体" w:eastAsia="黑体" w:cs="黑体"/>
                <w:b w:val="0"/>
                <w:bCs w:val="0"/>
                <w:color w:val="auto"/>
                <w:spacing w:val="0"/>
                <w:sz w:val="24"/>
                <w:szCs w:val="24"/>
                <w:highlight w:val="none"/>
                <w:lang w:val="en-US" w:eastAsia="zh-CN"/>
              </w:rPr>
              <w:t>设计单位</w:t>
            </w:r>
          </w:p>
        </w:tc>
        <w:tc>
          <w:tcPr>
            <w:tcW w:w="3974" w:type="dxa"/>
            <w:gridSpan w:val="3"/>
            <w:noWrap w:val="0"/>
            <w:vAlign w:val="center"/>
          </w:tcPr>
          <w:p w14:paraId="76C80976">
            <w:pPr>
              <w:keepNext w:val="0"/>
              <w:keepLines w:val="0"/>
              <w:pageBreakBefore w:val="0"/>
              <w:widowControl w:val="0"/>
              <w:kinsoku/>
              <w:overflowPunct/>
              <w:topLinePunct w:val="0"/>
              <w:autoSpaceDE/>
              <w:autoSpaceDN/>
              <w:bidi w:val="0"/>
              <w:snapToGrid/>
              <w:spacing w:line="400" w:lineRule="exact"/>
              <w:ind w:right="0" w:rightChars="0"/>
              <w:jc w:val="center"/>
              <w:textAlignment w:val="auto"/>
              <w:outlineLvl w:val="9"/>
              <w:rPr>
                <w:rFonts w:hint="eastAsia" w:ascii="宋体" w:hAnsi="宋体" w:eastAsia="宋体" w:cs="宋体"/>
                <w:b/>
                <w:bCs/>
                <w:color w:val="auto"/>
                <w:spacing w:val="0"/>
                <w:sz w:val="24"/>
                <w:szCs w:val="24"/>
                <w:highlight w:val="none"/>
              </w:rPr>
            </w:pPr>
          </w:p>
        </w:tc>
        <w:tc>
          <w:tcPr>
            <w:tcW w:w="2063" w:type="dxa"/>
            <w:gridSpan w:val="2"/>
            <w:noWrap w:val="0"/>
            <w:vAlign w:val="center"/>
          </w:tcPr>
          <w:p w14:paraId="06997886">
            <w:pPr>
              <w:keepNext w:val="0"/>
              <w:keepLines w:val="0"/>
              <w:pageBreakBefore w:val="0"/>
              <w:widowControl w:val="0"/>
              <w:kinsoku/>
              <w:overflowPunct/>
              <w:topLinePunct w:val="0"/>
              <w:autoSpaceDE/>
              <w:autoSpaceDN/>
              <w:bidi w:val="0"/>
              <w:snapToGrid/>
              <w:spacing w:line="400" w:lineRule="exact"/>
              <w:ind w:right="0" w:rightChars="0"/>
              <w:jc w:val="center"/>
              <w:textAlignment w:val="auto"/>
              <w:outlineLvl w:val="9"/>
              <w:rPr>
                <w:rFonts w:hint="eastAsia" w:ascii="黑体" w:hAnsi="黑体" w:eastAsia="黑体" w:cs="黑体"/>
                <w:b w:val="0"/>
                <w:bCs w:val="0"/>
                <w:color w:val="auto"/>
                <w:spacing w:val="0"/>
                <w:sz w:val="24"/>
                <w:szCs w:val="24"/>
                <w:highlight w:val="none"/>
              </w:rPr>
            </w:pPr>
            <w:r>
              <w:rPr>
                <w:rFonts w:hint="eastAsia" w:ascii="黑体" w:hAnsi="黑体" w:eastAsia="黑体" w:cs="黑体"/>
                <w:b w:val="0"/>
                <w:bCs w:val="0"/>
                <w:color w:val="auto"/>
                <w:spacing w:val="0"/>
                <w:sz w:val="24"/>
                <w:szCs w:val="24"/>
                <w:highlight w:val="none"/>
                <w:lang w:eastAsia="zh-CN"/>
              </w:rPr>
              <w:t>提出时间</w:t>
            </w:r>
          </w:p>
        </w:tc>
        <w:tc>
          <w:tcPr>
            <w:tcW w:w="1801" w:type="dxa"/>
            <w:gridSpan w:val="2"/>
            <w:noWrap w:val="0"/>
            <w:vAlign w:val="top"/>
          </w:tcPr>
          <w:p w14:paraId="5942FA01">
            <w:pPr>
              <w:keepNext w:val="0"/>
              <w:keepLines w:val="0"/>
              <w:pageBreakBefore w:val="0"/>
              <w:widowControl w:val="0"/>
              <w:tabs>
                <w:tab w:val="left" w:pos="506"/>
                <w:tab w:val="center" w:pos="1275"/>
              </w:tabs>
              <w:kinsoku/>
              <w:overflowPunct/>
              <w:topLinePunct w:val="0"/>
              <w:autoSpaceDE/>
              <w:autoSpaceDN/>
              <w:bidi w:val="0"/>
              <w:snapToGrid/>
              <w:spacing w:line="400" w:lineRule="exact"/>
              <w:ind w:right="0" w:rightChars="0"/>
              <w:jc w:val="left"/>
              <w:textAlignment w:val="auto"/>
              <w:outlineLvl w:val="9"/>
              <w:rPr>
                <w:rFonts w:hint="eastAsia" w:ascii="宋体" w:hAnsi="宋体" w:eastAsia="宋体" w:cs="宋体"/>
                <w:b/>
                <w:bCs/>
                <w:color w:val="auto"/>
                <w:spacing w:val="0"/>
                <w:sz w:val="24"/>
                <w:szCs w:val="24"/>
                <w:highlight w:val="none"/>
              </w:rPr>
            </w:pPr>
          </w:p>
        </w:tc>
      </w:tr>
      <w:tr w14:paraId="659B5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700" w:type="dxa"/>
            <w:noWrap w:val="0"/>
            <w:vAlign w:val="center"/>
          </w:tcPr>
          <w:p w14:paraId="1802F272">
            <w:pPr>
              <w:keepNext w:val="0"/>
              <w:keepLines w:val="0"/>
              <w:pageBreakBefore w:val="0"/>
              <w:widowControl w:val="0"/>
              <w:kinsoku/>
              <w:overflowPunct/>
              <w:topLinePunct w:val="0"/>
              <w:autoSpaceDE/>
              <w:autoSpaceDN/>
              <w:bidi w:val="0"/>
              <w:snapToGrid/>
              <w:spacing w:line="400" w:lineRule="exact"/>
              <w:ind w:right="0" w:rightChars="0"/>
              <w:jc w:val="center"/>
              <w:textAlignment w:val="auto"/>
              <w:outlineLvl w:val="9"/>
              <w:rPr>
                <w:rFonts w:hint="eastAsia" w:ascii="黑体" w:hAnsi="黑体" w:eastAsia="黑体" w:cs="黑体"/>
                <w:b w:val="0"/>
                <w:bCs w:val="0"/>
                <w:color w:val="auto"/>
                <w:spacing w:val="0"/>
                <w:sz w:val="24"/>
                <w:szCs w:val="24"/>
                <w:highlight w:val="none"/>
                <w:lang w:val="en-US" w:eastAsia="zh-CN"/>
              </w:rPr>
            </w:pPr>
            <w:r>
              <w:rPr>
                <w:rFonts w:hint="eastAsia" w:ascii="黑体" w:hAnsi="黑体" w:eastAsia="黑体" w:cs="黑体"/>
                <w:b w:val="0"/>
                <w:bCs w:val="0"/>
                <w:color w:val="auto"/>
                <w:spacing w:val="0"/>
                <w:sz w:val="24"/>
                <w:szCs w:val="24"/>
                <w:highlight w:val="none"/>
                <w:lang w:val="en-US" w:eastAsia="zh-CN"/>
              </w:rPr>
              <w:t>提出主体单位</w:t>
            </w:r>
          </w:p>
        </w:tc>
        <w:tc>
          <w:tcPr>
            <w:tcW w:w="7838" w:type="dxa"/>
            <w:gridSpan w:val="7"/>
            <w:noWrap w:val="0"/>
            <w:vAlign w:val="center"/>
          </w:tcPr>
          <w:p w14:paraId="55BC5735">
            <w:pPr>
              <w:keepNext w:val="0"/>
              <w:keepLines w:val="0"/>
              <w:pageBreakBefore w:val="0"/>
              <w:widowControl w:val="0"/>
              <w:kinsoku/>
              <w:overflowPunct/>
              <w:topLinePunct w:val="0"/>
              <w:autoSpaceDE/>
              <w:autoSpaceDN/>
              <w:bidi w:val="0"/>
              <w:snapToGrid/>
              <w:spacing w:line="400" w:lineRule="exact"/>
              <w:ind w:right="0" w:rightChars="0"/>
              <w:jc w:val="center"/>
              <w:textAlignment w:val="auto"/>
              <w:outlineLvl w:val="9"/>
              <w:rPr>
                <w:color w:val="auto"/>
                <w:sz w:val="24"/>
                <w:highlight w:val="none"/>
              </w:rPr>
            </w:pPr>
            <w:r>
              <w:rPr>
                <w:rFonts w:hint="eastAsia" w:ascii="楷体_GB2312" w:hAnsi="楷体_GB2312" w:eastAsia="楷体_GB2312" w:cs="楷体_GB2312"/>
                <w:b w:val="0"/>
                <w:bCs w:val="0"/>
                <w:color w:val="auto"/>
                <w:spacing w:val="0"/>
                <w:sz w:val="28"/>
                <w:szCs w:val="28"/>
                <w:highlight w:val="none"/>
                <w:u w:val="none"/>
                <w:lang w:val="en-US" w:eastAsia="zh-CN"/>
              </w:rPr>
              <w:sym w:font="Wingdings 2" w:char="00A3"/>
            </w:r>
            <w:r>
              <w:rPr>
                <w:rFonts w:hint="eastAsia" w:ascii="楷体_GB2312" w:hAnsi="楷体_GB2312" w:eastAsia="楷体_GB2312" w:cs="楷体_GB2312"/>
                <w:b w:val="0"/>
                <w:bCs w:val="0"/>
                <w:color w:val="auto"/>
                <w:spacing w:val="0"/>
                <w:sz w:val="28"/>
                <w:szCs w:val="28"/>
                <w:highlight w:val="none"/>
                <w:u w:val="none"/>
                <w:lang w:val="en-US" w:eastAsia="zh-CN"/>
              </w:rPr>
              <w:t xml:space="preserve"> 设计单位 □建设单位□ 使用单位 □监理单位□施工单位</w:t>
            </w:r>
          </w:p>
        </w:tc>
      </w:tr>
      <w:tr w14:paraId="04D48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1700" w:type="dxa"/>
            <w:noWrap w:val="0"/>
            <w:vAlign w:val="center"/>
          </w:tcPr>
          <w:p w14:paraId="60CF8454">
            <w:pPr>
              <w:keepNext w:val="0"/>
              <w:keepLines w:val="0"/>
              <w:pageBreakBefore w:val="0"/>
              <w:widowControl w:val="0"/>
              <w:kinsoku/>
              <w:overflowPunct/>
              <w:topLinePunct w:val="0"/>
              <w:autoSpaceDE/>
              <w:autoSpaceDN/>
              <w:bidi w:val="0"/>
              <w:snapToGrid/>
              <w:spacing w:line="400" w:lineRule="exact"/>
              <w:ind w:right="0" w:rightChars="0"/>
              <w:jc w:val="center"/>
              <w:textAlignment w:val="auto"/>
              <w:outlineLvl w:val="9"/>
              <w:rPr>
                <w:rFonts w:hint="eastAsia" w:ascii="黑体" w:hAnsi="黑体" w:eastAsia="黑体" w:cs="黑体"/>
                <w:b w:val="0"/>
                <w:bCs w:val="0"/>
                <w:color w:val="auto"/>
                <w:spacing w:val="0"/>
                <w:sz w:val="24"/>
                <w:szCs w:val="24"/>
                <w:highlight w:val="none"/>
                <w:lang w:val="en-US" w:eastAsia="zh-CN"/>
              </w:rPr>
            </w:pPr>
            <w:r>
              <w:rPr>
                <w:rFonts w:hint="eastAsia" w:ascii="黑体" w:hAnsi="黑体" w:eastAsia="黑体" w:cs="黑体"/>
                <w:b w:val="0"/>
                <w:bCs w:val="0"/>
                <w:color w:val="auto"/>
                <w:spacing w:val="0"/>
                <w:sz w:val="24"/>
                <w:szCs w:val="24"/>
                <w:highlight w:val="none"/>
                <w:lang w:val="en-US" w:eastAsia="zh-CN"/>
              </w:rPr>
              <w:t>设计变更原因</w:t>
            </w:r>
          </w:p>
        </w:tc>
        <w:tc>
          <w:tcPr>
            <w:tcW w:w="7838" w:type="dxa"/>
            <w:gridSpan w:val="7"/>
            <w:noWrap w:val="0"/>
            <w:vAlign w:val="top"/>
          </w:tcPr>
          <w:p w14:paraId="08A7B8EA">
            <w:pPr>
              <w:pStyle w:val="7"/>
              <w:keepNext w:val="0"/>
              <w:keepLines w:val="0"/>
              <w:pageBreakBefore w:val="0"/>
              <w:widowControl w:val="0"/>
              <w:kinsoku/>
              <w:overflowPunct/>
              <w:topLinePunct w:val="0"/>
              <w:bidi w:val="0"/>
              <w:snapToGrid/>
              <w:spacing w:line="400" w:lineRule="exact"/>
              <w:ind w:left="0" w:leftChars="0" w:right="0" w:rightChars="0" w:firstLine="0" w:firstLineChars="0"/>
              <w:textAlignment w:val="auto"/>
              <w:outlineLvl w:val="9"/>
              <w:rPr>
                <w:rFonts w:hint="eastAsia"/>
                <w:color w:val="auto"/>
              </w:rPr>
            </w:pPr>
          </w:p>
        </w:tc>
      </w:tr>
      <w:tr w14:paraId="052F9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1700" w:type="dxa"/>
            <w:noWrap w:val="0"/>
            <w:vAlign w:val="center"/>
          </w:tcPr>
          <w:p w14:paraId="6A55A6D7">
            <w:pPr>
              <w:keepNext w:val="0"/>
              <w:keepLines w:val="0"/>
              <w:pageBreakBefore w:val="0"/>
              <w:widowControl w:val="0"/>
              <w:kinsoku/>
              <w:overflowPunct/>
              <w:topLinePunct w:val="0"/>
              <w:autoSpaceDE/>
              <w:autoSpaceDN/>
              <w:bidi w:val="0"/>
              <w:snapToGrid/>
              <w:spacing w:line="400" w:lineRule="exact"/>
              <w:ind w:right="0" w:rightChars="0"/>
              <w:jc w:val="center"/>
              <w:textAlignment w:val="auto"/>
              <w:outlineLvl w:val="9"/>
              <w:rPr>
                <w:rFonts w:hint="eastAsia" w:ascii="黑体" w:hAnsi="黑体" w:eastAsia="黑体" w:cs="黑体"/>
                <w:b w:val="0"/>
                <w:bCs w:val="0"/>
                <w:color w:val="auto"/>
                <w:spacing w:val="0"/>
                <w:sz w:val="24"/>
                <w:szCs w:val="24"/>
                <w:highlight w:val="none"/>
                <w:lang w:val="en-US" w:eastAsia="zh-CN"/>
              </w:rPr>
            </w:pPr>
            <w:r>
              <w:rPr>
                <w:rFonts w:hint="eastAsia" w:ascii="黑体" w:hAnsi="黑体" w:eastAsia="黑体" w:cs="黑体"/>
                <w:b w:val="0"/>
                <w:bCs w:val="0"/>
                <w:color w:val="auto"/>
                <w:spacing w:val="0"/>
                <w:sz w:val="24"/>
                <w:szCs w:val="24"/>
                <w:highlight w:val="none"/>
                <w:lang w:val="en-US" w:eastAsia="zh-CN"/>
              </w:rPr>
              <w:t>变更内容摘要</w:t>
            </w:r>
          </w:p>
        </w:tc>
        <w:tc>
          <w:tcPr>
            <w:tcW w:w="7838" w:type="dxa"/>
            <w:gridSpan w:val="7"/>
            <w:noWrap w:val="0"/>
            <w:vAlign w:val="bottom"/>
          </w:tcPr>
          <w:p w14:paraId="4CA9BD5A">
            <w:pPr>
              <w:pStyle w:val="7"/>
              <w:keepNext w:val="0"/>
              <w:keepLines w:val="0"/>
              <w:pageBreakBefore w:val="0"/>
              <w:widowControl w:val="0"/>
              <w:kinsoku/>
              <w:overflowPunct/>
              <w:topLinePunct w:val="0"/>
              <w:bidi w:val="0"/>
              <w:snapToGrid/>
              <w:spacing w:line="400" w:lineRule="exact"/>
              <w:ind w:right="0" w:rightChars="0"/>
              <w:jc w:val="both"/>
              <w:textAlignment w:val="auto"/>
              <w:outlineLvl w:val="9"/>
              <w:rPr>
                <w:rFonts w:hint="eastAsia" w:ascii="宋体" w:hAnsi="宋体" w:cs="宋体"/>
                <w:b/>
                <w:bCs/>
                <w:color w:val="auto"/>
                <w:spacing w:val="0"/>
                <w:sz w:val="24"/>
                <w:szCs w:val="24"/>
                <w:highlight w:val="none"/>
                <w:lang w:eastAsia="zh-CN"/>
              </w:rPr>
            </w:pPr>
          </w:p>
          <w:p w14:paraId="06FE4DFC">
            <w:pPr>
              <w:pStyle w:val="7"/>
              <w:keepNext w:val="0"/>
              <w:keepLines w:val="0"/>
              <w:pageBreakBefore w:val="0"/>
              <w:widowControl w:val="0"/>
              <w:kinsoku/>
              <w:overflowPunct/>
              <w:topLinePunct w:val="0"/>
              <w:bidi w:val="0"/>
              <w:snapToGrid/>
              <w:spacing w:line="400" w:lineRule="exact"/>
              <w:ind w:right="0" w:rightChars="0"/>
              <w:jc w:val="both"/>
              <w:textAlignment w:val="auto"/>
              <w:outlineLvl w:val="9"/>
              <w:rPr>
                <w:rFonts w:hint="eastAsia" w:ascii="宋体" w:hAnsi="宋体" w:cs="宋体"/>
                <w:b/>
                <w:bCs/>
                <w:color w:val="auto"/>
                <w:spacing w:val="0"/>
                <w:sz w:val="24"/>
                <w:szCs w:val="24"/>
                <w:highlight w:val="none"/>
                <w:lang w:eastAsia="zh-CN"/>
              </w:rPr>
            </w:pPr>
          </w:p>
          <w:p w14:paraId="40D675AC">
            <w:pPr>
              <w:keepNext w:val="0"/>
              <w:keepLines w:val="0"/>
              <w:pageBreakBefore w:val="0"/>
              <w:widowControl w:val="0"/>
              <w:kinsoku/>
              <w:overflowPunct/>
              <w:topLinePunct w:val="0"/>
              <w:autoSpaceDE/>
              <w:autoSpaceDN/>
              <w:bidi w:val="0"/>
              <w:snapToGrid/>
              <w:spacing w:line="400" w:lineRule="exact"/>
              <w:ind w:right="0" w:rightChars="0"/>
              <w:jc w:val="both"/>
              <w:textAlignment w:val="auto"/>
              <w:outlineLvl w:val="9"/>
              <w:rPr>
                <w:rFonts w:hint="eastAsia" w:ascii="宋体" w:hAnsi="宋体" w:cs="宋体"/>
                <w:b/>
                <w:bCs/>
                <w:color w:val="auto"/>
                <w:spacing w:val="0"/>
                <w:sz w:val="24"/>
                <w:szCs w:val="24"/>
                <w:highlight w:val="none"/>
                <w:lang w:eastAsia="zh-CN"/>
              </w:rPr>
            </w:pPr>
            <w:r>
              <w:rPr>
                <w:rFonts w:hint="eastAsia" w:ascii="仿宋_GB2312" w:hAnsi="仿宋_GB2312" w:eastAsia="仿宋_GB2312" w:cs="仿宋_GB2312"/>
                <w:b w:val="0"/>
                <w:bCs w:val="0"/>
                <w:color w:val="auto"/>
                <w:spacing w:val="0"/>
                <w:sz w:val="18"/>
                <w:szCs w:val="18"/>
                <w:highlight w:val="none"/>
                <w:lang w:val="en-US" w:eastAsia="zh-CN"/>
              </w:rPr>
              <w:t>（附：设计变更单，附图）</w:t>
            </w:r>
          </w:p>
        </w:tc>
      </w:tr>
      <w:tr w14:paraId="758C9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1700" w:type="dxa"/>
            <w:noWrap w:val="0"/>
            <w:vAlign w:val="center"/>
          </w:tcPr>
          <w:p w14:paraId="51134937">
            <w:pPr>
              <w:keepNext w:val="0"/>
              <w:keepLines w:val="0"/>
              <w:pageBreakBefore w:val="0"/>
              <w:widowControl w:val="0"/>
              <w:kinsoku/>
              <w:overflowPunct/>
              <w:topLinePunct w:val="0"/>
              <w:autoSpaceDE/>
              <w:autoSpaceDN/>
              <w:bidi w:val="0"/>
              <w:snapToGrid/>
              <w:spacing w:line="400" w:lineRule="exact"/>
              <w:ind w:right="0" w:rightChars="0"/>
              <w:jc w:val="center"/>
              <w:textAlignment w:val="auto"/>
              <w:outlineLvl w:val="9"/>
              <w:rPr>
                <w:rFonts w:hint="eastAsia" w:ascii="黑体" w:hAnsi="黑体" w:eastAsia="黑体" w:cs="黑体"/>
                <w:b w:val="0"/>
                <w:bCs w:val="0"/>
                <w:color w:val="auto"/>
                <w:spacing w:val="0"/>
                <w:sz w:val="24"/>
                <w:szCs w:val="24"/>
                <w:highlight w:val="none"/>
                <w:lang w:val="en-US" w:eastAsia="zh-CN"/>
              </w:rPr>
            </w:pPr>
            <w:r>
              <w:rPr>
                <w:rFonts w:hint="eastAsia" w:ascii="黑体" w:hAnsi="黑体" w:eastAsia="黑体" w:cs="黑体"/>
                <w:b w:val="0"/>
                <w:bCs w:val="0"/>
                <w:color w:val="auto"/>
                <w:spacing w:val="0"/>
                <w:sz w:val="24"/>
                <w:szCs w:val="24"/>
                <w:highlight w:val="none"/>
                <w:lang w:val="en-US" w:eastAsia="zh-CN"/>
              </w:rPr>
              <w:t>变更估算</w:t>
            </w:r>
          </w:p>
        </w:tc>
        <w:tc>
          <w:tcPr>
            <w:tcW w:w="3458" w:type="dxa"/>
            <w:gridSpan w:val="2"/>
            <w:noWrap w:val="0"/>
            <w:vAlign w:val="center"/>
          </w:tcPr>
          <w:p w14:paraId="3DCF6AD8">
            <w:pPr>
              <w:keepNext w:val="0"/>
              <w:keepLines w:val="0"/>
              <w:pageBreakBefore w:val="0"/>
              <w:widowControl w:val="0"/>
              <w:kinsoku/>
              <w:overflowPunct/>
              <w:topLinePunct w:val="0"/>
              <w:autoSpaceDE/>
              <w:autoSpaceDN/>
              <w:bidi w:val="0"/>
              <w:snapToGrid/>
              <w:spacing w:line="400" w:lineRule="exact"/>
              <w:ind w:right="0" w:rightChars="0"/>
              <w:jc w:val="center"/>
              <w:textAlignment w:val="auto"/>
              <w:outlineLvl w:val="9"/>
              <w:rPr>
                <w:rFonts w:hint="eastAsia" w:ascii="楷体_GB2312" w:hAnsi="楷体_GB2312" w:eastAsia="楷体_GB2312" w:cs="楷体_GB2312"/>
                <w:b w:val="0"/>
                <w:bCs w:val="0"/>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8"/>
                <w:szCs w:val="28"/>
                <w:highlight w:val="none"/>
                <w:u w:val="none"/>
                <w:lang w:val="en-US" w:eastAsia="zh-CN"/>
              </w:rPr>
              <w:t xml:space="preserve">□ </w:t>
            </w:r>
            <w:r>
              <w:rPr>
                <w:rFonts w:hint="eastAsia" w:ascii="楷体_GB2312" w:hAnsi="楷体_GB2312" w:eastAsia="楷体_GB2312" w:cs="楷体_GB2312"/>
                <w:b w:val="0"/>
                <w:bCs w:val="0"/>
                <w:color w:val="auto"/>
                <w:spacing w:val="0"/>
                <w:sz w:val="24"/>
                <w:szCs w:val="24"/>
                <w:highlight w:val="none"/>
                <w:lang w:eastAsia="zh-CN"/>
              </w:rPr>
              <w:t>增加，估算金额</w:t>
            </w:r>
            <w:r>
              <w:rPr>
                <w:rFonts w:hint="eastAsia" w:ascii="楷体_GB2312" w:hAnsi="楷体_GB2312" w:eastAsia="楷体_GB2312" w:cs="楷体_GB2312"/>
                <w:b w:val="0"/>
                <w:bCs w:val="0"/>
                <w:color w:val="auto"/>
                <w:spacing w:val="0"/>
                <w:sz w:val="24"/>
                <w:szCs w:val="24"/>
                <w:highlight w:val="none"/>
                <w:lang w:val="en-US" w:eastAsia="zh-CN"/>
              </w:rPr>
              <w:t xml:space="preserve">        元</w:t>
            </w:r>
          </w:p>
        </w:tc>
        <w:tc>
          <w:tcPr>
            <w:tcW w:w="3441" w:type="dxa"/>
            <w:gridSpan w:val="4"/>
            <w:noWrap w:val="0"/>
            <w:vAlign w:val="center"/>
          </w:tcPr>
          <w:p w14:paraId="3E223579">
            <w:pPr>
              <w:keepNext w:val="0"/>
              <w:keepLines w:val="0"/>
              <w:pageBreakBefore w:val="0"/>
              <w:widowControl w:val="0"/>
              <w:kinsoku/>
              <w:overflowPunct/>
              <w:topLinePunct w:val="0"/>
              <w:autoSpaceDE/>
              <w:autoSpaceDN/>
              <w:bidi w:val="0"/>
              <w:snapToGrid/>
              <w:spacing w:line="400" w:lineRule="exact"/>
              <w:ind w:right="0" w:rightChars="0"/>
              <w:jc w:val="center"/>
              <w:textAlignment w:val="auto"/>
              <w:outlineLvl w:val="9"/>
              <w:rPr>
                <w:rFonts w:hint="eastAsia" w:ascii="楷体_GB2312" w:hAnsi="楷体_GB2312" w:eastAsia="楷体_GB2312" w:cs="楷体_GB2312"/>
                <w:b w:val="0"/>
                <w:bCs w:val="0"/>
                <w:color w:val="auto"/>
                <w:spacing w:val="0"/>
                <w:sz w:val="24"/>
                <w:szCs w:val="24"/>
                <w:highlight w:val="none"/>
              </w:rPr>
            </w:pPr>
            <w:r>
              <w:rPr>
                <w:rFonts w:hint="eastAsia" w:ascii="楷体_GB2312" w:hAnsi="楷体_GB2312" w:eastAsia="楷体_GB2312" w:cs="楷体_GB2312"/>
                <w:b w:val="0"/>
                <w:bCs w:val="0"/>
                <w:color w:val="auto"/>
                <w:spacing w:val="0"/>
                <w:sz w:val="28"/>
                <w:szCs w:val="28"/>
                <w:highlight w:val="none"/>
                <w:u w:val="none"/>
                <w:lang w:val="en-US" w:eastAsia="zh-CN"/>
              </w:rPr>
              <w:t xml:space="preserve">□ </w:t>
            </w:r>
            <w:r>
              <w:rPr>
                <w:rFonts w:hint="eastAsia" w:ascii="楷体_GB2312" w:hAnsi="楷体_GB2312" w:eastAsia="楷体_GB2312" w:cs="楷体_GB2312"/>
                <w:b w:val="0"/>
                <w:bCs w:val="0"/>
                <w:color w:val="auto"/>
                <w:spacing w:val="0"/>
                <w:sz w:val="24"/>
                <w:szCs w:val="24"/>
                <w:highlight w:val="none"/>
                <w:lang w:eastAsia="zh-CN"/>
              </w:rPr>
              <w:t>减少，估算金额</w:t>
            </w:r>
            <w:r>
              <w:rPr>
                <w:rFonts w:hint="eastAsia" w:ascii="楷体_GB2312" w:hAnsi="楷体_GB2312" w:eastAsia="楷体_GB2312" w:cs="楷体_GB2312"/>
                <w:b w:val="0"/>
                <w:bCs w:val="0"/>
                <w:color w:val="auto"/>
                <w:spacing w:val="0"/>
                <w:sz w:val="24"/>
                <w:szCs w:val="24"/>
                <w:highlight w:val="none"/>
                <w:lang w:val="en-US" w:eastAsia="zh-CN"/>
              </w:rPr>
              <w:t xml:space="preserve">       元</w:t>
            </w:r>
          </w:p>
        </w:tc>
        <w:tc>
          <w:tcPr>
            <w:tcW w:w="939" w:type="dxa"/>
            <w:noWrap w:val="0"/>
            <w:vAlign w:val="center"/>
          </w:tcPr>
          <w:p w14:paraId="2E76AD68">
            <w:pPr>
              <w:keepNext w:val="0"/>
              <w:keepLines w:val="0"/>
              <w:pageBreakBefore w:val="0"/>
              <w:widowControl w:val="0"/>
              <w:kinsoku/>
              <w:overflowPunct/>
              <w:topLinePunct w:val="0"/>
              <w:autoSpaceDE/>
              <w:autoSpaceDN/>
              <w:bidi w:val="0"/>
              <w:snapToGrid/>
              <w:spacing w:line="400" w:lineRule="exact"/>
              <w:ind w:right="0" w:rightChars="0"/>
              <w:jc w:val="center"/>
              <w:textAlignment w:val="auto"/>
              <w:outlineLvl w:val="9"/>
              <w:rPr>
                <w:rFonts w:hint="eastAsia" w:ascii="楷体_GB2312" w:hAnsi="楷体_GB2312" w:eastAsia="楷体_GB2312" w:cs="楷体_GB2312"/>
                <w:b w:val="0"/>
                <w:bCs w:val="0"/>
                <w:color w:val="auto"/>
                <w:spacing w:val="0"/>
                <w:sz w:val="28"/>
                <w:szCs w:val="28"/>
                <w:highlight w:val="none"/>
                <w:u w:val="none"/>
                <w:lang w:val="en-US" w:eastAsia="zh-CN"/>
              </w:rPr>
            </w:pPr>
            <w:r>
              <w:rPr>
                <w:rFonts w:hint="eastAsia" w:ascii="楷体_GB2312" w:hAnsi="楷体_GB2312" w:eastAsia="楷体_GB2312" w:cs="楷体_GB2312"/>
                <w:b w:val="0"/>
                <w:bCs w:val="0"/>
                <w:color w:val="auto"/>
                <w:spacing w:val="0"/>
                <w:sz w:val="28"/>
                <w:szCs w:val="28"/>
                <w:highlight w:val="none"/>
                <w:u w:val="none"/>
                <w:lang w:val="en-US" w:eastAsia="zh-CN"/>
              </w:rPr>
              <w:t xml:space="preserve">□ </w:t>
            </w:r>
            <w:r>
              <w:rPr>
                <w:rFonts w:hint="eastAsia" w:ascii="楷体_GB2312" w:hAnsi="楷体_GB2312" w:eastAsia="楷体_GB2312" w:cs="楷体_GB2312"/>
                <w:b w:val="0"/>
                <w:bCs w:val="0"/>
                <w:color w:val="auto"/>
                <w:spacing w:val="0"/>
                <w:sz w:val="24"/>
                <w:szCs w:val="24"/>
                <w:highlight w:val="none"/>
                <w:lang w:eastAsia="zh-CN"/>
              </w:rPr>
              <w:t>无</w:t>
            </w:r>
          </w:p>
        </w:tc>
      </w:tr>
      <w:tr w14:paraId="6FCFB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trPr>
        <w:tc>
          <w:tcPr>
            <w:tcW w:w="3225" w:type="dxa"/>
            <w:gridSpan w:val="2"/>
            <w:noWrap w:val="0"/>
            <w:vAlign w:val="top"/>
          </w:tcPr>
          <w:p w14:paraId="49899285">
            <w:pPr>
              <w:keepNext w:val="0"/>
              <w:keepLines w:val="0"/>
              <w:pageBreakBefore w:val="0"/>
              <w:widowControl w:val="0"/>
              <w:kinsoku/>
              <w:wordWrap/>
              <w:overflowPunct/>
              <w:topLinePunct w:val="0"/>
              <w:bidi w:val="0"/>
              <w:adjustRightInd/>
              <w:snapToGrid/>
              <w:spacing w:line="400" w:lineRule="exact"/>
              <w:ind w:right="0" w:rightChars="0"/>
              <w:jc w:val="left"/>
              <w:textAlignment w:val="auto"/>
              <w:outlineLvl w:val="9"/>
              <w:rPr>
                <w:rFonts w:hint="eastAsia" w:ascii="宋体" w:hAnsi="宋体" w:cs="宋体"/>
                <w:b/>
                <w:bCs/>
                <w:color w:val="auto"/>
                <w:spacing w:val="0"/>
                <w:sz w:val="24"/>
                <w:szCs w:val="24"/>
                <w:highlight w:val="none"/>
                <w:lang w:eastAsia="zh-CN"/>
              </w:rPr>
            </w:pPr>
            <w:r>
              <w:rPr>
                <w:rFonts w:hint="eastAsia" w:ascii="黑体" w:hAnsi="黑体" w:eastAsia="黑体" w:cs="黑体"/>
                <w:b w:val="0"/>
                <w:bCs w:val="0"/>
                <w:color w:val="auto"/>
                <w:spacing w:val="0"/>
                <w:sz w:val="24"/>
                <w:szCs w:val="24"/>
                <w:highlight w:val="none"/>
                <w:lang w:eastAsia="zh-CN"/>
              </w:rPr>
              <w:t>建设单位</w:t>
            </w:r>
            <w:r>
              <w:rPr>
                <w:rFonts w:hint="eastAsia" w:ascii="黑体" w:hAnsi="黑体" w:eastAsia="黑体" w:cs="黑体"/>
                <w:b w:val="0"/>
                <w:bCs w:val="0"/>
                <w:color w:val="auto"/>
                <w:spacing w:val="0"/>
                <w:sz w:val="24"/>
                <w:szCs w:val="24"/>
                <w:highlight w:val="none"/>
                <w:lang w:val="en-US" w:eastAsia="zh-CN"/>
              </w:rPr>
              <w:t>工程技术科</w:t>
            </w:r>
            <w:r>
              <w:rPr>
                <w:rFonts w:hint="eastAsia" w:ascii="黑体" w:hAnsi="黑体" w:eastAsia="黑体" w:cs="黑体"/>
                <w:b w:val="0"/>
                <w:bCs w:val="0"/>
                <w:color w:val="auto"/>
                <w:spacing w:val="0"/>
                <w:sz w:val="24"/>
                <w:szCs w:val="24"/>
                <w:highlight w:val="none"/>
                <w:lang w:eastAsia="zh-CN"/>
              </w:rPr>
              <w:t>意见：</w:t>
            </w:r>
          </w:p>
          <w:p w14:paraId="46CC6C7C">
            <w:pPr>
              <w:keepNext w:val="0"/>
              <w:keepLines w:val="0"/>
              <w:pageBreakBefore w:val="0"/>
              <w:widowControl w:val="0"/>
              <w:kinsoku/>
              <w:wordWrap/>
              <w:overflowPunct/>
              <w:topLinePunct w:val="0"/>
              <w:bidi w:val="0"/>
              <w:adjustRightInd/>
              <w:snapToGrid/>
              <w:spacing w:line="400" w:lineRule="exact"/>
              <w:ind w:right="0" w:rightChars="0"/>
              <w:jc w:val="left"/>
              <w:textAlignment w:val="auto"/>
              <w:outlineLvl w:val="9"/>
              <w:rPr>
                <w:rFonts w:hint="eastAsia" w:ascii="宋体" w:hAnsi="宋体" w:cs="宋体"/>
                <w:b/>
                <w:bCs/>
                <w:color w:val="auto"/>
                <w:spacing w:val="0"/>
                <w:sz w:val="24"/>
                <w:szCs w:val="24"/>
                <w:highlight w:val="none"/>
                <w:lang w:eastAsia="zh-CN"/>
              </w:rPr>
            </w:pPr>
          </w:p>
          <w:p w14:paraId="415A9A7E">
            <w:pPr>
              <w:keepNext w:val="0"/>
              <w:keepLines w:val="0"/>
              <w:pageBreakBefore w:val="0"/>
              <w:widowControl w:val="0"/>
              <w:kinsoku/>
              <w:wordWrap/>
              <w:overflowPunct/>
              <w:topLinePunct w:val="0"/>
              <w:bidi w:val="0"/>
              <w:adjustRightInd/>
              <w:snapToGrid/>
              <w:spacing w:line="400" w:lineRule="exact"/>
              <w:ind w:right="0" w:rightChars="0"/>
              <w:jc w:val="left"/>
              <w:textAlignment w:val="auto"/>
              <w:outlineLvl w:val="9"/>
              <w:rPr>
                <w:rFonts w:hint="eastAsia" w:ascii="宋体" w:hAnsi="宋体" w:cs="宋体"/>
                <w:b/>
                <w:bCs/>
                <w:color w:val="auto"/>
                <w:spacing w:val="0"/>
                <w:sz w:val="24"/>
                <w:szCs w:val="24"/>
                <w:highlight w:val="none"/>
                <w:lang w:eastAsia="zh-CN"/>
              </w:rPr>
            </w:pPr>
          </w:p>
          <w:p w14:paraId="100E0ED8">
            <w:pPr>
              <w:keepNext w:val="0"/>
              <w:keepLines w:val="0"/>
              <w:pageBreakBefore w:val="0"/>
              <w:widowControl w:val="0"/>
              <w:kinsoku/>
              <w:wordWrap/>
              <w:overflowPunct/>
              <w:topLinePunct w:val="0"/>
              <w:bidi w:val="0"/>
              <w:adjustRightInd/>
              <w:snapToGrid/>
              <w:spacing w:line="400" w:lineRule="exact"/>
              <w:ind w:right="0" w:rightChars="0"/>
              <w:jc w:val="left"/>
              <w:textAlignment w:val="auto"/>
              <w:outlineLvl w:val="9"/>
              <w:rPr>
                <w:rFonts w:hint="eastAsia" w:ascii="宋体" w:hAnsi="宋体" w:cs="宋体"/>
                <w:b/>
                <w:bCs/>
                <w:color w:val="auto"/>
                <w:spacing w:val="0"/>
                <w:sz w:val="24"/>
                <w:szCs w:val="24"/>
                <w:highlight w:val="none"/>
                <w:lang w:eastAsia="zh-CN"/>
              </w:rPr>
            </w:pPr>
          </w:p>
          <w:p w14:paraId="0D630B72">
            <w:pPr>
              <w:keepNext w:val="0"/>
              <w:keepLines w:val="0"/>
              <w:pageBreakBefore w:val="0"/>
              <w:widowControl w:val="0"/>
              <w:kinsoku/>
              <w:wordWrap/>
              <w:overflowPunct/>
              <w:topLinePunct w:val="0"/>
              <w:bidi w:val="0"/>
              <w:adjustRightInd/>
              <w:snapToGrid/>
              <w:spacing w:line="400" w:lineRule="exact"/>
              <w:ind w:right="0" w:rightChars="0"/>
              <w:jc w:val="left"/>
              <w:textAlignment w:val="auto"/>
              <w:outlineLvl w:val="9"/>
              <w:rPr>
                <w:rFonts w:hint="eastAsia" w:ascii="楷体_GB2312" w:hAnsi="楷体_GB2312" w:eastAsia="楷体_GB2312" w:cs="楷体_GB2312"/>
                <w:b w:val="0"/>
                <w:bCs w:val="0"/>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签字：</w:t>
            </w:r>
          </w:p>
          <w:p w14:paraId="0BCE83F7">
            <w:pPr>
              <w:keepNext w:val="0"/>
              <w:keepLines w:val="0"/>
              <w:pageBreakBefore w:val="0"/>
              <w:widowControl w:val="0"/>
              <w:kinsoku/>
              <w:wordWrap/>
              <w:overflowPunct/>
              <w:topLinePunct w:val="0"/>
              <w:bidi w:val="0"/>
              <w:adjustRightInd/>
              <w:snapToGrid/>
              <w:spacing w:line="400" w:lineRule="exact"/>
              <w:ind w:right="0" w:rightChars="0"/>
              <w:jc w:val="right"/>
              <w:textAlignment w:val="auto"/>
              <w:outlineLvl w:val="9"/>
              <w:rPr>
                <w:rFonts w:hint="eastAsia"/>
                <w:color w:val="auto"/>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rPr>
              <w:t>年   月   日</w:t>
            </w:r>
          </w:p>
        </w:tc>
        <w:tc>
          <w:tcPr>
            <w:tcW w:w="3511" w:type="dxa"/>
            <w:gridSpan w:val="3"/>
            <w:noWrap w:val="0"/>
            <w:vAlign w:val="top"/>
          </w:tcPr>
          <w:p w14:paraId="41CB7D12">
            <w:pPr>
              <w:keepNext w:val="0"/>
              <w:keepLines w:val="0"/>
              <w:pageBreakBefore w:val="0"/>
              <w:widowControl w:val="0"/>
              <w:kinsoku/>
              <w:wordWrap/>
              <w:overflowPunct/>
              <w:topLinePunct w:val="0"/>
              <w:bidi w:val="0"/>
              <w:adjustRightInd/>
              <w:snapToGrid/>
              <w:spacing w:line="400" w:lineRule="exact"/>
              <w:ind w:right="0" w:rightChars="0"/>
              <w:jc w:val="left"/>
              <w:textAlignment w:val="auto"/>
              <w:outlineLvl w:val="9"/>
              <w:rPr>
                <w:rFonts w:hint="eastAsia" w:ascii="黑体" w:hAnsi="黑体" w:eastAsia="黑体" w:cs="黑体"/>
                <w:b w:val="0"/>
                <w:bCs w:val="0"/>
                <w:color w:val="auto"/>
                <w:spacing w:val="0"/>
                <w:sz w:val="24"/>
                <w:szCs w:val="24"/>
                <w:highlight w:val="none"/>
                <w:lang w:eastAsia="zh-CN"/>
              </w:rPr>
            </w:pPr>
            <w:r>
              <w:rPr>
                <w:rFonts w:hint="eastAsia" w:ascii="黑体" w:hAnsi="黑体" w:eastAsia="黑体" w:cs="黑体"/>
                <w:b w:val="0"/>
                <w:bCs w:val="0"/>
                <w:color w:val="auto"/>
                <w:spacing w:val="0"/>
                <w:sz w:val="24"/>
                <w:szCs w:val="24"/>
                <w:highlight w:val="none"/>
                <w:lang w:eastAsia="zh-CN"/>
              </w:rPr>
              <w:t>建设单位项目组长意见：</w:t>
            </w:r>
          </w:p>
          <w:p w14:paraId="337D621E">
            <w:pPr>
              <w:keepNext w:val="0"/>
              <w:keepLines w:val="0"/>
              <w:pageBreakBefore w:val="0"/>
              <w:widowControl w:val="0"/>
              <w:kinsoku/>
              <w:wordWrap/>
              <w:overflowPunct/>
              <w:topLinePunct w:val="0"/>
              <w:bidi w:val="0"/>
              <w:adjustRightInd/>
              <w:snapToGrid/>
              <w:spacing w:line="400" w:lineRule="exact"/>
              <w:ind w:right="0" w:rightChars="0"/>
              <w:jc w:val="both"/>
              <w:textAlignment w:val="auto"/>
              <w:outlineLvl w:val="9"/>
              <w:rPr>
                <w:rFonts w:hint="eastAsia" w:ascii="宋体" w:hAnsi="宋体" w:cs="宋体"/>
                <w:b/>
                <w:bCs/>
                <w:color w:val="auto"/>
                <w:spacing w:val="0"/>
                <w:sz w:val="24"/>
                <w:szCs w:val="24"/>
                <w:highlight w:val="none"/>
                <w:lang w:val="en-US" w:eastAsia="zh-CN"/>
              </w:rPr>
            </w:pPr>
          </w:p>
          <w:p w14:paraId="39269EAA">
            <w:pPr>
              <w:pStyle w:val="7"/>
              <w:keepNext w:val="0"/>
              <w:keepLines w:val="0"/>
              <w:pageBreakBefore w:val="0"/>
              <w:widowControl w:val="0"/>
              <w:kinsoku/>
              <w:overflowPunct/>
              <w:topLinePunct w:val="0"/>
              <w:bidi w:val="0"/>
              <w:snapToGrid/>
              <w:spacing w:line="400" w:lineRule="exact"/>
              <w:ind w:left="0" w:leftChars="0" w:right="0" w:rightChars="0" w:firstLine="0" w:firstLineChars="0"/>
              <w:textAlignment w:val="auto"/>
              <w:outlineLvl w:val="9"/>
              <w:rPr>
                <w:rFonts w:hint="eastAsia"/>
                <w:color w:val="auto"/>
                <w:lang w:val="en-US" w:eastAsia="zh-CN"/>
              </w:rPr>
            </w:pPr>
          </w:p>
          <w:p w14:paraId="3EE7269F">
            <w:pPr>
              <w:keepNext w:val="0"/>
              <w:keepLines w:val="0"/>
              <w:pageBreakBefore w:val="0"/>
              <w:widowControl w:val="0"/>
              <w:kinsoku/>
              <w:wordWrap/>
              <w:overflowPunct/>
              <w:topLinePunct w:val="0"/>
              <w:bidi w:val="0"/>
              <w:adjustRightInd/>
              <w:snapToGrid/>
              <w:spacing w:line="400" w:lineRule="exact"/>
              <w:ind w:right="0" w:rightChars="0"/>
              <w:jc w:val="right"/>
              <w:textAlignment w:val="auto"/>
              <w:outlineLvl w:val="9"/>
              <w:rPr>
                <w:rFonts w:hint="eastAsia" w:ascii="宋体" w:hAnsi="宋体" w:cs="宋体"/>
                <w:b/>
                <w:bCs/>
                <w:color w:val="auto"/>
                <w:spacing w:val="0"/>
                <w:sz w:val="24"/>
                <w:szCs w:val="24"/>
                <w:highlight w:val="none"/>
                <w:lang w:val="en-US" w:eastAsia="zh-CN"/>
              </w:rPr>
            </w:pPr>
            <w:r>
              <w:rPr>
                <w:rFonts w:hint="eastAsia" w:ascii="宋体" w:hAnsi="宋体" w:cs="宋体"/>
                <w:b/>
                <w:bCs/>
                <w:color w:val="auto"/>
                <w:spacing w:val="0"/>
                <w:sz w:val="24"/>
                <w:szCs w:val="24"/>
                <w:highlight w:val="none"/>
                <w:lang w:val="en-US" w:eastAsia="zh-CN"/>
              </w:rPr>
              <w:t xml:space="preserve">                         </w:t>
            </w:r>
          </w:p>
          <w:p w14:paraId="5F098716">
            <w:pPr>
              <w:keepNext w:val="0"/>
              <w:keepLines w:val="0"/>
              <w:pageBreakBefore w:val="0"/>
              <w:widowControl w:val="0"/>
              <w:kinsoku/>
              <w:wordWrap/>
              <w:overflowPunct/>
              <w:topLinePunct w:val="0"/>
              <w:bidi w:val="0"/>
              <w:adjustRightInd/>
              <w:snapToGrid/>
              <w:spacing w:line="400" w:lineRule="exact"/>
              <w:ind w:right="0" w:rightChars="0"/>
              <w:jc w:val="left"/>
              <w:textAlignment w:val="auto"/>
              <w:outlineLvl w:val="9"/>
              <w:rPr>
                <w:rFonts w:hint="eastAsia" w:ascii="楷体_GB2312" w:hAnsi="楷体_GB2312" w:eastAsia="楷体_GB2312" w:cs="楷体_GB2312"/>
                <w:b w:val="0"/>
                <w:bCs w:val="0"/>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签字：</w:t>
            </w:r>
          </w:p>
          <w:p w14:paraId="4A130949">
            <w:pPr>
              <w:keepNext w:val="0"/>
              <w:keepLines w:val="0"/>
              <w:pageBreakBefore w:val="0"/>
              <w:widowControl w:val="0"/>
              <w:kinsoku/>
              <w:wordWrap/>
              <w:overflowPunct/>
              <w:topLinePunct w:val="0"/>
              <w:bidi w:val="0"/>
              <w:adjustRightInd/>
              <w:snapToGrid/>
              <w:spacing w:line="400" w:lineRule="exact"/>
              <w:ind w:right="0" w:rightChars="0"/>
              <w:jc w:val="left"/>
              <w:textAlignment w:val="auto"/>
              <w:outlineLvl w:val="9"/>
              <w:rPr>
                <w:rFonts w:hint="eastAsia" w:ascii="宋体" w:hAnsi="宋体" w:eastAsia="宋体" w:cs="宋体"/>
                <w:b/>
                <w:bCs/>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 xml:space="preserve">               年   月   日</w:t>
            </w:r>
          </w:p>
        </w:tc>
        <w:tc>
          <w:tcPr>
            <w:tcW w:w="2802" w:type="dxa"/>
            <w:gridSpan w:val="3"/>
            <w:noWrap w:val="0"/>
            <w:vAlign w:val="top"/>
          </w:tcPr>
          <w:p w14:paraId="0FAF1E48">
            <w:pPr>
              <w:keepNext w:val="0"/>
              <w:keepLines w:val="0"/>
              <w:pageBreakBefore w:val="0"/>
              <w:widowControl w:val="0"/>
              <w:kinsoku/>
              <w:wordWrap/>
              <w:overflowPunct/>
              <w:topLinePunct w:val="0"/>
              <w:bidi w:val="0"/>
              <w:adjustRightInd/>
              <w:snapToGrid/>
              <w:spacing w:line="400" w:lineRule="exact"/>
              <w:ind w:right="0" w:rightChars="0"/>
              <w:jc w:val="both"/>
              <w:textAlignment w:val="auto"/>
              <w:outlineLvl w:val="9"/>
              <w:rPr>
                <w:rFonts w:hint="eastAsia" w:ascii="宋体" w:hAnsi="宋体" w:cs="宋体"/>
                <w:b/>
                <w:bCs/>
                <w:color w:val="auto"/>
                <w:spacing w:val="0"/>
                <w:sz w:val="24"/>
                <w:szCs w:val="24"/>
                <w:highlight w:val="none"/>
                <w:lang w:val="en-US" w:eastAsia="zh-CN"/>
              </w:rPr>
            </w:pPr>
            <w:r>
              <w:rPr>
                <w:rFonts w:hint="eastAsia" w:ascii="黑体" w:hAnsi="黑体" w:eastAsia="黑体" w:cs="黑体"/>
                <w:b w:val="0"/>
                <w:bCs w:val="0"/>
                <w:color w:val="auto"/>
                <w:spacing w:val="0"/>
                <w:sz w:val="24"/>
                <w:szCs w:val="24"/>
                <w:highlight w:val="none"/>
                <w:lang w:eastAsia="zh-CN"/>
              </w:rPr>
              <w:t>建设单位分管领导意见：</w:t>
            </w:r>
            <w:r>
              <w:rPr>
                <w:rFonts w:hint="eastAsia" w:ascii="宋体" w:hAnsi="宋体" w:cs="宋体"/>
                <w:b/>
                <w:bCs/>
                <w:color w:val="auto"/>
                <w:spacing w:val="0"/>
                <w:sz w:val="24"/>
                <w:szCs w:val="24"/>
                <w:highlight w:val="none"/>
                <w:lang w:val="en-US" w:eastAsia="zh-CN"/>
              </w:rPr>
              <w:t xml:space="preserve">                         </w:t>
            </w:r>
          </w:p>
          <w:p w14:paraId="7B6F4B30">
            <w:pPr>
              <w:keepNext w:val="0"/>
              <w:keepLines w:val="0"/>
              <w:pageBreakBefore w:val="0"/>
              <w:widowControl w:val="0"/>
              <w:kinsoku/>
              <w:wordWrap w:val="0"/>
              <w:overflowPunct/>
              <w:topLinePunct w:val="0"/>
              <w:bidi w:val="0"/>
              <w:adjustRightInd/>
              <w:snapToGrid/>
              <w:spacing w:line="400" w:lineRule="exact"/>
              <w:ind w:right="0" w:rightChars="0"/>
              <w:jc w:val="both"/>
              <w:textAlignment w:val="auto"/>
              <w:outlineLvl w:val="9"/>
              <w:rPr>
                <w:rFonts w:hint="eastAsia" w:ascii="宋体" w:hAnsi="宋体" w:eastAsia="宋体" w:cs="宋体"/>
                <w:b/>
                <w:bCs/>
                <w:color w:val="auto"/>
                <w:spacing w:val="0"/>
                <w:sz w:val="24"/>
                <w:szCs w:val="24"/>
                <w:highlight w:val="none"/>
                <w:lang w:val="en-US" w:eastAsia="zh-CN"/>
              </w:rPr>
            </w:pPr>
          </w:p>
          <w:p w14:paraId="3BF230E2">
            <w:pPr>
              <w:pStyle w:val="7"/>
              <w:keepNext w:val="0"/>
              <w:keepLines w:val="0"/>
              <w:pageBreakBefore w:val="0"/>
              <w:widowControl w:val="0"/>
              <w:kinsoku/>
              <w:wordWrap/>
              <w:overflowPunct/>
              <w:topLinePunct w:val="0"/>
              <w:bidi w:val="0"/>
              <w:snapToGrid/>
              <w:spacing w:line="400" w:lineRule="exact"/>
              <w:ind w:right="0" w:rightChars="0"/>
              <w:textAlignment w:val="auto"/>
              <w:outlineLvl w:val="9"/>
              <w:rPr>
                <w:rFonts w:hint="eastAsia"/>
                <w:color w:val="auto"/>
                <w:lang w:val="en-US" w:eastAsia="zh-CN"/>
              </w:rPr>
            </w:pPr>
          </w:p>
          <w:p w14:paraId="130414DB">
            <w:pPr>
              <w:keepNext w:val="0"/>
              <w:keepLines w:val="0"/>
              <w:pageBreakBefore w:val="0"/>
              <w:widowControl w:val="0"/>
              <w:kinsoku/>
              <w:wordWrap w:val="0"/>
              <w:overflowPunct/>
              <w:topLinePunct w:val="0"/>
              <w:bidi w:val="0"/>
              <w:adjustRightInd/>
              <w:snapToGrid/>
              <w:spacing w:line="400" w:lineRule="exact"/>
              <w:ind w:right="0" w:rightChars="0"/>
              <w:jc w:val="right"/>
              <w:textAlignment w:val="auto"/>
              <w:outlineLvl w:val="9"/>
              <w:rPr>
                <w:rFonts w:hint="default" w:ascii="宋体" w:hAnsi="宋体" w:cs="宋体"/>
                <w:b/>
                <w:bCs/>
                <w:color w:val="auto"/>
                <w:spacing w:val="0"/>
                <w:sz w:val="24"/>
                <w:szCs w:val="24"/>
                <w:highlight w:val="none"/>
                <w:lang w:val="en-US" w:eastAsia="zh-CN"/>
              </w:rPr>
            </w:pPr>
            <w:r>
              <w:rPr>
                <w:rFonts w:hint="eastAsia" w:ascii="宋体" w:hAnsi="宋体" w:eastAsia="宋体" w:cs="宋体"/>
                <w:b/>
                <w:bCs/>
                <w:color w:val="auto"/>
                <w:spacing w:val="0"/>
                <w:sz w:val="24"/>
                <w:szCs w:val="24"/>
                <w:highlight w:val="none"/>
                <w:lang w:val="en-US" w:eastAsia="zh-CN"/>
              </w:rPr>
              <w:t xml:space="preserve">   </w:t>
            </w:r>
          </w:p>
          <w:p w14:paraId="41A061CF">
            <w:pPr>
              <w:keepNext w:val="0"/>
              <w:keepLines w:val="0"/>
              <w:pageBreakBefore w:val="0"/>
              <w:widowControl w:val="0"/>
              <w:kinsoku/>
              <w:wordWrap/>
              <w:overflowPunct/>
              <w:topLinePunct w:val="0"/>
              <w:bidi w:val="0"/>
              <w:adjustRightInd/>
              <w:snapToGrid/>
              <w:spacing w:line="400" w:lineRule="exact"/>
              <w:ind w:right="0" w:rightChars="0"/>
              <w:jc w:val="left"/>
              <w:textAlignment w:val="auto"/>
              <w:outlineLvl w:val="9"/>
              <w:rPr>
                <w:rFonts w:hint="eastAsia" w:ascii="楷体_GB2312" w:hAnsi="楷体_GB2312" w:eastAsia="楷体_GB2312" w:cs="楷体_GB2312"/>
                <w:b w:val="0"/>
                <w:bCs w:val="0"/>
                <w:color w:val="auto"/>
                <w:spacing w:val="0"/>
                <w:sz w:val="24"/>
                <w:szCs w:val="24"/>
                <w:highlight w:val="none"/>
                <w:lang w:eastAsia="zh-CN"/>
              </w:rPr>
            </w:pPr>
            <w:r>
              <w:rPr>
                <w:rFonts w:hint="eastAsia" w:ascii="楷体_GB2312" w:hAnsi="楷体_GB2312" w:eastAsia="楷体_GB2312" w:cs="楷体_GB2312"/>
                <w:b w:val="0"/>
                <w:bCs w:val="0"/>
                <w:color w:val="auto"/>
                <w:spacing w:val="0"/>
                <w:sz w:val="24"/>
                <w:szCs w:val="24"/>
                <w:highlight w:val="none"/>
                <w:lang w:eastAsia="zh-CN"/>
              </w:rPr>
              <w:t>签字</w:t>
            </w:r>
            <w:r>
              <w:rPr>
                <w:rFonts w:hint="eastAsia" w:ascii="楷体_GB2312" w:hAnsi="楷体_GB2312" w:eastAsia="楷体_GB2312" w:cs="楷体_GB2312"/>
                <w:b w:val="0"/>
                <w:bCs w:val="0"/>
                <w:color w:val="auto"/>
                <w:spacing w:val="0"/>
                <w:sz w:val="24"/>
                <w:szCs w:val="24"/>
                <w:highlight w:val="none"/>
                <w:lang w:val="en-US" w:eastAsia="zh-CN"/>
              </w:rPr>
              <w:t xml:space="preserve"> ：         </w:t>
            </w:r>
            <w:r>
              <w:rPr>
                <w:rFonts w:hint="eastAsia" w:ascii="楷体_GB2312" w:hAnsi="楷体_GB2312" w:eastAsia="楷体_GB2312" w:cs="楷体_GB2312"/>
                <w:b w:val="0"/>
                <w:bCs w:val="0"/>
                <w:color w:val="auto"/>
                <w:spacing w:val="0"/>
                <w:sz w:val="24"/>
                <w:szCs w:val="24"/>
                <w:highlight w:val="none"/>
                <w:lang w:eastAsia="zh-CN"/>
              </w:rPr>
              <w:t>（公章）</w:t>
            </w:r>
            <w:r>
              <w:rPr>
                <w:rFonts w:hint="eastAsia" w:ascii="楷体_GB2312" w:hAnsi="楷体_GB2312" w:eastAsia="楷体_GB2312" w:cs="楷体_GB2312"/>
                <w:b w:val="0"/>
                <w:bCs w:val="0"/>
                <w:color w:val="auto"/>
                <w:spacing w:val="0"/>
                <w:sz w:val="24"/>
                <w:szCs w:val="24"/>
                <w:highlight w:val="none"/>
                <w:lang w:val="en-US" w:eastAsia="zh-CN"/>
              </w:rPr>
              <w:t xml:space="preserve"> </w:t>
            </w:r>
          </w:p>
          <w:p w14:paraId="317590D9">
            <w:pPr>
              <w:keepNext w:val="0"/>
              <w:keepLines w:val="0"/>
              <w:pageBreakBefore w:val="0"/>
              <w:widowControl w:val="0"/>
              <w:kinsoku/>
              <w:wordWrap/>
              <w:overflowPunct/>
              <w:topLinePunct w:val="0"/>
              <w:bidi w:val="0"/>
              <w:adjustRightInd/>
              <w:snapToGrid/>
              <w:spacing w:line="400" w:lineRule="exact"/>
              <w:ind w:right="0" w:rightChars="0"/>
              <w:jc w:val="right"/>
              <w:textAlignment w:val="auto"/>
              <w:outlineLvl w:val="9"/>
              <w:rPr>
                <w:rFonts w:hint="eastAsia" w:ascii="宋体" w:hAnsi="宋体" w:eastAsia="宋体" w:cs="宋体"/>
                <w:b/>
                <w:bCs/>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rPr>
              <w:t>年   月   日</w:t>
            </w:r>
          </w:p>
        </w:tc>
      </w:tr>
      <w:tr w14:paraId="31DED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5" w:hRule="atLeast"/>
        </w:trPr>
        <w:tc>
          <w:tcPr>
            <w:tcW w:w="3225" w:type="dxa"/>
            <w:gridSpan w:val="2"/>
            <w:noWrap w:val="0"/>
            <w:vAlign w:val="top"/>
          </w:tcPr>
          <w:p w14:paraId="7073BAF0">
            <w:pPr>
              <w:keepNext w:val="0"/>
              <w:keepLines w:val="0"/>
              <w:pageBreakBefore w:val="0"/>
              <w:widowControl w:val="0"/>
              <w:kinsoku/>
              <w:overflowPunct/>
              <w:topLinePunct w:val="0"/>
              <w:autoSpaceDE/>
              <w:autoSpaceDN/>
              <w:bidi w:val="0"/>
              <w:snapToGrid/>
              <w:spacing w:line="400" w:lineRule="exact"/>
              <w:ind w:right="0" w:rightChars="0"/>
              <w:textAlignment w:val="auto"/>
              <w:outlineLvl w:val="9"/>
              <w:rPr>
                <w:rFonts w:hint="eastAsia" w:ascii="宋体" w:hAnsi="宋体" w:eastAsia="宋体" w:cs="宋体"/>
                <w:b/>
                <w:bCs/>
                <w:color w:val="auto"/>
                <w:spacing w:val="0"/>
                <w:sz w:val="24"/>
                <w:szCs w:val="24"/>
                <w:highlight w:val="none"/>
                <w:lang w:val="en-US" w:eastAsia="zh-CN"/>
              </w:rPr>
            </w:pPr>
            <w:r>
              <w:rPr>
                <w:rFonts w:hint="eastAsia" w:ascii="黑体" w:hAnsi="黑体" w:eastAsia="黑体" w:cs="黑体"/>
                <w:b w:val="0"/>
                <w:bCs w:val="0"/>
                <w:color w:val="auto"/>
                <w:spacing w:val="0"/>
                <w:sz w:val="24"/>
                <w:szCs w:val="24"/>
                <w:highlight w:val="none"/>
                <w:lang w:val="en-US" w:eastAsia="zh-CN"/>
              </w:rPr>
              <w:t>设计单位:</w:t>
            </w:r>
          </w:p>
          <w:p w14:paraId="293A9A08">
            <w:pPr>
              <w:pStyle w:val="12"/>
              <w:keepNext w:val="0"/>
              <w:keepLines w:val="0"/>
              <w:pageBreakBefore w:val="0"/>
              <w:widowControl w:val="0"/>
              <w:kinsoku/>
              <w:overflowPunct/>
              <w:topLinePunct w:val="0"/>
              <w:bidi w:val="0"/>
              <w:snapToGrid/>
              <w:spacing w:line="400" w:lineRule="exact"/>
              <w:ind w:right="0" w:rightChars="0"/>
              <w:textAlignment w:val="auto"/>
              <w:outlineLvl w:val="9"/>
              <w:rPr>
                <w:rFonts w:hint="eastAsia" w:ascii="宋体" w:hAnsi="宋体" w:cs="宋体"/>
                <w:b/>
                <w:bCs/>
                <w:color w:val="auto"/>
                <w:spacing w:val="0"/>
                <w:sz w:val="24"/>
                <w:szCs w:val="24"/>
                <w:highlight w:val="none"/>
                <w:lang w:val="en-US" w:eastAsia="zh-CN"/>
              </w:rPr>
            </w:pPr>
            <w:r>
              <w:rPr>
                <w:rFonts w:hint="eastAsia" w:ascii="宋体" w:hAnsi="宋体" w:cs="宋体"/>
                <w:b/>
                <w:bCs/>
                <w:color w:val="auto"/>
                <w:spacing w:val="0"/>
                <w:sz w:val="24"/>
                <w:szCs w:val="24"/>
                <w:highlight w:val="none"/>
                <w:lang w:val="en-US" w:eastAsia="zh-CN"/>
              </w:rPr>
              <w:t xml:space="preserve">                                  </w:t>
            </w:r>
          </w:p>
          <w:p w14:paraId="38E56F8E">
            <w:pPr>
              <w:pStyle w:val="12"/>
              <w:keepNext w:val="0"/>
              <w:keepLines w:val="0"/>
              <w:pageBreakBefore w:val="0"/>
              <w:widowControl w:val="0"/>
              <w:kinsoku/>
              <w:overflowPunct/>
              <w:topLinePunct w:val="0"/>
              <w:bidi w:val="0"/>
              <w:snapToGrid/>
              <w:spacing w:line="400" w:lineRule="exact"/>
              <w:ind w:left="3830" w:leftChars="1824" w:right="0" w:rightChars="0" w:firstLine="3373" w:firstLineChars="1400"/>
              <w:textAlignment w:val="auto"/>
              <w:outlineLvl w:val="9"/>
              <w:rPr>
                <w:rFonts w:hint="eastAsia" w:ascii="宋体" w:hAnsi="宋体" w:eastAsia="宋体" w:cs="宋体"/>
                <w:b/>
                <w:bCs/>
                <w:color w:val="auto"/>
                <w:spacing w:val="0"/>
                <w:sz w:val="24"/>
                <w:szCs w:val="24"/>
                <w:highlight w:val="none"/>
              </w:rPr>
            </w:pPr>
          </w:p>
          <w:p w14:paraId="44BA226B">
            <w:pPr>
              <w:pStyle w:val="12"/>
              <w:keepNext w:val="0"/>
              <w:keepLines w:val="0"/>
              <w:pageBreakBefore w:val="0"/>
              <w:widowControl w:val="0"/>
              <w:kinsoku/>
              <w:overflowPunct/>
              <w:topLinePunct w:val="0"/>
              <w:bidi w:val="0"/>
              <w:snapToGrid/>
              <w:spacing w:line="400" w:lineRule="exact"/>
              <w:ind w:left="3830" w:leftChars="1824" w:right="0" w:rightChars="0" w:firstLine="3373" w:firstLineChars="1400"/>
              <w:textAlignment w:val="auto"/>
              <w:outlineLvl w:val="9"/>
              <w:rPr>
                <w:rFonts w:hint="default" w:ascii="宋体" w:hAnsi="宋体" w:cs="宋体"/>
                <w:b/>
                <w:bCs/>
                <w:color w:val="auto"/>
                <w:spacing w:val="0"/>
                <w:sz w:val="24"/>
                <w:szCs w:val="24"/>
                <w:highlight w:val="none"/>
                <w:lang w:val="en-US" w:eastAsia="zh-CN"/>
              </w:rPr>
            </w:pPr>
            <w:r>
              <w:rPr>
                <w:rFonts w:hint="eastAsia" w:ascii="宋体" w:hAnsi="宋体" w:eastAsia="宋体" w:cs="宋体"/>
                <w:b/>
                <w:bCs/>
                <w:color w:val="auto"/>
                <w:spacing w:val="0"/>
                <w:sz w:val="24"/>
                <w:szCs w:val="24"/>
                <w:highlight w:val="none"/>
              </w:rPr>
              <w:t>）</w:t>
            </w:r>
          </w:p>
          <w:p w14:paraId="0D14F3E5">
            <w:pPr>
              <w:keepNext w:val="0"/>
              <w:keepLines w:val="0"/>
              <w:pageBreakBefore w:val="0"/>
              <w:widowControl w:val="0"/>
              <w:kinsoku/>
              <w:wordWrap/>
              <w:overflowPunct/>
              <w:topLinePunct w:val="0"/>
              <w:bidi w:val="0"/>
              <w:adjustRightInd/>
              <w:snapToGrid/>
              <w:spacing w:line="400" w:lineRule="exact"/>
              <w:ind w:right="0" w:rightChars="0"/>
              <w:jc w:val="left"/>
              <w:textAlignment w:val="auto"/>
              <w:outlineLvl w:val="9"/>
              <w:rPr>
                <w:rFonts w:hint="eastAsia" w:ascii="楷体_GB2312" w:hAnsi="楷体_GB2312" w:eastAsia="楷体_GB2312" w:cs="楷体_GB2312"/>
                <w:b w:val="0"/>
                <w:bCs w:val="0"/>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项目负责人（签字）：</w:t>
            </w:r>
          </w:p>
          <w:p w14:paraId="5C737F44">
            <w:pPr>
              <w:keepNext w:val="0"/>
              <w:keepLines w:val="0"/>
              <w:pageBreakBefore w:val="0"/>
              <w:widowControl w:val="0"/>
              <w:kinsoku/>
              <w:wordWrap/>
              <w:overflowPunct/>
              <w:topLinePunct w:val="0"/>
              <w:bidi w:val="0"/>
              <w:adjustRightInd/>
              <w:snapToGrid/>
              <w:spacing w:line="400" w:lineRule="exact"/>
              <w:ind w:right="0" w:rightChars="0"/>
              <w:jc w:val="left"/>
              <w:textAlignment w:val="auto"/>
              <w:outlineLvl w:val="9"/>
              <w:rPr>
                <w:rFonts w:hint="eastAsia" w:ascii="宋体" w:hAnsi="宋体" w:eastAsia="宋体" w:cs="宋体"/>
                <w:b/>
                <w:bCs/>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（公章）         年  月  日</w:t>
            </w:r>
          </w:p>
        </w:tc>
        <w:tc>
          <w:tcPr>
            <w:tcW w:w="3511" w:type="dxa"/>
            <w:gridSpan w:val="3"/>
            <w:noWrap w:val="0"/>
            <w:vAlign w:val="top"/>
          </w:tcPr>
          <w:p w14:paraId="5ADBF2E4">
            <w:pPr>
              <w:keepNext w:val="0"/>
              <w:keepLines w:val="0"/>
              <w:pageBreakBefore w:val="0"/>
              <w:widowControl w:val="0"/>
              <w:kinsoku/>
              <w:overflowPunct/>
              <w:topLinePunct w:val="0"/>
              <w:autoSpaceDE/>
              <w:autoSpaceDN/>
              <w:bidi w:val="0"/>
              <w:snapToGrid/>
              <w:spacing w:line="400" w:lineRule="exact"/>
              <w:ind w:right="0" w:rightChars="0"/>
              <w:textAlignment w:val="auto"/>
              <w:outlineLvl w:val="9"/>
              <w:rPr>
                <w:rFonts w:hint="eastAsia" w:ascii="黑体" w:hAnsi="黑体" w:eastAsia="黑体" w:cs="黑体"/>
                <w:b w:val="0"/>
                <w:bCs w:val="0"/>
                <w:color w:val="auto"/>
                <w:spacing w:val="0"/>
                <w:sz w:val="24"/>
                <w:szCs w:val="24"/>
                <w:highlight w:val="none"/>
                <w:lang w:val="en-US" w:eastAsia="zh-CN"/>
              </w:rPr>
            </w:pPr>
            <w:r>
              <w:rPr>
                <w:rFonts w:hint="eastAsia" w:ascii="黑体" w:hAnsi="黑体" w:eastAsia="黑体" w:cs="黑体"/>
                <w:b w:val="0"/>
                <w:bCs w:val="0"/>
                <w:color w:val="auto"/>
                <w:spacing w:val="0"/>
                <w:sz w:val="24"/>
                <w:szCs w:val="24"/>
                <w:highlight w:val="none"/>
                <w:lang w:val="en-US" w:eastAsia="zh-CN"/>
              </w:rPr>
              <w:t>监理单位:</w:t>
            </w:r>
          </w:p>
          <w:p w14:paraId="283CA41C">
            <w:pPr>
              <w:pStyle w:val="12"/>
              <w:keepNext w:val="0"/>
              <w:keepLines w:val="0"/>
              <w:pageBreakBefore w:val="0"/>
              <w:widowControl w:val="0"/>
              <w:kinsoku/>
              <w:overflowPunct/>
              <w:topLinePunct w:val="0"/>
              <w:bidi w:val="0"/>
              <w:snapToGrid/>
              <w:spacing w:line="400" w:lineRule="exact"/>
              <w:ind w:right="0" w:rightChars="0"/>
              <w:textAlignment w:val="auto"/>
              <w:outlineLvl w:val="9"/>
              <w:rPr>
                <w:rFonts w:hint="eastAsia" w:ascii="宋体" w:hAnsi="宋体" w:cs="宋体"/>
                <w:b/>
                <w:bCs/>
                <w:color w:val="auto"/>
                <w:spacing w:val="0"/>
                <w:sz w:val="24"/>
                <w:szCs w:val="24"/>
                <w:highlight w:val="none"/>
                <w:lang w:val="en-US" w:eastAsia="zh-CN"/>
              </w:rPr>
            </w:pPr>
            <w:r>
              <w:rPr>
                <w:rFonts w:hint="eastAsia" w:ascii="宋体" w:hAnsi="宋体" w:cs="宋体"/>
                <w:b/>
                <w:bCs/>
                <w:color w:val="auto"/>
                <w:spacing w:val="0"/>
                <w:sz w:val="24"/>
                <w:szCs w:val="24"/>
                <w:highlight w:val="none"/>
                <w:lang w:val="en-US" w:eastAsia="zh-CN"/>
              </w:rPr>
              <w:t xml:space="preserve">             </w:t>
            </w:r>
          </w:p>
          <w:p w14:paraId="42C8D71E">
            <w:pPr>
              <w:pStyle w:val="12"/>
              <w:keepNext w:val="0"/>
              <w:keepLines w:val="0"/>
              <w:pageBreakBefore w:val="0"/>
              <w:widowControl w:val="0"/>
              <w:kinsoku/>
              <w:overflowPunct/>
              <w:topLinePunct w:val="0"/>
              <w:bidi w:val="0"/>
              <w:snapToGrid/>
              <w:spacing w:line="400" w:lineRule="exact"/>
              <w:ind w:right="0" w:rightChars="0"/>
              <w:textAlignment w:val="auto"/>
              <w:outlineLvl w:val="9"/>
              <w:rPr>
                <w:rFonts w:hint="eastAsia" w:ascii="宋体" w:hAnsi="宋体" w:cs="宋体"/>
                <w:b/>
                <w:bCs/>
                <w:color w:val="auto"/>
                <w:spacing w:val="0"/>
                <w:sz w:val="24"/>
                <w:szCs w:val="24"/>
                <w:highlight w:val="none"/>
                <w:lang w:val="en-US" w:eastAsia="zh-CN"/>
              </w:rPr>
            </w:pPr>
            <w:r>
              <w:rPr>
                <w:rFonts w:hint="eastAsia" w:ascii="宋体" w:hAnsi="宋体" w:cs="宋体"/>
                <w:b/>
                <w:bCs/>
                <w:color w:val="auto"/>
                <w:spacing w:val="0"/>
                <w:sz w:val="24"/>
                <w:szCs w:val="24"/>
                <w:highlight w:val="none"/>
                <w:lang w:val="en-US" w:eastAsia="zh-CN"/>
              </w:rPr>
              <w:t xml:space="preserve">                    </w:t>
            </w:r>
          </w:p>
          <w:p w14:paraId="49FF92B1">
            <w:pPr>
              <w:pStyle w:val="12"/>
              <w:keepNext w:val="0"/>
              <w:keepLines w:val="0"/>
              <w:pageBreakBefore w:val="0"/>
              <w:widowControl w:val="0"/>
              <w:kinsoku/>
              <w:overflowPunct/>
              <w:topLinePunct w:val="0"/>
              <w:bidi w:val="0"/>
              <w:snapToGrid/>
              <w:spacing w:line="400" w:lineRule="exact"/>
              <w:ind w:left="3830" w:leftChars="1824" w:right="0" w:rightChars="0" w:firstLine="3373" w:firstLineChars="1400"/>
              <w:textAlignment w:val="auto"/>
              <w:outlineLvl w:val="9"/>
              <w:rPr>
                <w:rFonts w:hint="default" w:ascii="宋体" w:hAnsi="宋体" w:cs="宋体"/>
                <w:b/>
                <w:bCs/>
                <w:color w:val="auto"/>
                <w:spacing w:val="0"/>
                <w:sz w:val="24"/>
                <w:szCs w:val="24"/>
                <w:highlight w:val="none"/>
                <w:lang w:val="en-US" w:eastAsia="zh-CN"/>
              </w:rPr>
            </w:pPr>
            <w:r>
              <w:rPr>
                <w:rFonts w:hint="eastAsia" w:ascii="宋体" w:hAnsi="宋体" w:eastAsia="宋体" w:cs="宋体"/>
                <w:b/>
                <w:bCs/>
                <w:color w:val="auto"/>
                <w:spacing w:val="0"/>
                <w:sz w:val="24"/>
                <w:szCs w:val="24"/>
                <w:highlight w:val="none"/>
              </w:rPr>
              <w:t>）</w:t>
            </w:r>
          </w:p>
          <w:p w14:paraId="647767F3">
            <w:pPr>
              <w:keepNext w:val="0"/>
              <w:keepLines w:val="0"/>
              <w:pageBreakBefore w:val="0"/>
              <w:widowControl w:val="0"/>
              <w:kinsoku/>
              <w:wordWrap/>
              <w:overflowPunct/>
              <w:topLinePunct w:val="0"/>
              <w:bidi w:val="0"/>
              <w:adjustRightInd/>
              <w:snapToGrid/>
              <w:spacing w:line="400" w:lineRule="exact"/>
              <w:ind w:right="0" w:rightChars="0"/>
              <w:jc w:val="left"/>
              <w:textAlignment w:val="auto"/>
              <w:outlineLvl w:val="9"/>
              <w:rPr>
                <w:rFonts w:hint="eastAsia" w:ascii="楷体_GB2312" w:hAnsi="楷体_GB2312" w:eastAsia="楷体_GB2312" w:cs="楷体_GB2312"/>
                <w:b w:val="0"/>
                <w:bCs w:val="0"/>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总监理工程师（签字）：</w:t>
            </w:r>
          </w:p>
          <w:p w14:paraId="5533F40C">
            <w:pPr>
              <w:keepNext w:val="0"/>
              <w:keepLines w:val="0"/>
              <w:pageBreakBefore w:val="0"/>
              <w:widowControl w:val="0"/>
              <w:kinsoku/>
              <w:wordWrap/>
              <w:overflowPunct/>
              <w:topLinePunct w:val="0"/>
              <w:bidi w:val="0"/>
              <w:adjustRightInd/>
              <w:snapToGrid/>
              <w:spacing w:line="400" w:lineRule="exact"/>
              <w:ind w:right="0" w:rightChars="0"/>
              <w:jc w:val="left"/>
              <w:textAlignment w:val="auto"/>
              <w:outlineLvl w:val="9"/>
              <w:rPr>
                <w:rFonts w:hint="eastAsia" w:ascii="宋体" w:hAnsi="宋体" w:eastAsia="宋体" w:cs="宋体"/>
                <w:b/>
                <w:bCs/>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（公章）       年  月  日</w:t>
            </w:r>
          </w:p>
        </w:tc>
        <w:tc>
          <w:tcPr>
            <w:tcW w:w="2802" w:type="dxa"/>
            <w:gridSpan w:val="3"/>
            <w:noWrap w:val="0"/>
            <w:vAlign w:val="top"/>
          </w:tcPr>
          <w:p w14:paraId="1BD3D424">
            <w:pPr>
              <w:keepNext w:val="0"/>
              <w:keepLines w:val="0"/>
              <w:pageBreakBefore w:val="0"/>
              <w:widowControl w:val="0"/>
              <w:kinsoku/>
              <w:overflowPunct/>
              <w:topLinePunct w:val="0"/>
              <w:autoSpaceDE/>
              <w:autoSpaceDN/>
              <w:bidi w:val="0"/>
              <w:snapToGrid/>
              <w:spacing w:line="400" w:lineRule="exact"/>
              <w:ind w:right="0" w:rightChars="0"/>
              <w:textAlignment w:val="auto"/>
              <w:outlineLvl w:val="9"/>
              <w:rPr>
                <w:rFonts w:hint="eastAsia" w:ascii="黑体" w:hAnsi="黑体" w:eastAsia="黑体" w:cs="黑体"/>
                <w:b w:val="0"/>
                <w:bCs w:val="0"/>
                <w:color w:val="auto"/>
                <w:spacing w:val="0"/>
                <w:sz w:val="24"/>
                <w:szCs w:val="24"/>
                <w:highlight w:val="none"/>
                <w:lang w:val="en-US" w:eastAsia="zh-CN"/>
              </w:rPr>
            </w:pPr>
            <w:r>
              <w:rPr>
                <w:rFonts w:hint="eastAsia" w:ascii="黑体" w:hAnsi="黑体" w:eastAsia="黑体" w:cs="黑体"/>
                <w:b w:val="0"/>
                <w:bCs w:val="0"/>
                <w:color w:val="auto"/>
                <w:spacing w:val="0"/>
                <w:sz w:val="24"/>
                <w:szCs w:val="24"/>
                <w:highlight w:val="none"/>
                <w:lang w:val="en-US" w:eastAsia="zh-CN"/>
              </w:rPr>
              <w:t>施工单位:</w:t>
            </w:r>
          </w:p>
          <w:p w14:paraId="572B29E5">
            <w:pPr>
              <w:keepNext w:val="0"/>
              <w:keepLines w:val="0"/>
              <w:pageBreakBefore w:val="0"/>
              <w:widowControl w:val="0"/>
              <w:kinsoku/>
              <w:overflowPunct/>
              <w:topLinePunct w:val="0"/>
              <w:autoSpaceDE/>
              <w:autoSpaceDN/>
              <w:bidi w:val="0"/>
              <w:snapToGrid/>
              <w:spacing w:line="400" w:lineRule="exact"/>
              <w:ind w:right="0" w:rightChars="0"/>
              <w:textAlignment w:val="auto"/>
              <w:outlineLvl w:val="9"/>
              <w:rPr>
                <w:rFonts w:hint="eastAsia" w:ascii="仿宋_GB2312" w:hAnsi="仿宋_GB2312" w:eastAsia="仿宋_GB2312" w:cs="仿宋_GB2312"/>
                <w:b w:val="0"/>
                <w:bCs w:val="0"/>
                <w:color w:val="auto"/>
                <w:spacing w:val="0"/>
                <w:sz w:val="18"/>
                <w:szCs w:val="18"/>
                <w:highlight w:val="none"/>
                <w:lang w:val="en-US" w:eastAsia="zh-CN"/>
              </w:rPr>
            </w:pPr>
            <w:r>
              <w:rPr>
                <w:rFonts w:hint="eastAsia" w:ascii="仿宋_GB2312" w:hAnsi="仿宋_GB2312" w:eastAsia="仿宋_GB2312" w:cs="仿宋_GB2312"/>
                <w:b w:val="0"/>
                <w:bCs w:val="0"/>
                <w:color w:val="auto"/>
                <w:spacing w:val="0"/>
                <w:sz w:val="18"/>
                <w:szCs w:val="18"/>
                <w:highlight w:val="none"/>
                <w:lang w:val="en-US" w:eastAsia="zh-CN"/>
              </w:rPr>
              <w:t>（签字即为同意变更的实施）</w:t>
            </w:r>
          </w:p>
          <w:p w14:paraId="2D590B5E">
            <w:pPr>
              <w:pStyle w:val="7"/>
              <w:rPr>
                <w:rFonts w:hint="eastAsia"/>
                <w:color w:val="auto"/>
                <w:lang w:val="en-US" w:eastAsia="zh-CN"/>
              </w:rPr>
            </w:pPr>
          </w:p>
          <w:p w14:paraId="2D35A293">
            <w:pPr>
              <w:pStyle w:val="12"/>
              <w:keepNext w:val="0"/>
              <w:keepLines w:val="0"/>
              <w:pageBreakBefore w:val="0"/>
              <w:widowControl w:val="0"/>
              <w:kinsoku/>
              <w:overflowPunct/>
              <w:topLinePunct w:val="0"/>
              <w:bidi w:val="0"/>
              <w:snapToGrid/>
              <w:spacing w:line="400" w:lineRule="exact"/>
              <w:ind w:left="3591" w:leftChars="1710" w:right="0" w:rightChars="0" w:firstLine="3614" w:firstLineChars="1500"/>
              <w:textAlignment w:val="auto"/>
              <w:outlineLvl w:val="9"/>
              <w:rPr>
                <w:rFonts w:hint="eastAsia" w:ascii="宋体" w:hAnsi="宋体" w:cs="宋体"/>
                <w:b/>
                <w:bCs/>
                <w:color w:val="auto"/>
                <w:spacing w:val="0"/>
                <w:sz w:val="24"/>
                <w:szCs w:val="24"/>
                <w:highlight w:val="none"/>
                <w:lang w:eastAsia="zh-CN"/>
              </w:rPr>
            </w:pPr>
            <w:r>
              <w:rPr>
                <w:rFonts w:hint="eastAsia" w:ascii="宋体" w:hAnsi="宋体" w:eastAsia="宋体" w:cs="宋体"/>
                <w:b/>
                <w:bCs/>
                <w:color w:val="auto"/>
                <w:spacing w:val="0"/>
                <w:sz w:val="24"/>
                <w:szCs w:val="24"/>
                <w:highlight w:val="none"/>
              </w:rPr>
              <w:t>）</w:t>
            </w:r>
          </w:p>
          <w:p w14:paraId="453E738C">
            <w:pPr>
              <w:keepNext w:val="0"/>
              <w:keepLines w:val="0"/>
              <w:pageBreakBefore w:val="0"/>
              <w:widowControl w:val="0"/>
              <w:kinsoku/>
              <w:wordWrap/>
              <w:overflowPunct/>
              <w:topLinePunct w:val="0"/>
              <w:bidi w:val="0"/>
              <w:adjustRightInd/>
              <w:snapToGrid/>
              <w:spacing w:line="400" w:lineRule="exact"/>
              <w:ind w:right="0" w:rightChars="0"/>
              <w:jc w:val="left"/>
              <w:textAlignment w:val="auto"/>
              <w:outlineLvl w:val="9"/>
              <w:rPr>
                <w:rFonts w:hint="eastAsia" w:ascii="楷体_GB2312" w:hAnsi="楷体_GB2312" w:eastAsia="楷体_GB2312" w:cs="楷体_GB2312"/>
                <w:b w:val="0"/>
                <w:bCs w:val="0"/>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项目负责人（签字）：</w:t>
            </w:r>
          </w:p>
          <w:p w14:paraId="5171D3F5">
            <w:pPr>
              <w:keepNext w:val="0"/>
              <w:keepLines w:val="0"/>
              <w:pageBreakBefore w:val="0"/>
              <w:widowControl w:val="0"/>
              <w:kinsoku/>
              <w:wordWrap/>
              <w:overflowPunct/>
              <w:topLinePunct w:val="0"/>
              <w:bidi w:val="0"/>
              <w:adjustRightInd/>
              <w:snapToGrid/>
              <w:spacing w:line="400" w:lineRule="exact"/>
              <w:ind w:right="0" w:rightChars="0"/>
              <w:jc w:val="left"/>
              <w:textAlignment w:val="auto"/>
              <w:outlineLvl w:val="9"/>
              <w:rPr>
                <w:rFonts w:hint="eastAsia" w:ascii="宋体" w:hAnsi="宋体" w:eastAsia="宋体" w:cs="宋体"/>
                <w:b/>
                <w:bCs/>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（公章）    年  月  日</w:t>
            </w:r>
          </w:p>
        </w:tc>
      </w:tr>
    </w:tbl>
    <w:p w14:paraId="3892FDD7">
      <w:pPr>
        <w:keepNext w:val="0"/>
        <w:keepLines w:val="0"/>
        <w:pageBreakBefore w:val="0"/>
        <w:widowControl w:val="0"/>
        <w:tabs>
          <w:tab w:val="left" w:pos="180"/>
        </w:tabs>
        <w:kinsoku/>
        <w:wordWrap/>
        <w:overflowPunct/>
        <w:topLinePunct w:val="0"/>
        <w:autoSpaceDE/>
        <w:autoSpaceDN/>
        <w:bidi w:val="0"/>
        <w:adjustRightInd/>
        <w:snapToGrid/>
        <w:spacing w:line="360" w:lineRule="exact"/>
        <w:ind w:left="0" w:leftChars="0" w:right="0" w:rightChars="0"/>
        <w:jc w:val="both"/>
        <w:textAlignment w:val="auto"/>
        <w:outlineLvl w:val="9"/>
        <w:rPr>
          <w:rFonts w:hint="eastAsia" w:ascii="楷体_GB2312" w:hAnsi="楷体_GB2312" w:eastAsia="楷体_GB2312" w:cs="楷体_GB2312"/>
          <w:b w:val="0"/>
          <w:bCs w:val="0"/>
          <w:color w:val="auto"/>
          <w:spacing w:val="0"/>
          <w:sz w:val="21"/>
          <w:szCs w:val="21"/>
          <w:highlight w:val="none"/>
          <w:lang w:val="en-US" w:eastAsia="zh-CN"/>
        </w:rPr>
      </w:pPr>
      <w:r>
        <w:rPr>
          <w:rFonts w:hint="eastAsia" w:ascii="楷体_GB2312" w:hAnsi="楷体_GB2312" w:eastAsia="楷体_GB2312" w:cs="楷体_GB2312"/>
          <w:b w:val="0"/>
          <w:bCs w:val="0"/>
          <w:color w:val="auto"/>
          <w:spacing w:val="0"/>
          <w:sz w:val="21"/>
          <w:szCs w:val="21"/>
          <w:highlight w:val="none"/>
          <w:lang w:val="en-US" w:eastAsia="zh-CN"/>
        </w:rPr>
        <w:t>注：1.设计变更审批单由设计院填写，与设计变更通知单一并报送代建中心工程技术科；</w:t>
      </w:r>
    </w:p>
    <w:p w14:paraId="26D411E3">
      <w:pPr>
        <w:keepNext w:val="0"/>
        <w:keepLines w:val="0"/>
        <w:pageBreakBefore w:val="0"/>
        <w:widowControl w:val="0"/>
        <w:numPr>
          <w:ilvl w:val="0"/>
          <w:numId w:val="18"/>
        </w:numPr>
        <w:tabs>
          <w:tab w:val="left" w:pos="180"/>
        </w:tabs>
        <w:kinsoku/>
        <w:wordWrap/>
        <w:overflowPunct/>
        <w:topLinePunct w:val="0"/>
        <w:autoSpaceDE/>
        <w:autoSpaceDN/>
        <w:bidi w:val="0"/>
        <w:adjustRightInd/>
        <w:snapToGrid/>
        <w:spacing w:line="360" w:lineRule="exact"/>
        <w:ind w:left="0" w:leftChars="0" w:right="0" w:rightChars="0" w:firstLine="420" w:firstLineChars="200"/>
        <w:jc w:val="both"/>
        <w:textAlignment w:val="auto"/>
        <w:outlineLvl w:val="9"/>
        <w:rPr>
          <w:rFonts w:hint="eastAsia" w:ascii="楷体_GB2312" w:hAnsi="楷体_GB2312" w:eastAsia="楷体_GB2312" w:cs="楷体_GB2312"/>
          <w:b w:val="0"/>
          <w:bCs w:val="0"/>
          <w:color w:val="auto"/>
          <w:spacing w:val="0"/>
          <w:sz w:val="21"/>
          <w:szCs w:val="21"/>
          <w:highlight w:val="none"/>
          <w:lang w:val="en-US" w:eastAsia="zh-CN"/>
        </w:rPr>
      </w:pPr>
      <w:r>
        <w:rPr>
          <w:rFonts w:hint="eastAsia" w:ascii="楷体_GB2312" w:hAnsi="楷体_GB2312" w:eastAsia="楷体_GB2312" w:cs="楷体_GB2312"/>
          <w:b w:val="0"/>
          <w:bCs w:val="0"/>
          <w:color w:val="auto"/>
          <w:spacing w:val="0"/>
          <w:sz w:val="21"/>
          <w:szCs w:val="21"/>
          <w:highlight w:val="none"/>
          <w:lang w:val="en-US" w:eastAsia="zh-CN"/>
        </w:rPr>
        <w:t>表格连同后附“设计变更单”一式五份，施工单位一份，监理单位一份，设计单位一份，</w:t>
      </w:r>
    </w:p>
    <w:p w14:paraId="759D4ACF">
      <w:pPr>
        <w:keepNext w:val="0"/>
        <w:keepLines w:val="0"/>
        <w:pageBreakBefore w:val="0"/>
        <w:widowControl w:val="0"/>
        <w:numPr>
          <w:ilvl w:val="0"/>
          <w:numId w:val="0"/>
        </w:numPr>
        <w:tabs>
          <w:tab w:val="left" w:pos="180"/>
        </w:tabs>
        <w:kinsoku/>
        <w:wordWrap/>
        <w:overflowPunct/>
        <w:topLinePunct w:val="0"/>
        <w:autoSpaceDE/>
        <w:autoSpaceDN/>
        <w:bidi w:val="0"/>
        <w:adjustRightInd/>
        <w:snapToGrid/>
        <w:spacing w:line="360" w:lineRule="exact"/>
        <w:ind w:leftChars="200" w:right="0" w:rightChars="0"/>
        <w:jc w:val="both"/>
        <w:textAlignment w:val="auto"/>
        <w:outlineLvl w:val="9"/>
        <w:rPr>
          <w:rFonts w:hint="eastAsia" w:ascii="楷体_GB2312" w:hAnsi="楷体_GB2312" w:eastAsia="楷体_GB2312" w:cs="楷体_GB2312"/>
          <w:b w:val="0"/>
          <w:bCs w:val="0"/>
          <w:color w:val="auto"/>
          <w:spacing w:val="0"/>
          <w:sz w:val="21"/>
          <w:szCs w:val="21"/>
          <w:highlight w:val="none"/>
          <w:lang w:val="en-US" w:eastAsia="zh-CN"/>
        </w:rPr>
      </w:pPr>
      <w:r>
        <w:rPr>
          <w:rFonts w:hint="eastAsia" w:ascii="楷体_GB2312" w:hAnsi="楷体_GB2312" w:eastAsia="楷体_GB2312" w:cs="楷体_GB2312"/>
          <w:b w:val="0"/>
          <w:bCs w:val="0"/>
          <w:color w:val="auto"/>
          <w:spacing w:val="0"/>
          <w:sz w:val="21"/>
          <w:szCs w:val="21"/>
          <w:highlight w:val="none"/>
          <w:lang w:val="en-US" w:eastAsia="zh-CN"/>
        </w:rPr>
        <w:t xml:space="preserve">  造价咨询单位一份，工程预决算科一份；</w:t>
      </w:r>
    </w:p>
    <w:p w14:paraId="0A06DA03">
      <w:pPr>
        <w:keepNext w:val="0"/>
        <w:keepLines w:val="0"/>
        <w:pageBreakBefore w:val="0"/>
        <w:widowControl w:val="0"/>
        <w:tabs>
          <w:tab w:val="left" w:pos="180"/>
        </w:tabs>
        <w:kinsoku/>
        <w:wordWrap/>
        <w:overflowPunct/>
        <w:topLinePunct w:val="0"/>
        <w:autoSpaceDE/>
        <w:autoSpaceDN/>
        <w:bidi w:val="0"/>
        <w:adjustRightInd/>
        <w:snapToGrid/>
        <w:spacing w:line="360" w:lineRule="exact"/>
        <w:ind w:left="0" w:leftChars="0" w:right="0" w:rightChars="0" w:firstLine="420" w:firstLineChars="200"/>
        <w:jc w:val="left"/>
        <w:textAlignment w:val="auto"/>
        <w:outlineLvl w:val="9"/>
        <w:rPr>
          <w:rFonts w:hint="eastAsia" w:ascii="楷体_GB2312" w:hAnsi="楷体_GB2312" w:eastAsia="楷体_GB2312" w:cs="楷体_GB2312"/>
          <w:b/>
          <w:bCs/>
          <w:color w:val="auto"/>
          <w:spacing w:val="0"/>
          <w:sz w:val="32"/>
          <w:szCs w:val="32"/>
          <w:highlight w:val="none"/>
          <w:lang w:eastAsia="zh-CN"/>
        </w:rPr>
      </w:pPr>
      <w:r>
        <w:rPr>
          <w:rFonts w:hint="eastAsia" w:ascii="楷体_GB2312" w:hAnsi="楷体_GB2312" w:eastAsia="楷体_GB2312" w:cs="楷体_GB2312"/>
          <w:b w:val="0"/>
          <w:bCs w:val="0"/>
          <w:color w:val="auto"/>
          <w:spacing w:val="0"/>
          <w:sz w:val="21"/>
          <w:szCs w:val="21"/>
          <w:highlight w:val="none"/>
          <w:lang w:val="en-US" w:eastAsia="zh-CN"/>
        </w:rPr>
        <w:t>3.</w:t>
      </w:r>
      <w:r>
        <w:rPr>
          <w:rFonts w:hint="eastAsia" w:ascii="楷体_GB2312" w:hAnsi="楷体_GB2312" w:eastAsia="楷体_GB2312" w:cs="楷体_GB2312"/>
          <w:b w:val="0"/>
          <w:bCs w:val="0"/>
          <w:color w:val="auto"/>
          <w:spacing w:val="0"/>
          <w:sz w:val="21"/>
          <w:szCs w:val="21"/>
          <w:highlight w:val="none"/>
          <w:lang w:eastAsia="zh-CN"/>
        </w:rPr>
        <w:t>变更估算由项目组长填写。</w:t>
      </w:r>
    </w:p>
    <w:p w14:paraId="5309BE14">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黑体" w:hAnsi="黑体" w:eastAsia="黑体" w:cs="黑体"/>
          <w:b w:val="0"/>
          <w:bCs w:val="0"/>
          <w:color w:val="auto"/>
          <w:spacing w:val="0"/>
          <w:sz w:val="28"/>
          <w:szCs w:val="28"/>
          <w:highlight w:val="none"/>
          <w:lang w:eastAsia="zh-CN"/>
        </w:rPr>
      </w:pPr>
    </w:p>
    <w:p w14:paraId="52A0E1F1">
      <w:pPr>
        <w:pStyle w:val="7"/>
        <w:rPr>
          <w:rFonts w:hint="eastAsia"/>
          <w:color w:val="auto"/>
          <w:lang w:eastAsia="zh-CN"/>
        </w:rPr>
      </w:pPr>
    </w:p>
    <w:p w14:paraId="436D6F86">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黑体" w:hAnsi="黑体" w:eastAsia="黑体" w:cs="黑体"/>
          <w:b w:val="0"/>
          <w:bCs w:val="0"/>
          <w:color w:val="auto"/>
          <w:spacing w:val="0"/>
          <w:sz w:val="28"/>
          <w:szCs w:val="28"/>
          <w:highlight w:val="none"/>
          <w:lang w:eastAsia="zh-CN"/>
        </w:rPr>
      </w:pPr>
      <w:r>
        <w:rPr>
          <w:rFonts w:hint="eastAsia" w:ascii="黑体" w:hAnsi="黑体" w:eastAsia="黑体" w:cs="黑体"/>
          <w:b w:val="0"/>
          <w:bCs w:val="0"/>
          <w:color w:val="auto"/>
          <w:spacing w:val="0"/>
          <w:sz w:val="28"/>
          <w:szCs w:val="28"/>
          <w:highlight w:val="none"/>
          <w:lang w:eastAsia="zh-CN"/>
        </w:rPr>
        <w:t>附件</w:t>
      </w:r>
      <w:r>
        <w:rPr>
          <w:rFonts w:hint="eastAsia" w:ascii="黑体" w:hAnsi="黑体" w:eastAsia="黑体" w:cs="黑体"/>
          <w:b w:val="0"/>
          <w:bCs w:val="0"/>
          <w:color w:val="auto"/>
          <w:spacing w:val="0"/>
          <w:sz w:val="28"/>
          <w:szCs w:val="28"/>
          <w:highlight w:val="none"/>
          <w:lang w:val="en-US" w:eastAsia="zh-CN"/>
        </w:rPr>
        <w:t>3</w:t>
      </w:r>
    </w:p>
    <w:p w14:paraId="4EFEF258">
      <w:pPr>
        <w:keepNext w:val="0"/>
        <w:keepLines w:val="0"/>
        <w:pageBreakBefore w:val="0"/>
        <w:widowControl w:val="0"/>
        <w:kinsoku/>
        <w:overflowPunct/>
        <w:topLinePunct w:val="0"/>
        <w:bidi w:val="0"/>
        <w:snapToGrid/>
        <w:spacing w:line="560" w:lineRule="exact"/>
        <w:ind w:left="0" w:leftChars="0" w:right="0" w:rightChars="0"/>
        <w:jc w:val="center"/>
        <w:textAlignment w:val="auto"/>
        <w:outlineLvl w:val="9"/>
        <w:rPr>
          <w:rFonts w:hint="eastAsia" w:ascii="宋体" w:hAnsi="宋体" w:eastAsia="宋体" w:cs="宋体"/>
          <w:color w:val="auto"/>
          <w:spacing w:val="0"/>
          <w:sz w:val="24"/>
          <w:szCs w:val="24"/>
          <w:highlight w:val="none"/>
        </w:rPr>
      </w:pPr>
      <w:r>
        <w:rPr>
          <w:rFonts w:hint="eastAsia" w:ascii="方正小标宋简体" w:hAnsi="方正小标宋简体" w:eastAsia="方正小标宋简体" w:cs="方正小标宋简体"/>
          <w:b w:val="0"/>
          <w:bCs/>
          <w:color w:val="auto"/>
          <w:spacing w:val="0"/>
          <w:sz w:val="36"/>
          <w:szCs w:val="36"/>
          <w:highlight w:val="none"/>
        </w:rPr>
        <w:t xml:space="preserve">图纸会审记录 </w:t>
      </w:r>
      <w:r>
        <w:rPr>
          <w:rFonts w:hint="eastAsia" w:ascii="方正小标宋简体" w:hAnsi="方正小标宋简体" w:eastAsia="方正小标宋简体" w:cs="方正小标宋简体"/>
          <w:b w:val="0"/>
          <w:bCs/>
          <w:color w:val="auto"/>
          <w:spacing w:val="0"/>
          <w:sz w:val="44"/>
          <w:szCs w:val="44"/>
          <w:highlight w:val="none"/>
        </w:rPr>
        <w:t xml:space="preserve">        </w:t>
      </w:r>
      <w:r>
        <w:rPr>
          <w:rFonts w:hint="eastAsia" w:ascii="宋体" w:hAnsi="宋体" w:eastAsia="宋体" w:cs="宋体"/>
          <w:b/>
          <w:color w:val="auto"/>
          <w:spacing w:val="0"/>
          <w:sz w:val="24"/>
          <w:szCs w:val="24"/>
          <w:highlight w:val="none"/>
        </w:rPr>
        <w:t xml:space="preserve">                                    </w:t>
      </w:r>
    </w:p>
    <w:p w14:paraId="7ACFAF84">
      <w:pPr>
        <w:keepNext w:val="0"/>
        <w:keepLines w:val="0"/>
        <w:pageBreakBefore w:val="0"/>
        <w:widowControl w:val="0"/>
        <w:kinsoku/>
        <w:overflowPunct/>
        <w:topLinePunct w:val="0"/>
        <w:bidi w:val="0"/>
        <w:snapToGrid/>
        <w:spacing w:line="560" w:lineRule="exact"/>
        <w:ind w:left="8280" w:leftChars="0" w:right="0" w:rightChars="0" w:hanging="8280" w:hangingChars="3450"/>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 xml:space="preserve">                                                     </w:t>
      </w:r>
      <w:r>
        <w:rPr>
          <w:rFonts w:hint="eastAsia" w:ascii="宋体" w:hAnsi="宋体" w:eastAsia="宋体" w:cs="宋体"/>
          <w:b/>
          <w:bCs/>
          <w:color w:val="auto"/>
          <w:spacing w:val="0"/>
          <w:sz w:val="24"/>
          <w:szCs w:val="24"/>
          <w:highlight w:val="none"/>
        </w:rPr>
        <w:t xml:space="preserve"> </w:t>
      </w:r>
      <w:r>
        <w:rPr>
          <w:rFonts w:hint="eastAsia" w:ascii="楷体_GB2312" w:hAnsi="楷体_GB2312" w:eastAsia="楷体_GB2312" w:cs="楷体_GB2312"/>
          <w:b w:val="0"/>
          <w:bCs w:val="0"/>
          <w:color w:val="auto"/>
          <w:spacing w:val="0"/>
          <w:sz w:val="24"/>
          <w:szCs w:val="24"/>
          <w:highlight w:val="none"/>
        </w:rPr>
        <w:t xml:space="preserve"> 第</w:t>
      </w: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rPr>
        <w:t>页（共</w:t>
      </w: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rPr>
        <w:t>页）</w:t>
      </w:r>
      <w:r>
        <w:rPr>
          <w:rFonts w:hint="eastAsia" w:ascii="宋体" w:hAnsi="宋体" w:eastAsia="宋体" w:cs="宋体"/>
          <w:b/>
          <w:bCs/>
          <w:color w:val="auto"/>
          <w:spacing w:val="0"/>
          <w:sz w:val="24"/>
          <w:szCs w:val="24"/>
          <w:highlight w:val="none"/>
        </w:rPr>
        <w:t xml:space="preserve">  </w:t>
      </w:r>
      <w:r>
        <w:rPr>
          <w:rFonts w:hint="eastAsia" w:ascii="宋体" w:hAnsi="宋体" w:eastAsia="宋体" w:cs="宋体"/>
          <w:color w:val="auto"/>
          <w:spacing w:val="0"/>
          <w:sz w:val="24"/>
          <w:szCs w:val="24"/>
          <w:highlight w:val="none"/>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4"/>
        <w:gridCol w:w="973"/>
        <w:gridCol w:w="1954"/>
        <w:gridCol w:w="1377"/>
        <w:gridCol w:w="3304"/>
      </w:tblGrid>
      <w:tr w14:paraId="4905A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924" w:type="dxa"/>
            <w:noWrap w:val="0"/>
            <w:vAlign w:val="center"/>
          </w:tcPr>
          <w:p w14:paraId="4E7A1E91">
            <w:pPr>
              <w:keepNext w:val="0"/>
              <w:keepLines w:val="0"/>
              <w:pageBreakBefore w:val="0"/>
              <w:widowControl w:val="0"/>
              <w:kinsoku/>
              <w:overflowPunct/>
              <w:topLinePunct w:val="0"/>
              <w:bidi w:val="0"/>
              <w:snapToGrid/>
              <w:spacing w:line="560" w:lineRule="exact"/>
              <w:ind w:left="0" w:leftChars="0" w:right="0" w:rightChars="0"/>
              <w:jc w:val="center"/>
              <w:textAlignment w:val="auto"/>
              <w:outlineLvl w:val="9"/>
              <w:rPr>
                <w:rFonts w:hint="eastAsia" w:ascii="黑体" w:hAnsi="黑体" w:eastAsia="黑体" w:cs="黑体"/>
                <w:b w:val="0"/>
                <w:bCs w:val="0"/>
                <w:color w:val="auto"/>
                <w:spacing w:val="0"/>
                <w:sz w:val="24"/>
                <w:szCs w:val="24"/>
                <w:highlight w:val="none"/>
                <w:lang w:eastAsia="zh-CN"/>
              </w:rPr>
            </w:pPr>
            <w:r>
              <w:rPr>
                <w:rFonts w:hint="eastAsia" w:ascii="黑体" w:hAnsi="黑体" w:eastAsia="黑体" w:cs="黑体"/>
                <w:b w:val="0"/>
                <w:bCs w:val="0"/>
                <w:color w:val="auto"/>
                <w:spacing w:val="0"/>
                <w:sz w:val="24"/>
                <w:szCs w:val="24"/>
                <w:highlight w:val="none"/>
                <w:lang w:eastAsia="zh-CN"/>
              </w:rPr>
              <w:t>工程名称</w:t>
            </w:r>
          </w:p>
        </w:tc>
        <w:tc>
          <w:tcPr>
            <w:tcW w:w="7608" w:type="dxa"/>
            <w:gridSpan w:val="4"/>
            <w:noWrap w:val="0"/>
            <w:vAlign w:val="center"/>
          </w:tcPr>
          <w:p w14:paraId="17D795BA">
            <w:pPr>
              <w:keepNext w:val="0"/>
              <w:keepLines w:val="0"/>
              <w:pageBreakBefore w:val="0"/>
              <w:widowControl w:val="0"/>
              <w:kinsoku/>
              <w:overflowPunct/>
              <w:topLinePunct w:val="0"/>
              <w:bidi w:val="0"/>
              <w:snapToGrid/>
              <w:spacing w:line="560" w:lineRule="exact"/>
              <w:ind w:left="0" w:leftChars="0" w:right="0" w:rightChars="0"/>
              <w:jc w:val="center"/>
              <w:textAlignment w:val="auto"/>
              <w:outlineLvl w:val="9"/>
              <w:rPr>
                <w:rFonts w:hint="eastAsia" w:ascii="黑体" w:hAnsi="黑体" w:eastAsia="黑体" w:cs="黑体"/>
                <w:b w:val="0"/>
                <w:bCs w:val="0"/>
                <w:color w:val="auto"/>
                <w:spacing w:val="0"/>
                <w:sz w:val="24"/>
                <w:szCs w:val="24"/>
                <w:highlight w:val="none"/>
              </w:rPr>
            </w:pPr>
          </w:p>
        </w:tc>
      </w:tr>
      <w:tr w14:paraId="02177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924" w:type="dxa"/>
            <w:noWrap w:val="0"/>
            <w:vAlign w:val="center"/>
          </w:tcPr>
          <w:p w14:paraId="04F6C47B">
            <w:pPr>
              <w:keepNext w:val="0"/>
              <w:keepLines w:val="0"/>
              <w:pageBreakBefore w:val="0"/>
              <w:widowControl w:val="0"/>
              <w:kinsoku/>
              <w:overflowPunct/>
              <w:topLinePunct w:val="0"/>
              <w:bidi w:val="0"/>
              <w:snapToGrid/>
              <w:spacing w:line="560" w:lineRule="exact"/>
              <w:ind w:left="0" w:leftChars="0" w:right="0" w:rightChars="0"/>
              <w:jc w:val="center"/>
              <w:textAlignment w:val="auto"/>
              <w:outlineLvl w:val="9"/>
              <w:rPr>
                <w:rFonts w:hint="eastAsia" w:ascii="黑体" w:hAnsi="黑体" w:eastAsia="黑体" w:cs="黑体"/>
                <w:b w:val="0"/>
                <w:bCs w:val="0"/>
                <w:color w:val="auto"/>
                <w:spacing w:val="0"/>
                <w:sz w:val="24"/>
                <w:szCs w:val="24"/>
                <w:highlight w:val="none"/>
                <w:lang w:eastAsia="zh-CN"/>
              </w:rPr>
            </w:pPr>
            <w:r>
              <w:rPr>
                <w:rFonts w:hint="eastAsia" w:ascii="黑体" w:hAnsi="黑体" w:eastAsia="黑体" w:cs="黑体"/>
                <w:b w:val="0"/>
                <w:bCs w:val="0"/>
                <w:color w:val="auto"/>
                <w:spacing w:val="0"/>
                <w:sz w:val="24"/>
                <w:szCs w:val="24"/>
                <w:highlight w:val="none"/>
                <w:lang w:eastAsia="zh-CN"/>
              </w:rPr>
              <w:t>代建中心</w:t>
            </w:r>
          </w:p>
        </w:tc>
        <w:tc>
          <w:tcPr>
            <w:tcW w:w="2927" w:type="dxa"/>
            <w:gridSpan w:val="2"/>
            <w:noWrap w:val="0"/>
            <w:vAlign w:val="center"/>
          </w:tcPr>
          <w:p w14:paraId="0C7050A4">
            <w:pPr>
              <w:keepNext w:val="0"/>
              <w:keepLines w:val="0"/>
              <w:pageBreakBefore w:val="0"/>
              <w:widowControl w:val="0"/>
              <w:kinsoku/>
              <w:overflowPunct/>
              <w:topLinePunct w:val="0"/>
              <w:bidi w:val="0"/>
              <w:snapToGrid/>
              <w:spacing w:line="560" w:lineRule="exact"/>
              <w:ind w:left="0" w:leftChars="0" w:right="0" w:rightChars="0"/>
              <w:jc w:val="center"/>
              <w:textAlignment w:val="auto"/>
              <w:outlineLvl w:val="9"/>
              <w:rPr>
                <w:rFonts w:hint="eastAsia" w:ascii="黑体" w:hAnsi="黑体" w:eastAsia="黑体" w:cs="黑体"/>
                <w:b w:val="0"/>
                <w:bCs w:val="0"/>
                <w:color w:val="auto"/>
                <w:spacing w:val="0"/>
                <w:sz w:val="24"/>
                <w:szCs w:val="24"/>
                <w:highlight w:val="none"/>
              </w:rPr>
            </w:pPr>
          </w:p>
        </w:tc>
        <w:tc>
          <w:tcPr>
            <w:tcW w:w="1377" w:type="dxa"/>
            <w:noWrap w:val="0"/>
            <w:vAlign w:val="center"/>
          </w:tcPr>
          <w:p w14:paraId="2885C9F4">
            <w:pPr>
              <w:keepNext w:val="0"/>
              <w:keepLines w:val="0"/>
              <w:pageBreakBefore w:val="0"/>
              <w:widowControl w:val="0"/>
              <w:kinsoku/>
              <w:overflowPunct/>
              <w:topLinePunct w:val="0"/>
              <w:bidi w:val="0"/>
              <w:snapToGrid/>
              <w:spacing w:line="560" w:lineRule="exact"/>
              <w:ind w:left="0" w:leftChars="0" w:right="0" w:rightChars="0"/>
              <w:jc w:val="center"/>
              <w:textAlignment w:val="auto"/>
              <w:outlineLvl w:val="9"/>
              <w:rPr>
                <w:rFonts w:hint="eastAsia" w:ascii="黑体" w:hAnsi="黑体" w:eastAsia="黑体" w:cs="黑体"/>
                <w:b w:val="0"/>
                <w:bCs w:val="0"/>
                <w:color w:val="auto"/>
                <w:spacing w:val="0"/>
                <w:sz w:val="24"/>
                <w:szCs w:val="24"/>
                <w:highlight w:val="none"/>
              </w:rPr>
            </w:pPr>
            <w:r>
              <w:rPr>
                <w:rFonts w:hint="eastAsia" w:ascii="黑体" w:hAnsi="黑体" w:eastAsia="黑体" w:cs="黑体"/>
                <w:b w:val="0"/>
                <w:bCs w:val="0"/>
                <w:color w:val="auto"/>
                <w:spacing w:val="0"/>
                <w:sz w:val="24"/>
                <w:szCs w:val="24"/>
                <w:highlight w:val="none"/>
              </w:rPr>
              <w:t>监理单位</w:t>
            </w:r>
          </w:p>
        </w:tc>
        <w:tc>
          <w:tcPr>
            <w:tcW w:w="3304" w:type="dxa"/>
            <w:noWrap w:val="0"/>
            <w:vAlign w:val="center"/>
          </w:tcPr>
          <w:p w14:paraId="68F66E54">
            <w:pPr>
              <w:keepNext w:val="0"/>
              <w:keepLines w:val="0"/>
              <w:pageBreakBefore w:val="0"/>
              <w:widowControl w:val="0"/>
              <w:kinsoku/>
              <w:overflowPunct/>
              <w:topLinePunct w:val="0"/>
              <w:bidi w:val="0"/>
              <w:snapToGrid/>
              <w:spacing w:line="560" w:lineRule="exact"/>
              <w:ind w:left="0" w:leftChars="0" w:right="0" w:rightChars="0"/>
              <w:jc w:val="center"/>
              <w:textAlignment w:val="auto"/>
              <w:outlineLvl w:val="9"/>
              <w:rPr>
                <w:rFonts w:hint="eastAsia" w:ascii="黑体" w:hAnsi="黑体" w:eastAsia="黑体" w:cs="黑体"/>
                <w:b w:val="0"/>
                <w:bCs w:val="0"/>
                <w:color w:val="auto"/>
                <w:spacing w:val="0"/>
                <w:sz w:val="24"/>
                <w:szCs w:val="24"/>
                <w:highlight w:val="none"/>
              </w:rPr>
            </w:pPr>
          </w:p>
        </w:tc>
      </w:tr>
      <w:tr w14:paraId="2D81E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924" w:type="dxa"/>
            <w:noWrap w:val="0"/>
            <w:vAlign w:val="center"/>
          </w:tcPr>
          <w:p w14:paraId="681AD1E2">
            <w:pPr>
              <w:keepNext w:val="0"/>
              <w:keepLines w:val="0"/>
              <w:pageBreakBefore w:val="0"/>
              <w:widowControl w:val="0"/>
              <w:kinsoku/>
              <w:overflowPunct/>
              <w:topLinePunct w:val="0"/>
              <w:bidi w:val="0"/>
              <w:snapToGrid/>
              <w:spacing w:line="560" w:lineRule="exact"/>
              <w:ind w:left="0" w:leftChars="0" w:right="0" w:rightChars="0"/>
              <w:jc w:val="center"/>
              <w:textAlignment w:val="auto"/>
              <w:outlineLvl w:val="9"/>
              <w:rPr>
                <w:rFonts w:hint="eastAsia" w:ascii="黑体" w:hAnsi="黑体" w:eastAsia="黑体" w:cs="黑体"/>
                <w:b w:val="0"/>
                <w:bCs w:val="0"/>
                <w:color w:val="auto"/>
                <w:spacing w:val="0"/>
                <w:sz w:val="24"/>
                <w:szCs w:val="24"/>
                <w:highlight w:val="none"/>
              </w:rPr>
            </w:pPr>
            <w:r>
              <w:rPr>
                <w:rFonts w:hint="eastAsia" w:ascii="黑体" w:hAnsi="黑体" w:eastAsia="黑体" w:cs="黑体"/>
                <w:b w:val="0"/>
                <w:bCs w:val="0"/>
                <w:color w:val="auto"/>
                <w:spacing w:val="0"/>
                <w:sz w:val="24"/>
                <w:szCs w:val="24"/>
                <w:highlight w:val="none"/>
              </w:rPr>
              <w:t>设计单位</w:t>
            </w:r>
          </w:p>
        </w:tc>
        <w:tc>
          <w:tcPr>
            <w:tcW w:w="2927" w:type="dxa"/>
            <w:gridSpan w:val="2"/>
            <w:noWrap w:val="0"/>
            <w:vAlign w:val="center"/>
          </w:tcPr>
          <w:p w14:paraId="6362AF07">
            <w:pPr>
              <w:keepNext w:val="0"/>
              <w:keepLines w:val="0"/>
              <w:pageBreakBefore w:val="0"/>
              <w:widowControl w:val="0"/>
              <w:kinsoku/>
              <w:overflowPunct/>
              <w:topLinePunct w:val="0"/>
              <w:bidi w:val="0"/>
              <w:snapToGrid/>
              <w:spacing w:line="560" w:lineRule="exact"/>
              <w:ind w:left="0" w:leftChars="0" w:right="0" w:rightChars="0"/>
              <w:jc w:val="center"/>
              <w:textAlignment w:val="auto"/>
              <w:outlineLvl w:val="9"/>
              <w:rPr>
                <w:rFonts w:hint="eastAsia" w:ascii="黑体" w:hAnsi="黑体" w:eastAsia="黑体" w:cs="黑体"/>
                <w:b w:val="0"/>
                <w:bCs w:val="0"/>
                <w:color w:val="auto"/>
                <w:spacing w:val="0"/>
                <w:sz w:val="24"/>
                <w:szCs w:val="24"/>
                <w:highlight w:val="none"/>
              </w:rPr>
            </w:pPr>
          </w:p>
        </w:tc>
        <w:tc>
          <w:tcPr>
            <w:tcW w:w="1377" w:type="dxa"/>
            <w:noWrap w:val="0"/>
            <w:vAlign w:val="center"/>
          </w:tcPr>
          <w:p w14:paraId="2CDD2F02">
            <w:pPr>
              <w:keepNext w:val="0"/>
              <w:keepLines w:val="0"/>
              <w:pageBreakBefore w:val="0"/>
              <w:widowControl w:val="0"/>
              <w:kinsoku/>
              <w:overflowPunct/>
              <w:topLinePunct w:val="0"/>
              <w:bidi w:val="0"/>
              <w:snapToGrid/>
              <w:spacing w:line="560" w:lineRule="exact"/>
              <w:ind w:left="0" w:leftChars="0" w:right="0" w:rightChars="0"/>
              <w:jc w:val="center"/>
              <w:textAlignment w:val="auto"/>
              <w:outlineLvl w:val="9"/>
              <w:rPr>
                <w:rFonts w:hint="eastAsia" w:ascii="黑体" w:hAnsi="黑体" w:eastAsia="黑体" w:cs="黑体"/>
                <w:b w:val="0"/>
                <w:bCs w:val="0"/>
                <w:color w:val="auto"/>
                <w:spacing w:val="0"/>
                <w:sz w:val="24"/>
                <w:szCs w:val="24"/>
                <w:highlight w:val="none"/>
              </w:rPr>
            </w:pPr>
            <w:r>
              <w:rPr>
                <w:rFonts w:hint="eastAsia" w:ascii="黑体" w:hAnsi="黑体" w:eastAsia="黑体" w:cs="黑体"/>
                <w:b w:val="0"/>
                <w:bCs w:val="0"/>
                <w:color w:val="auto"/>
                <w:spacing w:val="0"/>
                <w:sz w:val="24"/>
                <w:szCs w:val="24"/>
                <w:highlight w:val="none"/>
              </w:rPr>
              <w:t>施工单位</w:t>
            </w:r>
          </w:p>
        </w:tc>
        <w:tc>
          <w:tcPr>
            <w:tcW w:w="3304" w:type="dxa"/>
            <w:noWrap w:val="0"/>
            <w:vAlign w:val="center"/>
          </w:tcPr>
          <w:p w14:paraId="1BE28684">
            <w:pPr>
              <w:keepNext w:val="0"/>
              <w:keepLines w:val="0"/>
              <w:pageBreakBefore w:val="0"/>
              <w:widowControl w:val="0"/>
              <w:kinsoku/>
              <w:overflowPunct/>
              <w:topLinePunct w:val="0"/>
              <w:bidi w:val="0"/>
              <w:snapToGrid/>
              <w:spacing w:line="560" w:lineRule="exact"/>
              <w:ind w:left="0" w:leftChars="0" w:right="0" w:rightChars="0"/>
              <w:jc w:val="center"/>
              <w:textAlignment w:val="auto"/>
              <w:outlineLvl w:val="9"/>
              <w:rPr>
                <w:rFonts w:hint="eastAsia" w:ascii="黑体" w:hAnsi="黑体" w:eastAsia="黑体" w:cs="黑体"/>
                <w:b w:val="0"/>
                <w:bCs w:val="0"/>
                <w:color w:val="auto"/>
                <w:spacing w:val="0"/>
                <w:sz w:val="24"/>
                <w:szCs w:val="24"/>
                <w:highlight w:val="none"/>
              </w:rPr>
            </w:pPr>
          </w:p>
        </w:tc>
      </w:tr>
      <w:tr w14:paraId="364B0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924" w:type="dxa"/>
            <w:noWrap w:val="0"/>
            <w:vAlign w:val="center"/>
          </w:tcPr>
          <w:p w14:paraId="3A5F9C7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黑体" w:hAnsi="黑体" w:eastAsia="黑体" w:cs="黑体"/>
                <w:b w:val="0"/>
                <w:bCs w:val="0"/>
                <w:color w:val="auto"/>
                <w:spacing w:val="0"/>
                <w:sz w:val="24"/>
                <w:szCs w:val="24"/>
                <w:highlight w:val="none"/>
                <w:lang w:val="en-US" w:eastAsia="zh-CN"/>
              </w:rPr>
            </w:pPr>
            <w:r>
              <w:rPr>
                <w:rFonts w:hint="eastAsia" w:ascii="黑体" w:hAnsi="黑体" w:eastAsia="黑体" w:cs="黑体"/>
                <w:b w:val="0"/>
                <w:bCs w:val="0"/>
                <w:color w:val="auto"/>
                <w:spacing w:val="0"/>
                <w:sz w:val="24"/>
                <w:szCs w:val="24"/>
                <w:highlight w:val="none"/>
                <w:lang w:val="en-US" w:eastAsia="zh-CN"/>
              </w:rPr>
              <w:t>图纸名称及图号</w:t>
            </w:r>
          </w:p>
        </w:tc>
        <w:tc>
          <w:tcPr>
            <w:tcW w:w="4304" w:type="dxa"/>
            <w:gridSpan w:val="3"/>
            <w:noWrap w:val="0"/>
            <w:vAlign w:val="center"/>
          </w:tcPr>
          <w:p w14:paraId="3E4432F4">
            <w:pPr>
              <w:keepNext w:val="0"/>
              <w:keepLines w:val="0"/>
              <w:pageBreakBefore w:val="0"/>
              <w:widowControl w:val="0"/>
              <w:kinsoku/>
              <w:overflowPunct/>
              <w:topLinePunct w:val="0"/>
              <w:bidi w:val="0"/>
              <w:snapToGrid/>
              <w:spacing w:line="560" w:lineRule="exact"/>
              <w:ind w:left="0" w:leftChars="0" w:right="0" w:rightChars="0"/>
              <w:jc w:val="center"/>
              <w:textAlignment w:val="auto"/>
              <w:outlineLvl w:val="9"/>
              <w:rPr>
                <w:rFonts w:hint="eastAsia" w:ascii="黑体" w:hAnsi="黑体" w:eastAsia="黑体" w:cs="黑体"/>
                <w:b w:val="0"/>
                <w:bCs w:val="0"/>
                <w:color w:val="auto"/>
                <w:spacing w:val="0"/>
                <w:sz w:val="24"/>
                <w:szCs w:val="24"/>
                <w:highlight w:val="none"/>
                <w:lang w:eastAsia="zh-CN"/>
              </w:rPr>
            </w:pPr>
            <w:r>
              <w:rPr>
                <w:rFonts w:hint="eastAsia" w:ascii="黑体" w:hAnsi="黑体" w:eastAsia="黑体" w:cs="黑体"/>
                <w:b w:val="0"/>
                <w:bCs w:val="0"/>
                <w:color w:val="auto"/>
                <w:spacing w:val="0"/>
                <w:sz w:val="24"/>
                <w:szCs w:val="24"/>
                <w:highlight w:val="none"/>
                <w:lang w:eastAsia="zh-CN"/>
              </w:rPr>
              <w:t>主要内容</w:t>
            </w:r>
          </w:p>
        </w:tc>
        <w:tc>
          <w:tcPr>
            <w:tcW w:w="3304" w:type="dxa"/>
            <w:noWrap w:val="0"/>
            <w:vAlign w:val="center"/>
          </w:tcPr>
          <w:p w14:paraId="04B1C423">
            <w:pPr>
              <w:keepNext w:val="0"/>
              <w:keepLines w:val="0"/>
              <w:pageBreakBefore w:val="0"/>
              <w:widowControl w:val="0"/>
              <w:kinsoku/>
              <w:overflowPunct/>
              <w:topLinePunct w:val="0"/>
              <w:bidi w:val="0"/>
              <w:snapToGrid/>
              <w:spacing w:line="560" w:lineRule="exact"/>
              <w:ind w:left="0" w:leftChars="0" w:right="0" w:rightChars="0"/>
              <w:jc w:val="center"/>
              <w:textAlignment w:val="auto"/>
              <w:outlineLvl w:val="9"/>
              <w:rPr>
                <w:rFonts w:hint="eastAsia" w:ascii="黑体" w:hAnsi="黑体" w:eastAsia="黑体" w:cs="黑体"/>
                <w:b w:val="0"/>
                <w:bCs w:val="0"/>
                <w:color w:val="auto"/>
                <w:spacing w:val="0"/>
                <w:sz w:val="24"/>
                <w:szCs w:val="24"/>
                <w:highlight w:val="none"/>
                <w:lang w:eastAsia="zh-CN"/>
              </w:rPr>
            </w:pPr>
            <w:r>
              <w:rPr>
                <w:rFonts w:hint="eastAsia" w:ascii="黑体" w:hAnsi="黑体" w:eastAsia="黑体" w:cs="黑体"/>
                <w:b w:val="0"/>
                <w:bCs w:val="0"/>
                <w:color w:val="auto"/>
                <w:spacing w:val="0"/>
                <w:sz w:val="24"/>
                <w:szCs w:val="24"/>
                <w:highlight w:val="none"/>
                <w:lang w:eastAsia="zh-CN"/>
              </w:rPr>
              <w:t>结论意见</w:t>
            </w:r>
          </w:p>
        </w:tc>
      </w:tr>
      <w:tr w14:paraId="26C52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5" w:hRule="atLeast"/>
          <w:jc w:val="center"/>
        </w:trPr>
        <w:tc>
          <w:tcPr>
            <w:tcW w:w="1924" w:type="dxa"/>
            <w:noWrap w:val="0"/>
            <w:vAlign w:val="top"/>
          </w:tcPr>
          <w:p w14:paraId="3E6F298B">
            <w:pPr>
              <w:keepNext w:val="0"/>
              <w:keepLines w:val="0"/>
              <w:pageBreakBefore w:val="0"/>
              <w:widowControl w:val="0"/>
              <w:kinsoku/>
              <w:overflowPunct/>
              <w:topLinePunct w:val="0"/>
              <w:bidi w:val="0"/>
              <w:snapToGrid/>
              <w:spacing w:line="560" w:lineRule="exact"/>
              <w:ind w:left="0" w:leftChars="0" w:right="0" w:rightChars="0"/>
              <w:jc w:val="both"/>
              <w:textAlignment w:val="auto"/>
              <w:outlineLvl w:val="9"/>
              <w:rPr>
                <w:rFonts w:hint="eastAsia" w:ascii="宋体" w:hAnsi="宋体" w:eastAsia="宋体" w:cs="宋体"/>
                <w:b/>
                <w:bCs/>
                <w:color w:val="auto"/>
                <w:spacing w:val="0"/>
                <w:sz w:val="24"/>
                <w:szCs w:val="24"/>
                <w:highlight w:val="none"/>
              </w:rPr>
            </w:pPr>
          </w:p>
        </w:tc>
        <w:tc>
          <w:tcPr>
            <w:tcW w:w="4304" w:type="dxa"/>
            <w:gridSpan w:val="3"/>
            <w:noWrap w:val="0"/>
            <w:vAlign w:val="top"/>
          </w:tcPr>
          <w:p w14:paraId="29C4C923">
            <w:pPr>
              <w:pStyle w:val="12"/>
              <w:keepNext w:val="0"/>
              <w:keepLines w:val="0"/>
              <w:pageBreakBefore w:val="0"/>
              <w:widowControl w:val="0"/>
              <w:kinsoku/>
              <w:overflowPunct/>
              <w:topLinePunct w:val="0"/>
              <w:bidi w:val="0"/>
              <w:snapToGrid/>
              <w:spacing w:line="560" w:lineRule="exact"/>
              <w:ind w:left="0" w:leftChars="0" w:right="0" w:rightChars="0"/>
              <w:textAlignment w:val="auto"/>
              <w:outlineLvl w:val="9"/>
              <w:rPr>
                <w:rFonts w:hint="eastAsia" w:ascii="宋体" w:hAnsi="宋体" w:eastAsia="宋体" w:cs="宋体"/>
                <w:b/>
                <w:bCs/>
                <w:color w:val="auto"/>
                <w:spacing w:val="0"/>
                <w:sz w:val="24"/>
                <w:szCs w:val="24"/>
                <w:highlight w:val="none"/>
              </w:rPr>
            </w:pPr>
          </w:p>
          <w:p w14:paraId="51E4718A">
            <w:pPr>
              <w:pStyle w:val="7"/>
              <w:keepNext w:val="0"/>
              <w:keepLines w:val="0"/>
              <w:pageBreakBefore w:val="0"/>
              <w:widowControl w:val="0"/>
              <w:kinsoku/>
              <w:overflowPunct/>
              <w:topLinePunct w:val="0"/>
              <w:bidi w:val="0"/>
              <w:snapToGrid/>
              <w:spacing w:line="560" w:lineRule="exact"/>
              <w:ind w:left="0" w:leftChars="0" w:right="0" w:rightChars="0"/>
              <w:textAlignment w:val="auto"/>
              <w:outlineLvl w:val="9"/>
              <w:rPr>
                <w:rFonts w:hint="eastAsia" w:ascii="宋体" w:hAnsi="宋体" w:eastAsia="宋体" w:cs="宋体"/>
                <w:b/>
                <w:bCs/>
                <w:color w:val="auto"/>
                <w:spacing w:val="0"/>
                <w:sz w:val="24"/>
                <w:szCs w:val="24"/>
                <w:highlight w:val="none"/>
              </w:rPr>
            </w:pPr>
          </w:p>
        </w:tc>
        <w:tc>
          <w:tcPr>
            <w:tcW w:w="3304" w:type="dxa"/>
            <w:noWrap w:val="0"/>
            <w:vAlign w:val="top"/>
          </w:tcPr>
          <w:p w14:paraId="15D03D84">
            <w:pPr>
              <w:keepNext w:val="0"/>
              <w:keepLines w:val="0"/>
              <w:pageBreakBefore w:val="0"/>
              <w:widowControl w:val="0"/>
              <w:kinsoku/>
              <w:overflowPunct/>
              <w:topLinePunct w:val="0"/>
              <w:bidi w:val="0"/>
              <w:snapToGrid/>
              <w:spacing w:line="560" w:lineRule="exact"/>
              <w:ind w:left="0" w:leftChars="0" w:right="0" w:rightChars="0"/>
              <w:textAlignment w:val="auto"/>
              <w:outlineLvl w:val="9"/>
              <w:rPr>
                <w:rFonts w:hint="eastAsia" w:ascii="宋体" w:hAnsi="宋体" w:eastAsia="宋体" w:cs="宋体"/>
                <w:b/>
                <w:bCs/>
                <w:color w:val="auto"/>
                <w:spacing w:val="0"/>
                <w:sz w:val="24"/>
                <w:szCs w:val="24"/>
                <w:highlight w:val="none"/>
              </w:rPr>
            </w:pPr>
          </w:p>
        </w:tc>
      </w:tr>
      <w:tr w14:paraId="1DC66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2897" w:type="dxa"/>
            <w:gridSpan w:val="2"/>
            <w:noWrap w:val="0"/>
            <w:vAlign w:val="top"/>
          </w:tcPr>
          <w:p w14:paraId="7FF937FC">
            <w:pPr>
              <w:keepNext w:val="0"/>
              <w:keepLines w:val="0"/>
              <w:pageBreakBefore w:val="0"/>
              <w:widowControl w:val="0"/>
              <w:kinsoku/>
              <w:wordWrap/>
              <w:overflowPunct/>
              <w:topLinePunct w:val="0"/>
              <w:bidi w:val="0"/>
              <w:adjustRightInd/>
              <w:snapToGrid/>
              <w:spacing w:line="560" w:lineRule="exact"/>
              <w:ind w:left="0" w:leftChars="0" w:right="0" w:rightChars="0"/>
              <w:jc w:val="both"/>
              <w:textAlignment w:val="auto"/>
              <w:outlineLvl w:val="9"/>
              <w:rPr>
                <w:rFonts w:hint="eastAsia" w:ascii="宋体" w:hAnsi="宋体" w:eastAsia="宋体" w:cs="宋体"/>
                <w:b/>
                <w:bCs/>
                <w:color w:val="auto"/>
                <w:spacing w:val="0"/>
                <w:sz w:val="24"/>
                <w:szCs w:val="24"/>
                <w:highlight w:val="none"/>
              </w:rPr>
            </w:pPr>
            <w:r>
              <w:rPr>
                <w:rFonts w:hint="eastAsia" w:ascii="黑体" w:hAnsi="黑体" w:eastAsia="黑体" w:cs="黑体"/>
                <w:b w:val="0"/>
                <w:bCs w:val="0"/>
                <w:color w:val="auto"/>
                <w:spacing w:val="0"/>
                <w:sz w:val="24"/>
                <w:szCs w:val="24"/>
                <w:highlight w:val="none"/>
              </w:rPr>
              <w:t>施工单位</w:t>
            </w:r>
            <w:r>
              <w:rPr>
                <w:rFonts w:hint="eastAsia" w:ascii="黑体" w:hAnsi="黑体" w:eastAsia="黑体" w:cs="黑体"/>
                <w:b w:val="0"/>
                <w:bCs w:val="0"/>
                <w:color w:val="auto"/>
                <w:spacing w:val="0"/>
                <w:sz w:val="24"/>
                <w:szCs w:val="24"/>
                <w:highlight w:val="none"/>
                <w:lang w:eastAsia="zh-CN"/>
              </w:rPr>
              <w:t>意见：</w:t>
            </w:r>
          </w:p>
          <w:p w14:paraId="59D1ADE3">
            <w:pPr>
              <w:keepNext w:val="0"/>
              <w:keepLines w:val="0"/>
              <w:pageBreakBefore w:val="0"/>
              <w:widowControl w:val="0"/>
              <w:kinsoku/>
              <w:wordWrap/>
              <w:overflowPunct/>
              <w:topLinePunct w:val="0"/>
              <w:bidi w:val="0"/>
              <w:adjustRightInd/>
              <w:snapToGrid/>
              <w:spacing w:line="560" w:lineRule="exact"/>
              <w:ind w:left="0" w:leftChars="0" w:right="0" w:rightChars="0"/>
              <w:jc w:val="both"/>
              <w:textAlignment w:val="auto"/>
              <w:outlineLvl w:val="9"/>
              <w:rPr>
                <w:rFonts w:hint="eastAsia" w:ascii="宋体" w:hAnsi="宋体" w:eastAsia="宋体" w:cs="宋体"/>
                <w:b/>
                <w:bCs/>
                <w:color w:val="auto"/>
                <w:spacing w:val="0"/>
                <w:sz w:val="24"/>
                <w:szCs w:val="24"/>
                <w:highlight w:val="none"/>
              </w:rPr>
            </w:pPr>
          </w:p>
          <w:p w14:paraId="2578C608">
            <w:pPr>
              <w:pStyle w:val="7"/>
              <w:rPr>
                <w:rFonts w:hint="eastAsia"/>
                <w:color w:val="auto"/>
              </w:rPr>
            </w:pPr>
          </w:p>
          <w:p w14:paraId="02E9EED7">
            <w:pPr>
              <w:keepNext w:val="0"/>
              <w:keepLines w:val="0"/>
              <w:pageBreakBefore w:val="0"/>
              <w:widowControl w:val="0"/>
              <w:kinsoku/>
              <w:wordWrap/>
              <w:overflowPunct/>
              <w:topLinePunct w:val="0"/>
              <w:bidi w:val="0"/>
              <w:adjustRightInd/>
              <w:snapToGrid/>
              <w:spacing w:line="560" w:lineRule="exact"/>
              <w:ind w:left="0" w:leftChars="0" w:right="0" w:rightChars="0"/>
              <w:jc w:val="both"/>
              <w:textAlignment w:val="auto"/>
              <w:outlineLvl w:val="9"/>
              <w:rPr>
                <w:rFonts w:hint="eastAsia" w:ascii="楷体_GB2312" w:hAnsi="楷体_GB2312" w:eastAsia="楷体_GB2312" w:cs="楷体_GB2312"/>
                <w:b w:val="0"/>
                <w:bCs w:val="0"/>
                <w:color w:val="auto"/>
                <w:spacing w:val="0"/>
                <w:sz w:val="24"/>
                <w:szCs w:val="24"/>
                <w:highlight w:val="none"/>
              </w:rPr>
            </w:pPr>
            <w:r>
              <w:rPr>
                <w:rFonts w:hint="eastAsia" w:ascii="楷体_GB2312" w:hAnsi="楷体_GB2312" w:eastAsia="楷体_GB2312" w:cs="楷体_GB2312"/>
                <w:b w:val="0"/>
                <w:bCs w:val="0"/>
                <w:color w:val="auto"/>
                <w:spacing w:val="0"/>
                <w:sz w:val="24"/>
                <w:szCs w:val="24"/>
                <w:highlight w:val="none"/>
              </w:rPr>
              <w:t>项目负责人：</w:t>
            </w: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lang w:eastAsia="zh-CN"/>
              </w:rPr>
              <w:t>（公章）</w:t>
            </w:r>
            <w:r>
              <w:rPr>
                <w:rFonts w:hint="eastAsia" w:ascii="楷体_GB2312" w:hAnsi="楷体_GB2312" w:eastAsia="楷体_GB2312" w:cs="楷体_GB2312"/>
                <w:b w:val="0"/>
                <w:bCs w:val="0"/>
                <w:color w:val="auto"/>
                <w:spacing w:val="0"/>
                <w:sz w:val="24"/>
                <w:szCs w:val="24"/>
                <w:highlight w:val="none"/>
                <w:lang w:val="en-US" w:eastAsia="zh-CN"/>
              </w:rPr>
              <w:t xml:space="preserve">   </w:t>
            </w:r>
          </w:p>
          <w:p w14:paraId="2E2AF943">
            <w:pPr>
              <w:keepNext w:val="0"/>
              <w:keepLines w:val="0"/>
              <w:pageBreakBefore w:val="0"/>
              <w:widowControl w:val="0"/>
              <w:kinsoku/>
              <w:wordWrap/>
              <w:overflowPunct/>
              <w:topLinePunct w:val="0"/>
              <w:bidi w:val="0"/>
              <w:adjustRightInd/>
              <w:snapToGrid/>
              <w:spacing w:line="560" w:lineRule="exact"/>
              <w:ind w:left="0" w:leftChars="0" w:right="0" w:rightChars="0" w:firstLine="480" w:firstLineChars="200"/>
              <w:jc w:val="right"/>
              <w:textAlignment w:val="auto"/>
              <w:outlineLvl w:val="9"/>
              <w:rPr>
                <w:rFonts w:hint="eastAsia" w:ascii="宋体" w:hAnsi="宋体" w:eastAsia="宋体" w:cs="宋体"/>
                <w:b/>
                <w:bCs/>
                <w:color w:val="auto"/>
                <w:spacing w:val="0"/>
                <w:sz w:val="24"/>
                <w:szCs w:val="24"/>
                <w:highlight w:val="none"/>
              </w:rPr>
            </w:pP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rPr>
              <w:t xml:space="preserve">年  </w:t>
            </w: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rPr>
              <w:t xml:space="preserve"> 月   日</w:t>
            </w:r>
          </w:p>
        </w:tc>
        <w:tc>
          <w:tcPr>
            <w:tcW w:w="3331" w:type="dxa"/>
            <w:gridSpan w:val="2"/>
            <w:noWrap w:val="0"/>
            <w:vAlign w:val="top"/>
          </w:tcPr>
          <w:p w14:paraId="101BF417">
            <w:pPr>
              <w:keepNext w:val="0"/>
              <w:keepLines w:val="0"/>
              <w:pageBreakBefore w:val="0"/>
              <w:widowControl w:val="0"/>
              <w:kinsoku/>
              <w:wordWrap/>
              <w:overflowPunct/>
              <w:topLinePunct w:val="0"/>
              <w:bidi w:val="0"/>
              <w:adjustRightInd/>
              <w:snapToGrid/>
              <w:spacing w:line="560" w:lineRule="exact"/>
              <w:ind w:left="0" w:leftChars="0" w:right="0" w:rightChars="0"/>
              <w:jc w:val="both"/>
              <w:textAlignment w:val="auto"/>
              <w:outlineLvl w:val="9"/>
              <w:rPr>
                <w:rFonts w:hint="eastAsia" w:ascii="黑体" w:hAnsi="黑体" w:eastAsia="黑体" w:cs="黑体"/>
                <w:b w:val="0"/>
                <w:bCs w:val="0"/>
                <w:color w:val="auto"/>
                <w:spacing w:val="0"/>
                <w:sz w:val="24"/>
                <w:szCs w:val="24"/>
                <w:highlight w:val="none"/>
              </w:rPr>
            </w:pPr>
            <w:r>
              <w:rPr>
                <w:rFonts w:hint="eastAsia" w:ascii="黑体" w:hAnsi="黑体" w:eastAsia="黑体" w:cs="黑体"/>
                <w:b w:val="0"/>
                <w:bCs w:val="0"/>
                <w:color w:val="auto"/>
                <w:spacing w:val="0"/>
                <w:sz w:val="24"/>
                <w:szCs w:val="24"/>
                <w:highlight w:val="none"/>
              </w:rPr>
              <w:t>监理单位</w:t>
            </w:r>
            <w:r>
              <w:rPr>
                <w:rFonts w:hint="eastAsia" w:ascii="黑体" w:hAnsi="黑体" w:eastAsia="黑体" w:cs="黑体"/>
                <w:b w:val="0"/>
                <w:bCs w:val="0"/>
                <w:color w:val="auto"/>
                <w:spacing w:val="0"/>
                <w:sz w:val="24"/>
                <w:szCs w:val="24"/>
                <w:highlight w:val="none"/>
                <w:lang w:eastAsia="zh-CN"/>
              </w:rPr>
              <w:t>意见：</w:t>
            </w:r>
          </w:p>
          <w:p w14:paraId="780BE69B">
            <w:pPr>
              <w:keepNext w:val="0"/>
              <w:keepLines w:val="0"/>
              <w:pageBreakBefore w:val="0"/>
              <w:widowControl w:val="0"/>
              <w:kinsoku/>
              <w:wordWrap/>
              <w:overflowPunct/>
              <w:topLinePunct w:val="0"/>
              <w:bidi w:val="0"/>
              <w:adjustRightInd/>
              <w:snapToGrid/>
              <w:spacing w:line="560" w:lineRule="exact"/>
              <w:ind w:left="0" w:leftChars="0" w:right="0" w:rightChars="0"/>
              <w:jc w:val="both"/>
              <w:textAlignment w:val="auto"/>
              <w:outlineLvl w:val="9"/>
              <w:rPr>
                <w:rFonts w:hint="eastAsia" w:ascii="宋体" w:hAnsi="宋体" w:eastAsia="宋体" w:cs="宋体"/>
                <w:b/>
                <w:bCs/>
                <w:color w:val="auto"/>
                <w:spacing w:val="0"/>
                <w:sz w:val="24"/>
                <w:szCs w:val="24"/>
                <w:highlight w:val="none"/>
                <w:lang w:val="en-US" w:eastAsia="zh-CN"/>
              </w:rPr>
            </w:pPr>
          </w:p>
          <w:p w14:paraId="11D24777">
            <w:pPr>
              <w:pStyle w:val="7"/>
              <w:rPr>
                <w:rFonts w:hint="eastAsia"/>
                <w:color w:val="auto"/>
                <w:lang w:val="en-US" w:eastAsia="zh-CN"/>
              </w:rPr>
            </w:pPr>
          </w:p>
          <w:p w14:paraId="3522D26B">
            <w:pPr>
              <w:keepNext w:val="0"/>
              <w:keepLines w:val="0"/>
              <w:pageBreakBefore w:val="0"/>
              <w:widowControl w:val="0"/>
              <w:kinsoku/>
              <w:wordWrap/>
              <w:overflowPunct/>
              <w:topLinePunct w:val="0"/>
              <w:bidi w:val="0"/>
              <w:adjustRightInd/>
              <w:snapToGrid/>
              <w:spacing w:line="560" w:lineRule="exact"/>
              <w:ind w:left="0" w:leftChars="0" w:right="0" w:rightChars="0"/>
              <w:jc w:val="both"/>
              <w:textAlignment w:val="auto"/>
              <w:outlineLvl w:val="9"/>
              <w:rPr>
                <w:rFonts w:hint="eastAsia" w:ascii="楷体_GB2312" w:hAnsi="楷体_GB2312" w:eastAsia="楷体_GB2312" w:cs="楷体_GB2312"/>
                <w:b w:val="0"/>
                <w:bCs w:val="0"/>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rPr>
              <w:t xml:space="preserve">总监理工程师：   </w:t>
            </w: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lang w:eastAsia="zh-CN"/>
              </w:rPr>
              <w:t>（公章）</w:t>
            </w:r>
            <w:r>
              <w:rPr>
                <w:rFonts w:hint="eastAsia" w:ascii="楷体_GB2312" w:hAnsi="楷体_GB2312" w:eastAsia="楷体_GB2312" w:cs="楷体_GB2312"/>
                <w:b w:val="0"/>
                <w:bCs w:val="0"/>
                <w:color w:val="auto"/>
                <w:spacing w:val="0"/>
                <w:sz w:val="24"/>
                <w:szCs w:val="24"/>
                <w:highlight w:val="none"/>
                <w:lang w:val="en-US" w:eastAsia="zh-CN"/>
              </w:rPr>
              <w:t xml:space="preserve">  </w:t>
            </w:r>
          </w:p>
          <w:p w14:paraId="791171B6">
            <w:pPr>
              <w:keepNext w:val="0"/>
              <w:keepLines w:val="0"/>
              <w:pageBreakBefore w:val="0"/>
              <w:widowControl w:val="0"/>
              <w:kinsoku/>
              <w:wordWrap/>
              <w:overflowPunct/>
              <w:topLinePunct w:val="0"/>
              <w:bidi w:val="0"/>
              <w:adjustRightInd/>
              <w:snapToGrid/>
              <w:spacing w:line="560" w:lineRule="exact"/>
              <w:ind w:left="0" w:leftChars="0" w:right="0" w:rightChars="0" w:firstLine="480" w:firstLineChars="200"/>
              <w:jc w:val="right"/>
              <w:textAlignment w:val="auto"/>
              <w:outlineLvl w:val="9"/>
              <w:rPr>
                <w:rFonts w:hint="eastAsia" w:ascii="宋体" w:hAnsi="宋体" w:eastAsia="宋体" w:cs="宋体"/>
                <w:b/>
                <w:bCs/>
                <w:color w:val="auto"/>
                <w:spacing w:val="0"/>
                <w:sz w:val="24"/>
                <w:szCs w:val="24"/>
                <w:highlight w:val="none"/>
              </w:rPr>
            </w:pP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rPr>
              <w:t xml:space="preserve">年  </w:t>
            </w: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rPr>
              <w:t xml:space="preserve"> 月   日</w:t>
            </w:r>
          </w:p>
        </w:tc>
        <w:tc>
          <w:tcPr>
            <w:tcW w:w="3304" w:type="dxa"/>
            <w:noWrap w:val="0"/>
            <w:vAlign w:val="top"/>
          </w:tcPr>
          <w:p w14:paraId="085B7759">
            <w:pPr>
              <w:keepNext w:val="0"/>
              <w:keepLines w:val="0"/>
              <w:pageBreakBefore w:val="0"/>
              <w:widowControl w:val="0"/>
              <w:kinsoku/>
              <w:wordWrap/>
              <w:overflowPunct/>
              <w:topLinePunct w:val="0"/>
              <w:bidi w:val="0"/>
              <w:adjustRightInd/>
              <w:snapToGrid/>
              <w:spacing w:line="560" w:lineRule="exact"/>
              <w:ind w:left="0" w:leftChars="0" w:right="0" w:rightChars="0"/>
              <w:jc w:val="both"/>
              <w:textAlignment w:val="auto"/>
              <w:outlineLvl w:val="9"/>
              <w:rPr>
                <w:rFonts w:hint="eastAsia" w:ascii="黑体" w:hAnsi="黑体" w:eastAsia="黑体" w:cs="黑体"/>
                <w:b w:val="0"/>
                <w:bCs w:val="0"/>
                <w:color w:val="auto"/>
                <w:spacing w:val="0"/>
                <w:sz w:val="24"/>
                <w:szCs w:val="24"/>
                <w:highlight w:val="none"/>
              </w:rPr>
            </w:pPr>
            <w:r>
              <w:rPr>
                <w:rFonts w:hint="eastAsia" w:ascii="黑体" w:hAnsi="黑体" w:eastAsia="黑体" w:cs="黑体"/>
                <w:b w:val="0"/>
                <w:bCs w:val="0"/>
                <w:color w:val="auto"/>
                <w:spacing w:val="0"/>
                <w:sz w:val="24"/>
                <w:szCs w:val="24"/>
                <w:highlight w:val="none"/>
              </w:rPr>
              <w:t>设计单位</w:t>
            </w:r>
            <w:r>
              <w:rPr>
                <w:rFonts w:hint="eastAsia" w:ascii="黑体" w:hAnsi="黑体" w:eastAsia="黑体" w:cs="黑体"/>
                <w:b w:val="0"/>
                <w:bCs w:val="0"/>
                <w:color w:val="auto"/>
                <w:spacing w:val="0"/>
                <w:sz w:val="24"/>
                <w:szCs w:val="24"/>
                <w:highlight w:val="none"/>
                <w:lang w:eastAsia="zh-CN"/>
              </w:rPr>
              <w:t>意见：</w:t>
            </w:r>
          </w:p>
          <w:p w14:paraId="60BD0B62">
            <w:pPr>
              <w:pStyle w:val="12"/>
              <w:keepNext w:val="0"/>
              <w:keepLines w:val="0"/>
              <w:pageBreakBefore w:val="0"/>
              <w:widowControl w:val="0"/>
              <w:kinsoku/>
              <w:wordWrap/>
              <w:overflowPunct/>
              <w:topLinePunct w:val="0"/>
              <w:bidi w:val="0"/>
              <w:snapToGrid/>
              <w:spacing w:line="560" w:lineRule="exact"/>
              <w:ind w:left="0" w:leftChars="0" w:right="0" w:rightChars="0"/>
              <w:textAlignment w:val="auto"/>
              <w:outlineLvl w:val="9"/>
              <w:rPr>
                <w:rFonts w:hint="eastAsia"/>
                <w:color w:val="auto"/>
                <w:highlight w:val="none"/>
              </w:rPr>
            </w:pPr>
          </w:p>
          <w:p w14:paraId="05213850">
            <w:pPr>
              <w:pStyle w:val="12"/>
              <w:keepNext w:val="0"/>
              <w:keepLines w:val="0"/>
              <w:pageBreakBefore w:val="0"/>
              <w:widowControl w:val="0"/>
              <w:kinsoku/>
              <w:wordWrap/>
              <w:overflowPunct/>
              <w:topLinePunct w:val="0"/>
              <w:bidi w:val="0"/>
              <w:snapToGrid/>
              <w:spacing w:line="560" w:lineRule="exact"/>
              <w:ind w:left="0" w:leftChars="0" w:right="0" w:rightChars="0"/>
              <w:textAlignment w:val="auto"/>
              <w:outlineLvl w:val="9"/>
              <w:rPr>
                <w:rFonts w:hint="eastAsia"/>
                <w:color w:val="auto"/>
                <w:highlight w:val="none"/>
              </w:rPr>
            </w:pPr>
          </w:p>
          <w:p w14:paraId="12B23FFE">
            <w:pPr>
              <w:keepNext w:val="0"/>
              <w:keepLines w:val="0"/>
              <w:pageBreakBefore w:val="0"/>
              <w:widowControl w:val="0"/>
              <w:kinsoku/>
              <w:wordWrap/>
              <w:overflowPunct/>
              <w:topLinePunct w:val="0"/>
              <w:bidi w:val="0"/>
              <w:adjustRightInd/>
              <w:snapToGrid/>
              <w:spacing w:line="560" w:lineRule="exact"/>
              <w:ind w:left="0" w:leftChars="0" w:right="0" w:rightChars="0"/>
              <w:jc w:val="both"/>
              <w:textAlignment w:val="auto"/>
              <w:outlineLvl w:val="9"/>
              <w:rPr>
                <w:rFonts w:hint="eastAsia" w:ascii="楷体_GB2312" w:hAnsi="楷体_GB2312" w:eastAsia="楷体_GB2312" w:cs="楷体_GB2312"/>
                <w:b w:val="0"/>
                <w:bCs w:val="0"/>
                <w:color w:val="auto"/>
                <w:spacing w:val="0"/>
                <w:sz w:val="24"/>
                <w:szCs w:val="24"/>
                <w:highlight w:val="none"/>
              </w:rPr>
            </w:pPr>
            <w:r>
              <w:rPr>
                <w:rFonts w:hint="eastAsia" w:ascii="楷体_GB2312" w:hAnsi="楷体_GB2312" w:eastAsia="楷体_GB2312" w:cs="楷体_GB2312"/>
                <w:b w:val="0"/>
                <w:bCs w:val="0"/>
                <w:color w:val="auto"/>
                <w:spacing w:val="0"/>
                <w:sz w:val="24"/>
                <w:szCs w:val="24"/>
                <w:highlight w:val="none"/>
                <w:lang w:eastAsia="zh-CN"/>
              </w:rPr>
              <w:t>项目</w:t>
            </w:r>
            <w:r>
              <w:rPr>
                <w:rFonts w:hint="eastAsia" w:ascii="楷体_GB2312" w:hAnsi="楷体_GB2312" w:eastAsia="楷体_GB2312" w:cs="楷体_GB2312"/>
                <w:b w:val="0"/>
                <w:bCs w:val="0"/>
                <w:color w:val="auto"/>
                <w:spacing w:val="0"/>
                <w:sz w:val="24"/>
                <w:szCs w:val="24"/>
                <w:highlight w:val="none"/>
              </w:rPr>
              <w:t xml:space="preserve">负责人：   </w:t>
            </w:r>
            <w:r>
              <w:rPr>
                <w:rFonts w:hint="eastAsia" w:ascii="楷体_GB2312" w:hAnsi="楷体_GB2312" w:eastAsia="楷体_GB2312" w:cs="楷体_GB2312"/>
                <w:b w:val="0"/>
                <w:bCs w:val="0"/>
                <w:color w:val="auto"/>
                <w:spacing w:val="0"/>
                <w:sz w:val="24"/>
                <w:szCs w:val="24"/>
                <w:highlight w:val="none"/>
                <w:lang w:eastAsia="zh-CN"/>
              </w:rPr>
              <w:t>（公章）</w:t>
            </w:r>
            <w:r>
              <w:rPr>
                <w:rFonts w:hint="eastAsia" w:ascii="楷体_GB2312" w:hAnsi="楷体_GB2312" w:eastAsia="楷体_GB2312" w:cs="楷体_GB2312"/>
                <w:b w:val="0"/>
                <w:bCs w:val="0"/>
                <w:color w:val="auto"/>
                <w:spacing w:val="0"/>
                <w:sz w:val="24"/>
                <w:szCs w:val="24"/>
                <w:highlight w:val="none"/>
                <w:lang w:val="en-US" w:eastAsia="zh-CN"/>
              </w:rPr>
              <w:t xml:space="preserve"> </w:t>
            </w:r>
          </w:p>
          <w:p w14:paraId="0AE871AF">
            <w:pPr>
              <w:keepNext w:val="0"/>
              <w:keepLines w:val="0"/>
              <w:pageBreakBefore w:val="0"/>
              <w:widowControl w:val="0"/>
              <w:kinsoku/>
              <w:wordWrap/>
              <w:overflowPunct/>
              <w:topLinePunct w:val="0"/>
              <w:bidi w:val="0"/>
              <w:adjustRightInd/>
              <w:snapToGrid/>
              <w:spacing w:line="560" w:lineRule="exact"/>
              <w:ind w:left="0" w:leftChars="0" w:right="0" w:rightChars="0"/>
              <w:jc w:val="both"/>
              <w:textAlignment w:val="auto"/>
              <w:outlineLvl w:val="9"/>
              <w:rPr>
                <w:rFonts w:hint="eastAsia" w:ascii="宋体" w:hAnsi="宋体" w:eastAsia="宋体" w:cs="宋体"/>
                <w:b/>
                <w:bCs/>
                <w:color w:val="auto"/>
                <w:spacing w:val="0"/>
                <w:sz w:val="24"/>
                <w:szCs w:val="24"/>
                <w:highlight w:val="none"/>
              </w:rPr>
            </w:pP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rPr>
              <w:t>年   月   日</w:t>
            </w:r>
          </w:p>
        </w:tc>
      </w:tr>
      <w:tr w14:paraId="4ED74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2897" w:type="dxa"/>
            <w:gridSpan w:val="2"/>
            <w:noWrap w:val="0"/>
            <w:vAlign w:val="top"/>
          </w:tcPr>
          <w:p w14:paraId="6CA45F38">
            <w:pPr>
              <w:pStyle w:val="12"/>
              <w:keepNext w:val="0"/>
              <w:keepLines w:val="0"/>
              <w:pageBreakBefore w:val="0"/>
              <w:widowControl w:val="0"/>
              <w:kinsoku/>
              <w:wordWrap/>
              <w:overflowPunct/>
              <w:topLinePunct w:val="0"/>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b w:val="0"/>
                <w:bCs w:val="0"/>
                <w:color w:val="auto"/>
                <w:spacing w:val="0"/>
                <w:kern w:val="2"/>
                <w:sz w:val="24"/>
                <w:szCs w:val="24"/>
                <w:highlight w:val="none"/>
                <w:lang w:val="en-US" w:eastAsia="zh-CN" w:bidi="ar-SA"/>
              </w:rPr>
            </w:pPr>
            <w:r>
              <w:rPr>
                <w:rFonts w:hint="eastAsia" w:ascii="黑体" w:hAnsi="黑体" w:eastAsia="黑体" w:cs="黑体"/>
                <w:b w:val="0"/>
                <w:bCs w:val="0"/>
                <w:color w:val="auto"/>
                <w:spacing w:val="0"/>
                <w:kern w:val="2"/>
                <w:sz w:val="24"/>
                <w:szCs w:val="24"/>
                <w:highlight w:val="none"/>
                <w:lang w:val="en-US" w:eastAsia="zh-CN" w:bidi="ar-SA"/>
              </w:rPr>
              <w:t>建设单位项目组长意见：</w:t>
            </w:r>
          </w:p>
          <w:p w14:paraId="3742150B">
            <w:pPr>
              <w:keepNext w:val="0"/>
              <w:keepLines w:val="0"/>
              <w:pageBreakBefore w:val="0"/>
              <w:widowControl w:val="0"/>
              <w:kinsoku/>
              <w:wordWrap/>
              <w:overflowPunct/>
              <w:topLinePunct w:val="0"/>
              <w:bidi w:val="0"/>
              <w:adjustRightInd/>
              <w:snapToGrid/>
              <w:spacing w:line="560" w:lineRule="exact"/>
              <w:ind w:left="0" w:leftChars="0" w:right="0" w:rightChars="0" w:firstLine="0" w:firstLineChars="0"/>
              <w:jc w:val="both"/>
              <w:textAlignment w:val="auto"/>
              <w:outlineLvl w:val="9"/>
              <w:rPr>
                <w:rFonts w:hint="eastAsia" w:ascii="宋体" w:hAnsi="宋体" w:cs="宋体"/>
                <w:b/>
                <w:bCs/>
                <w:color w:val="auto"/>
                <w:spacing w:val="0"/>
                <w:sz w:val="24"/>
                <w:szCs w:val="24"/>
                <w:highlight w:val="none"/>
                <w:lang w:val="en-US" w:eastAsia="zh-CN"/>
              </w:rPr>
            </w:pPr>
          </w:p>
          <w:p w14:paraId="191116FD">
            <w:pPr>
              <w:keepNext w:val="0"/>
              <w:keepLines w:val="0"/>
              <w:pageBreakBefore w:val="0"/>
              <w:widowControl w:val="0"/>
              <w:kinsoku/>
              <w:wordWrap/>
              <w:overflowPunct/>
              <w:topLinePunct w:val="0"/>
              <w:bidi w:val="0"/>
              <w:adjustRightInd/>
              <w:snapToGrid/>
              <w:spacing w:line="560" w:lineRule="exact"/>
              <w:ind w:left="0" w:leftChars="0" w:right="0" w:rightChars="0" w:firstLine="0" w:firstLineChars="0"/>
              <w:jc w:val="both"/>
              <w:textAlignment w:val="auto"/>
              <w:outlineLvl w:val="9"/>
              <w:rPr>
                <w:rFonts w:hint="eastAsia" w:ascii="楷体_GB2312" w:hAnsi="楷体_GB2312" w:eastAsia="楷体_GB2312" w:cs="楷体_GB2312"/>
                <w:b w:val="0"/>
                <w:bCs w:val="0"/>
                <w:color w:val="auto"/>
                <w:spacing w:val="0"/>
                <w:sz w:val="24"/>
                <w:szCs w:val="24"/>
                <w:highlight w:val="none"/>
                <w:lang w:val="en-US" w:eastAsia="zh-CN"/>
              </w:rPr>
            </w:pPr>
          </w:p>
          <w:p w14:paraId="607EE264">
            <w:pPr>
              <w:keepNext w:val="0"/>
              <w:keepLines w:val="0"/>
              <w:pageBreakBefore w:val="0"/>
              <w:widowControl w:val="0"/>
              <w:kinsoku/>
              <w:wordWrap/>
              <w:overflowPunct/>
              <w:topLinePunct w:val="0"/>
              <w:bidi w:val="0"/>
              <w:adjustRightInd/>
              <w:snapToGrid/>
              <w:spacing w:line="560" w:lineRule="exact"/>
              <w:ind w:left="0" w:leftChars="0" w:right="0" w:rightChars="0" w:firstLine="0" w:firstLineChars="0"/>
              <w:jc w:val="both"/>
              <w:textAlignment w:val="auto"/>
              <w:outlineLvl w:val="9"/>
              <w:rPr>
                <w:rFonts w:hint="eastAsia" w:ascii="楷体_GB2312" w:hAnsi="楷体_GB2312" w:eastAsia="楷体_GB2312" w:cs="楷体_GB2312"/>
                <w:b w:val="0"/>
                <w:bCs w:val="0"/>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签字：</w:t>
            </w:r>
          </w:p>
          <w:p w14:paraId="71A49865">
            <w:pPr>
              <w:keepNext w:val="0"/>
              <w:keepLines w:val="0"/>
              <w:pageBreakBefore w:val="0"/>
              <w:widowControl w:val="0"/>
              <w:kinsoku/>
              <w:wordWrap/>
              <w:overflowPunct/>
              <w:topLinePunct w:val="0"/>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b/>
                <w:bCs/>
                <w:color w:val="auto"/>
                <w:spacing w:val="0"/>
                <w:sz w:val="24"/>
                <w:szCs w:val="24"/>
                <w:highlight w:val="none"/>
                <w:lang w:eastAsia="zh-CN"/>
              </w:rPr>
            </w:pP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rPr>
              <w:t>年   月   日</w:t>
            </w:r>
            <w:r>
              <w:rPr>
                <w:rFonts w:hint="eastAsia" w:ascii="楷体_GB2312" w:hAnsi="楷体_GB2312" w:eastAsia="楷体_GB2312" w:cs="楷体_GB2312"/>
                <w:b w:val="0"/>
                <w:bCs w:val="0"/>
                <w:color w:val="auto"/>
                <w:spacing w:val="0"/>
                <w:sz w:val="24"/>
                <w:szCs w:val="24"/>
                <w:highlight w:val="none"/>
                <w:lang w:val="en-US" w:eastAsia="zh-CN"/>
              </w:rPr>
              <w:t xml:space="preserve">  </w:t>
            </w:r>
          </w:p>
        </w:tc>
        <w:tc>
          <w:tcPr>
            <w:tcW w:w="3331" w:type="dxa"/>
            <w:gridSpan w:val="2"/>
            <w:noWrap w:val="0"/>
            <w:vAlign w:val="top"/>
          </w:tcPr>
          <w:p w14:paraId="25D2AB97">
            <w:pPr>
              <w:pStyle w:val="12"/>
              <w:keepNext w:val="0"/>
              <w:keepLines w:val="0"/>
              <w:pageBreakBefore w:val="0"/>
              <w:widowControl w:val="0"/>
              <w:kinsoku/>
              <w:wordWrap/>
              <w:overflowPunct/>
              <w:topLinePunct w:val="0"/>
              <w:bidi w:val="0"/>
              <w:adjustRightInd/>
              <w:snapToGrid/>
              <w:spacing w:line="560" w:lineRule="exact"/>
              <w:ind w:left="0" w:leftChars="0" w:right="0" w:rightChars="0" w:firstLine="0" w:firstLineChars="0"/>
              <w:jc w:val="both"/>
              <w:textAlignment w:val="auto"/>
              <w:outlineLvl w:val="9"/>
              <w:rPr>
                <w:rFonts w:hint="default" w:ascii="宋体" w:hAnsi="宋体" w:eastAsia="宋体" w:cs="宋体"/>
                <w:b/>
                <w:bCs/>
                <w:color w:val="auto"/>
                <w:spacing w:val="0"/>
                <w:sz w:val="24"/>
                <w:szCs w:val="24"/>
                <w:highlight w:val="none"/>
                <w:lang w:val="en-US" w:eastAsia="zh-CN"/>
              </w:rPr>
            </w:pPr>
            <w:r>
              <w:rPr>
                <w:rFonts w:hint="eastAsia" w:ascii="黑体" w:hAnsi="黑体" w:eastAsia="黑体" w:cs="黑体"/>
                <w:b w:val="0"/>
                <w:bCs w:val="0"/>
                <w:color w:val="auto"/>
                <w:spacing w:val="0"/>
                <w:kern w:val="2"/>
                <w:sz w:val="24"/>
                <w:szCs w:val="24"/>
                <w:highlight w:val="none"/>
                <w:lang w:val="en-US" w:eastAsia="zh-CN" w:bidi="ar-SA"/>
              </w:rPr>
              <w:t>建设单位工程技术科意见：</w:t>
            </w:r>
            <w:r>
              <w:rPr>
                <w:rFonts w:hint="eastAsia" w:ascii="宋体" w:hAnsi="宋体" w:eastAsia="宋体" w:cs="宋体"/>
                <w:b/>
                <w:bCs/>
                <w:color w:val="auto"/>
                <w:spacing w:val="0"/>
                <w:sz w:val="24"/>
                <w:szCs w:val="24"/>
                <w:highlight w:val="none"/>
                <w:lang w:val="en-US" w:eastAsia="zh-CN"/>
              </w:rPr>
              <w:t xml:space="preserve"> </w:t>
            </w:r>
          </w:p>
          <w:p w14:paraId="4A5E0FDA">
            <w:pPr>
              <w:keepNext w:val="0"/>
              <w:keepLines w:val="0"/>
              <w:pageBreakBefore w:val="0"/>
              <w:widowControl w:val="0"/>
              <w:kinsoku/>
              <w:wordWrap/>
              <w:overflowPunct/>
              <w:topLinePunct w:val="0"/>
              <w:bidi w:val="0"/>
              <w:adjustRightInd/>
              <w:snapToGrid/>
              <w:spacing w:line="560" w:lineRule="exact"/>
              <w:ind w:left="0" w:leftChars="0" w:right="0" w:rightChars="0" w:firstLine="0" w:firstLineChars="0"/>
              <w:jc w:val="both"/>
              <w:textAlignment w:val="auto"/>
              <w:outlineLvl w:val="9"/>
              <w:rPr>
                <w:rFonts w:hint="eastAsia" w:ascii="宋体" w:hAnsi="宋体" w:cs="宋体"/>
                <w:b/>
                <w:bCs/>
                <w:color w:val="auto"/>
                <w:spacing w:val="0"/>
                <w:sz w:val="24"/>
                <w:szCs w:val="24"/>
                <w:highlight w:val="none"/>
                <w:lang w:val="en-US" w:eastAsia="zh-CN"/>
              </w:rPr>
            </w:pPr>
          </w:p>
          <w:p w14:paraId="39F774C1">
            <w:pPr>
              <w:keepNext w:val="0"/>
              <w:keepLines w:val="0"/>
              <w:pageBreakBefore w:val="0"/>
              <w:widowControl w:val="0"/>
              <w:kinsoku/>
              <w:wordWrap/>
              <w:overflowPunct/>
              <w:topLinePunct w:val="0"/>
              <w:bidi w:val="0"/>
              <w:adjustRightInd/>
              <w:snapToGrid/>
              <w:spacing w:line="560" w:lineRule="exact"/>
              <w:ind w:left="0" w:leftChars="0" w:right="0" w:rightChars="0" w:firstLine="0" w:firstLineChars="0"/>
              <w:jc w:val="both"/>
              <w:textAlignment w:val="auto"/>
              <w:outlineLvl w:val="9"/>
              <w:rPr>
                <w:rFonts w:hint="eastAsia" w:ascii="宋体" w:hAnsi="宋体" w:cs="宋体"/>
                <w:b/>
                <w:bCs/>
                <w:color w:val="auto"/>
                <w:spacing w:val="0"/>
                <w:sz w:val="24"/>
                <w:szCs w:val="24"/>
                <w:highlight w:val="none"/>
                <w:lang w:val="en-US" w:eastAsia="zh-CN"/>
              </w:rPr>
            </w:pPr>
            <w:r>
              <w:rPr>
                <w:rFonts w:hint="eastAsia" w:ascii="宋体" w:hAnsi="宋体" w:cs="宋体"/>
                <w:b/>
                <w:bCs/>
                <w:color w:val="auto"/>
                <w:spacing w:val="0"/>
                <w:sz w:val="24"/>
                <w:szCs w:val="24"/>
                <w:highlight w:val="none"/>
                <w:lang w:val="en-US" w:eastAsia="zh-CN"/>
              </w:rPr>
              <w:t xml:space="preserve">                       </w:t>
            </w:r>
          </w:p>
          <w:p w14:paraId="0EB03971">
            <w:pPr>
              <w:keepNext w:val="0"/>
              <w:keepLines w:val="0"/>
              <w:pageBreakBefore w:val="0"/>
              <w:widowControl w:val="0"/>
              <w:kinsoku/>
              <w:wordWrap/>
              <w:overflowPunct/>
              <w:topLinePunct w:val="0"/>
              <w:bidi w:val="0"/>
              <w:adjustRightInd/>
              <w:snapToGrid/>
              <w:spacing w:line="560" w:lineRule="exact"/>
              <w:ind w:left="0" w:leftChars="0" w:right="0" w:rightChars="0" w:firstLine="0" w:firstLineChars="0"/>
              <w:jc w:val="left"/>
              <w:textAlignment w:val="auto"/>
              <w:outlineLvl w:val="9"/>
              <w:rPr>
                <w:rFonts w:hint="eastAsia" w:ascii="楷体_GB2312" w:hAnsi="楷体_GB2312" w:eastAsia="楷体_GB2312" w:cs="楷体_GB2312"/>
                <w:b w:val="0"/>
                <w:bCs w:val="0"/>
                <w:color w:val="auto"/>
                <w:spacing w:val="0"/>
                <w:sz w:val="24"/>
                <w:szCs w:val="24"/>
                <w:highlight w:val="none"/>
              </w:rPr>
            </w:pPr>
            <w:r>
              <w:rPr>
                <w:rFonts w:hint="eastAsia" w:ascii="楷体_GB2312" w:hAnsi="楷体_GB2312" w:eastAsia="楷体_GB2312" w:cs="楷体_GB2312"/>
                <w:b w:val="0"/>
                <w:bCs w:val="0"/>
                <w:color w:val="auto"/>
                <w:spacing w:val="0"/>
                <w:sz w:val="24"/>
                <w:szCs w:val="24"/>
                <w:highlight w:val="none"/>
                <w:lang w:val="en-US" w:eastAsia="zh-CN"/>
              </w:rPr>
              <w:t>签字：</w:t>
            </w:r>
          </w:p>
          <w:p w14:paraId="30222EF0">
            <w:pPr>
              <w:keepNext w:val="0"/>
              <w:keepLines w:val="0"/>
              <w:pageBreakBefore w:val="0"/>
              <w:widowControl w:val="0"/>
              <w:kinsoku/>
              <w:wordWrap/>
              <w:overflowPunct/>
              <w:topLinePunct w:val="0"/>
              <w:bidi w:val="0"/>
              <w:adjustRightInd/>
              <w:snapToGrid/>
              <w:spacing w:line="560" w:lineRule="exact"/>
              <w:ind w:left="0" w:leftChars="0" w:right="0" w:rightChars="0" w:firstLine="0" w:firstLineChars="0"/>
              <w:jc w:val="right"/>
              <w:textAlignment w:val="auto"/>
              <w:outlineLvl w:val="9"/>
              <w:rPr>
                <w:rFonts w:hint="eastAsia" w:ascii="宋体" w:hAnsi="宋体" w:cs="宋体"/>
                <w:b/>
                <w:bCs/>
                <w:color w:val="auto"/>
                <w:spacing w:val="0"/>
                <w:sz w:val="24"/>
                <w:szCs w:val="24"/>
                <w:highlight w:val="none"/>
                <w:lang w:eastAsia="zh-CN"/>
              </w:rPr>
            </w:pPr>
            <w:r>
              <w:rPr>
                <w:rFonts w:hint="eastAsia" w:ascii="楷体_GB2312" w:hAnsi="楷体_GB2312" w:eastAsia="楷体_GB2312" w:cs="楷体_GB2312"/>
                <w:b w:val="0"/>
                <w:bCs w:val="0"/>
                <w:color w:val="auto"/>
                <w:spacing w:val="0"/>
                <w:sz w:val="24"/>
                <w:szCs w:val="24"/>
                <w:highlight w:val="none"/>
              </w:rPr>
              <w:t>年   月   日</w:t>
            </w:r>
          </w:p>
        </w:tc>
        <w:tc>
          <w:tcPr>
            <w:tcW w:w="3304" w:type="dxa"/>
            <w:noWrap w:val="0"/>
            <w:vAlign w:val="top"/>
          </w:tcPr>
          <w:p w14:paraId="5E7E5B6E">
            <w:pPr>
              <w:keepNext w:val="0"/>
              <w:keepLines w:val="0"/>
              <w:pageBreakBefore w:val="0"/>
              <w:widowControl w:val="0"/>
              <w:kinsoku/>
              <w:wordWrap/>
              <w:overflowPunct/>
              <w:topLinePunct w:val="0"/>
              <w:bidi w:val="0"/>
              <w:adjustRightInd/>
              <w:snapToGrid/>
              <w:spacing w:line="560" w:lineRule="exact"/>
              <w:ind w:left="0" w:leftChars="0" w:right="0" w:rightChars="0" w:firstLine="0" w:firstLineChars="0"/>
              <w:jc w:val="both"/>
              <w:textAlignment w:val="auto"/>
              <w:outlineLvl w:val="9"/>
              <w:rPr>
                <w:rFonts w:hint="eastAsia" w:ascii="宋体" w:hAnsi="宋体" w:cs="宋体"/>
                <w:b/>
                <w:bCs/>
                <w:color w:val="auto"/>
                <w:spacing w:val="0"/>
                <w:sz w:val="24"/>
                <w:szCs w:val="24"/>
                <w:highlight w:val="none"/>
                <w:lang w:val="en-US" w:eastAsia="zh-CN"/>
              </w:rPr>
            </w:pPr>
            <w:r>
              <w:rPr>
                <w:rFonts w:hint="eastAsia" w:ascii="黑体" w:hAnsi="黑体" w:eastAsia="黑体" w:cs="黑体"/>
                <w:b w:val="0"/>
                <w:bCs w:val="0"/>
                <w:color w:val="auto"/>
                <w:spacing w:val="0"/>
                <w:kern w:val="2"/>
                <w:sz w:val="24"/>
                <w:szCs w:val="24"/>
                <w:highlight w:val="none"/>
                <w:lang w:val="en-US" w:eastAsia="zh-CN" w:bidi="ar-SA"/>
              </w:rPr>
              <w:t xml:space="preserve">建设单位分管领导意见： </w:t>
            </w:r>
            <w:r>
              <w:rPr>
                <w:rFonts w:hint="eastAsia" w:ascii="宋体" w:hAnsi="宋体" w:cs="宋体"/>
                <w:b/>
                <w:bCs/>
                <w:color w:val="auto"/>
                <w:spacing w:val="0"/>
                <w:sz w:val="24"/>
                <w:szCs w:val="24"/>
                <w:highlight w:val="none"/>
                <w:lang w:val="en-US" w:eastAsia="zh-CN"/>
              </w:rPr>
              <w:t xml:space="preserve">                        </w:t>
            </w:r>
          </w:p>
          <w:p w14:paraId="3C73ABAF">
            <w:pPr>
              <w:keepNext w:val="0"/>
              <w:keepLines w:val="0"/>
              <w:pageBreakBefore w:val="0"/>
              <w:widowControl w:val="0"/>
              <w:kinsoku/>
              <w:wordWrap w:val="0"/>
              <w:overflowPunct/>
              <w:topLinePunct w:val="0"/>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b/>
                <w:bCs/>
                <w:color w:val="auto"/>
                <w:spacing w:val="0"/>
                <w:sz w:val="24"/>
                <w:szCs w:val="24"/>
                <w:highlight w:val="none"/>
                <w:lang w:val="en-US" w:eastAsia="zh-CN"/>
              </w:rPr>
            </w:pPr>
            <w:r>
              <w:rPr>
                <w:rFonts w:hint="eastAsia" w:ascii="宋体" w:hAnsi="宋体" w:eastAsia="宋体" w:cs="宋体"/>
                <w:b/>
                <w:bCs/>
                <w:color w:val="auto"/>
                <w:spacing w:val="0"/>
                <w:sz w:val="24"/>
                <w:szCs w:val="24"/>
                <w:highlight w:val="none"/>
                <w:lang w:val="en-US" w:eastAsia="zh-CN"/>
              </w:rPr>
              <w:t xml:space="preserve"> </w:t>
            </w:r>
          </w:p>
          <w:p w14:paraId="706A1BBD">
            <w:pPr>
              <w:keepNext w:val="0"/>
              <w:keepLines w:val="0"/>
              <w:pageBreakBefore w:val="0"/>
              <w:widowControl w:val="0"/>
              <w:kinsoku/>
              <w:overflowPunct/>
              <w:topLinePunct w:val="0"/>
              <w:bidi w:val="0"/>
              <w:adjustRightInd/>
              <w:snapToGrid/>
              <w:ind w:left="0" w:leftChars="0" w:right="0" w:rightChars="0" w:firstLine="0" w:firstLineChars="0"/>
              <w:textAlignment w:val="auto"/>
              <w:outlineLvl w:val="9"/>
              <w:rPr>
                <w:rFonts w:hint="default"/>
                <w:color w:val="auto"/>
                <w:lang w:val="en-US" w:eastAsia="zh-CN"/>
              </w:rPr>
            </w:pPr>
          </w:p>
          <w:p w14:paraId="100550F4">
            <w:pPr>
              <w:keepNext w:val="0"/>
              <w:keepLines w:val="0"/>
              <w:pageBreakBefore w:val="0"/>
              <w:widowControl w:val="0"/>
              <w:kinsoku/>
              <w:wordWrap/>
              <w:overflowPunct/>
              <w:topLinePunct w:val="0"/>
              <w:bidi w:val="0"/>
              <w:adjustRightInd/>
              <w:snapToGrid/>
              <w:spacing w:line="560" w:lineRule="exact"/>
              <w:ind w:left="0" w:leftChars="0" w:right="0" w:rightChars="0" w:firstLine="0" w:firstLineChars="0"/>
              <w:jc w:val="left"/>
              <w:textAlignment w:val="auto"/>
              <w:outlineLvl w:val="9"/>
              <w:rPr>
                <w:rFonts w:hint="eastAsia" w:ascii="楷体_GB2312" w:hAnsi="楷体_GB2312" w:eastAsia="楷体_GB2312" w:cs="楷体_GB2312"/>
                <w:b w:val="0"/>
                <w:bCs w:val="0"/>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 xml:space="preserve">签字 ：        （公章）    </w:t>
            </w:r>
          </w:p>
          <w:p w14:paraId="7D165075">
            <w:pPr>
              <w:keepNext w:val="0"/>
              <w:keepLines w:val="0"/>
              <w:pageBreakBefore w:val="0"/>
              <w:widowControl w:val="0"/>
              <w:kinsoku/>
              <w:wordWrap/>
              <w:overflowPunct/>
              <w:topLinePunct w:val="0"/>
              <w:bidi w:val="0"/>
              <w:adjustRightInd/>
              <w:snapToGrid/>
              <w:spacing w:line="560" w:lineRule="exact"/>
              <w:ind w:left="0" w:leftChars="0" w:right="0" w:rightChars="0" w:firstLine="0" w:firstLineChars="0"/>
              <w:jc w:val="right"/>
              <w:textAlignment w:val="auto"/>
              <w:outlineLvl w:val="9"/>
              <w:rPr>
                <w:rFonts w:hint="eastAsia" w:ascii="宋体" w:hAnsi="宋体" w:cs="宋体"/>
                <w:b/>
                <w:bCs/>
                <w:color w:val="auto"/>
                <w:spacing w:val="0"/>
                <w:sz w:val="24"/>
                <w:szCs w:val="24"/>
                <w:highlight w:val="none"/>
                <w:lang w:eastAsia="zh-CN"/>
              </w:rPr>
            </w:pPr>
            <w:r>
              <w:rPr>
                <w:rFonts w:hint="eastAsia" w:ascii="楷体_GB2312" w:hAnsi="楷体_GB2312" w:eastAsia="楷体_GB2312" w:cs="楷体_GB2312"/>
                <w:b w:val="0"/>
                <w:bCs w:val="0"/>
                <w:color w:val="auto"/>
                <w:spacing w:val="0"/>
                <w:sz w:val="24"/>
                <w:szCs w:val="24"/>
                <w:highlight w:val="none"/>
                <w:lang w:val="en-US" w:eastAsia="zh-CN"/>
              </w:rPr>
              <w:t>年   月   日</w:t>
            </w:r>
          </w:p>
        </w:tc>
      </w:tr>
    </w:tbl>
    <w:p w14:paraId="7E6AD4C4">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楷体_GB2312" w:hAnsi="楷体_GB2312" w:eastAsia="楷体_GB2312" w:cs="楷体_GB2312"/>
          <w:b w:val="0"/>
          <w:bCs w:val="0"/>
          <w:color w:val="auto"/>
          <w:spacing w:val="0"/>
          <w:sz w:val="21"/>
          <w:szCs w:val="21"/>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1"/>
          <w:szCs w:val="21"/>
          <w:highlight w:val="none"/>
          <w:lang w:val="en-US" w:eastAsia="zh-CN"/>
        </w:rPr>
        <w:t>注：表格一式五份，设计单位一份，施工单位一份，监理单位一份，造价咨询单位一份，工程预决算科一份。</w:t>
      </w:r>
    </w:p>
    <w:p w14:paraId="0A1B1A55">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黑体" w:hAnsi="黑体" w:eastAsia="黑体" w:cs="黑体"/>
          <w:b w:val="0"/>
          <w:bCs w:val="0"/>
          <w:color w:val="auto"/>
          <w:spacing w:val="0"/>
          <w:sz w:val="28"/>
          <w:szCs w:val="28"/>
          <w:highlight w:val="none"/>
          <w:lang w:eastAsia="zh-CN"/>
        </w:rPr>
      </w:pPr>
    </w:p>
    <w:p w14:paraId="3E131FAD">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黑体" w:hAnsi="黑体" w:eastAsia="黑体" w:cs="黑体"/>
          <w:b w:val="0"/>
          <w:bCs w:val="0"/>
          <w:color w:val="auto"/>
          <w:spacing w:val="0"/>
          <w:sz w:val="28"/>
          <w:szCs w:val="28"/>
          <w:highlight w:val="none"/>
          <w:lang w:eastAsia="zh-CN"/>
        </w:rPr>
      </w:pPr>
      <w:r>
        <w:rPr>
          <w:rFonts w:hint="eastAsia" w:ascii="黑体" w:hAnsi="黑体" w:eastAsia="黑体" w:cs="黑体"/>
          <w:b w:val="0"/>
          <w:bCs w:val="0"/>
          <w:color w:val="auto"/>
          <w:spacing w:val="0"/>
          <w:sz w:val="28"/>
          <w:szCs w:val="28"/>
          <w:highlight w:val="none"/>
          <w:lang w:eastAsia="zh-CN"/>
        </w:rPr>
        <w:t>附件</w:t>
      </w:r>
      <w:r>
        <w:rPr>
          <w:rFonts w:hint="eastAsia" w:ascii="黑体" w:hAnsi="黑体" w:eastAsia="黑体" w:cs="黑体"/>
          <w:b w:val="0"/>
          <w:bCs w:val="0"/>
          <w:color w:val="auto"/>
          <w:spacing w:val="0"/>
          <w:sz w:val="28"/>
          <w:szCs w:val="28"/>
          <w:highlight w:val="none"/>
          <w:lang w:val="en-US" w:eastAsia="zh-CN"/>
        </w:rPr>
        <w:t>4</w:t>
      </w:r>
    </w:p>
    <w:p w14:paraId="43F80FBD">
      <w:pPr>
        <w:pStyle w:val="12"/>
        <w:rPr>
          <w:rFonts w:hint="eastAsia"/>
          <w:color w:val="auto"/>
          <w:highlight w:val="none"/>
          <w:lang w:val="en-US" w:eastAsia="zh-CN"/>
        </w:rPr>
      </w:pPr>
    </w:p>
    <w:p w14:paraId="4CAB9F3D">
      <w:pPr>
        <w:keepNext w:val="0"/>
        <w:keepLines w:val="0"/>
        <w:pageBreakBefore w:val="0"/>
        <w:widowControl w:val="0"/>
        <w:tabs>
          <w:tab w:val="left" w:pos="180"/>
        </w:tabs>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color w:val="auto"/>
          <w:spacing w:val="0"/>
          <w:sz w:val="44"/>
          <w:szCs w:val="44"/>
          <w:highlight w:val="none"/>
        </w:rPr>
      </w:pPr>
      <w:r>
        <w:rPr>
          <w:rFonts w:hint="eastAsia" w:ascii="方正小标宋简体" w:hAnsi="方正小标宋简体" w:eastAsia="方正小标宋简体" w:cs="方正小标宋简体"/>
          <w:b w:val="0"/>
          <w:bCs w:val="0"/>
          <w:color w:val="auto"/>
          <w:spacing w:val="0"/>
          <w:sz w:val="36"/>
          <w:szCs w:val="36"/>
          <w:highlight w:val="none"/>
        </w:rPr>
        <w:t>工程洽商记录</w:t>
      </w:r>
    </w:p>
    <w:p w14:paraId="246B8956">
      <w:pPr>
        <w:keepNext w:val="0"/>
        <w:keepLines w:val="0"/>
        <w:pageBreakBefore w:val="0"/>
        <w:widowControl w:val="0"/>
        <w:tabs>
          <w:tab w:val="left" w:pos="180"/>
        </w:tabs>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宋体" w:hAnsi="宋体" w:eastAsia="宋体" w:cs="宋体"/>
          <w:b w:val="0"/>
          <w:bCs w:val="0"/>
          <w:color w:val="auto"/>
          <w:spacing w:val="0"/>
          <w:highlight w:val="none"/>
          <w:u w:val="double"/>
        </w:rPr>
      </w:pPr>
      <w:r>
        <w:rPr>
          <w:rFonts w:hint="eastAsia" w:ascii="黑体" w:hAnsi="黑体" w:eastAsia="黑体" w:cs="黑体"/>
          <w:b w:val="0"/>
          <w:bCs w:val="0"/>
          <w:color w:val="auto"/>
          <w:spacing w:val="0"/>
          <w:sz w:val="24"/>
          <w:szCs w:val="24"/>
          <w:highlight w:val="none"/>
          <w:lang w:eastAsia="zh-CN"/>
        </w:rPr>
        <w:t>洽商编号：</w:t>
      </w:r>
      <w:r>
        <w:rPr>
          <w:rFonts w:hint="eastAsia" w:ascii="仿宋_GB2312" w:hAnsi="仿宋_GB2312" w:eastAsia="仿宋_GB2312" w:cs="仿宋_GB2312"/>
          <w:b w:val="0"/>
          <w:bCs w:val="0"/>
          <w:color w:val="auto"/>
          <w:spacing w:val="0"/>
          <w:sz w:val="18"/>
          <w:szCs w:val="18"/>
          <w:highlight w:val="none"/>
          <w:lang w:val="en-US" w:eastAsia="zh-CN"/>
        </w:rPr>
        <w:t xml:space="preserve">（连续编号+专业+专业序号） </w:t>
      </w:r>
      <w:r>
        <w:rPr>
          <w:rFonts w:hint="eastAsia" w:ascii="楷体_GB2312" w:hAnsi="楷体_GB2312" w:eastAsia="楷体_GB2312" w:cs="楷体_GB2312"/>
          <w:b w:val="0"/>
          <w:bCs w:val="0"/>
          <w:color w:val="auto"/>
          <w:spacing w:val="0"/>
          <w:highlight w:val="none"/>
          <w:lang w:val="en-US" w:eastAsia="zh-CN"/>
        </w:rPr>
        <w:t xml:space="preserve">  </w:t>
      </w:r>
      <w:r>
        <w:rPr>
          <w:rFonts w:hint="eastAsia" w:ascii="楷体_GB2312" w:hAnsi="楷体_GB2312" w:eastAsia="楷体_GB2312" w:cs="楷体_GB2312"/>
          <w:b/>
          <w:bCs/>
          <w:color w:val="auto"/>
          <w:spacing w:val="0"/>
          <w:highlight w:val="none"/>
          <w:lang w:val="en-US" w:eastAsia="zh-CN"/>
        </w:rPr>
        <w:t xml:space="preserve">                               </w:t>
      </w:r>
      <w:r>
        <w:rPr>
          <w:rFonts w:hint="eastAsia" w:ascii="楷体_GB2312" w:hAnsi="楷体_GB2312" w:eastAsia="楷体_GB2312" w:cs="楷体_GB2312"/>
          <w:b w:val="0"/>
          <w:bCs w:val="0"/>
          <w:color w:val="auto"/>
          <w:spacing w:val="0"/>
          <w:highlight w:val="none"/>
        </w:rPr>
        <w:t>第    页（共</w:t>
      </w:r>
      <w:r>
        <w:rPr>
          <w:rFonts w:hint="eastAsia" w:ascii="楷体_GB2312" w:hAnsi="楷体_GB2312" w:eastAsia="楷体_GB2312" w:cs="楷体_GB2312"/>
          <w:b w:val="0"/>
          <w:bCs w:val="0"/>
          <w:color w:val="auto"/>
          <w:spacing w:val="0"/>
          <w:highlight w:val="none"/>
          <w:lang w:val="en-US" w:eastAsia="zh-CN"/>
        </w:rPr>
        <w:t xml:space="preserve"> </w:t>
      </w:r>
      <w:r>
        <w:rPr>
          <w:rFonts w:hint="eastAsia" w:ascii="楷体_GB2312" w:hAnsi="楷体_GB2312" w:eastAsia="楷体_GB2312" w:cs="楷体_GB2312"/>
          <w:b w:val="0"/>
          <w:bCs w:val="0"/>
          <w:color w:val="auto"/>
          <w:spacing w:val="0"/>
          <w:highlight w:val="none"/>
        </w:rPr>
        <w:t xml:space="preserve">  页）</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
        <w:gridCol w:w="815"/>
        <w:gridCol w:w="1336"/>
        <w:gridCol w:w="1806"/>
        <w:gridCol w:w="1521"/>
        <w:gridCol w:w="3112"/>
      </w:tblGrid>
      <w:tr w14:paraId="1A2C6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758" w:type="dxa"/>
            <w:gridSpan w:val="2"/>
            <w:noWrap w:val="0"/>
            <w:vAlign w:val="center"/>
          </w:tcPr>
          <w:p w14:paraId="2231AC5D">
            <w:pPr>
              <w:keepNext w:val="0"/>
              <w:keepLines w:val="0"/>
              <w:pageBreakBefore w:val="0"/>
              <w:widowControl w:val="0"/>
              <w:tabs>
                <w:tab w:val="left" w:pos="180"/>
              </w:tabs>
              <w:kinsoku/>
              <w:overflowPunct/>
              <w:topLinePunct w:val="0"/>
              <w:autoSpaceDE/>
              <w:autoSpaceDN/>
              <w:bidi w:val="0"/>
              <w:snapToGrid/>
              <w:spacing w:line="500" w:lineRule="exact"/>
              <w:ind w:left="0" w:leftChars="0" w:right="0" w:rightChars="0"/>
              <w:jc w:val="center"/>
              <w:textAlignment w:val="auto"/>
              <w:rPr>
                <w:rFonts w:hint="eastAsia" w:ascii="黑体" w:hAnsi="黑体" w:eastAsia="黑体" w:cs="黑体"/>
                <w:b w:val="0"/>
                <w:bCs w:val="0"/>
                <w:color w:val="auto"/>
                <w:spacing w:val="0"/>
                <w:sz w:val="24"/>
                <w:szCs w:val="24"/>
                <w:highlight w:val="none"/>
              </w:rPr>
            </w:pPr>
            <w:r>
              <w:rPr>
                <w:rFonts w:hint="eastAsia" w:ascii="黑体" w:hAnsi="黑体" w:eastAsia="黑体" w:cs="黑体"/>
                <w:b w:val="0"/>
                <w:bCs w:val="0"/>
                <w:color w:val="auto"/>
                <w:spacing w:val="0"/>
                <w:sz w:val="24"/>
                <w:szCs w:val="24"/>
                <w:highlight w:val="none"/>
              </w:rPr>
              <w:t>工程名称</w:t>
            </w:r>
          </w:p>
        </w:tc>
        <w:tc>
          <w:tcPr>
            <w:tcW w:w="3142" w:type="dxa"/>
            <w:gridSpan w:val="2"/>
            <w:noWrap w:val="0"/>
            <w:vAlign w:val="center"/>
          </w:tcPr>
          <w:p w14:paraId="3D13350C">
            <w:pPr>
              <w:keepNext w:val="0"/>
              <w:keepLines w:val="0"/>
              <w:pageBreakBefore w:val="0"/>
              <w:widowControl w:val="0"/>
              <w:tabs>
                <w:tab w:val="left" w:pos="180"/>
              </w:tabs>
              <w:kinsoku/>
              <w:overflowPunct/>
              <w:topLinePunct w:val="0"/>
              <w:autoSpaceDE/>
              <w:autoSpaceDN/>
              <w:bidi w:val="0"/>
              <w:snapToGrid/>
              <w:spacing w:line="500" w:lineRule="exact"/>
              <w:ind w:left="0" w:leftChars="0" w:right="0" w:rightChars="0"/>
              <w:jc w:val="center"/>
              <w:textAlignment w:val="auto"/>
              <w:rPr>
                <w:rFonts w:hint="eastAsia" w:ascii="黑体" w:hAnsi="黑体" w:eastAsia="黑体" w:cs="黑体"/>
                <w:b w:val="0"/>
                <w:bCs w:val="0"/>
                <w:color w:val="auto"/>
                <w:spacing w:val="0"/>
                <w:sz w:val="24"/>
                <w:szCs w:val="24"/>
                <w:highlight w:val="none"/>
              </w:rPr>
            </w:pPr>
          </w:p>
        </w:tc>
        <w:tc>
          <w:tcPr>
            <w:tcW w:w="1521" w:type="dxa"/>
            <w:noWrap w:val="0"/>
            <w:vAlign w:val="center"/>
          </w:tcPr>
          <w:p w14:paraId="63FDE84C">
            <w:pPr>
              <w:keepNext w:val="0"/>
              <w:keepLines w:val="0"/>
              <w:pageBreakBefore w:val="0"/>
              <w:widowControl w:val="0"/>
              <w:tabs>
                <w:tab w:val="left" w:pos="180"/>
              </w:tabs>
              <w:kinsoku/>
              <w:overflowPunct/>
              <w:topLinePunct w:val="0"/>
              <w:autoSpaceDE/>
              <w:autoSpaceDN/>
              <w:bidi w:val="0"/>
              <w:snapToGrid/>
              <w:spacing w:line="500" w:lineRule="exact"/>
              <w:ind w:left="0" w:leftChars="0" w:right="0" w:rightChars="0"/>
              <w:jc w:val="center"/>
              <w:textAlignment w:val="auto"/>
              <w:rPr>
                <w:rFonts w:hint="eastAsia" w:ascii="黑体" w:hAnsi="黑体" w:eastAsia="黑体" w:cs="黑体"/>
                <w:b w:val="0"/>
                <w:bCs w:val="0"/>
                <w:color w:val="auto"/>
                <w:spacing w:val="0"/>
                <w:sz w:val="24"/>
                <w:szCs w:val="24"/>
                <w:highlight w:val="none"/>
              </w:rPr>
            </w:pPr>
            <w:r>
              <w:rPr>
                <w:rFonts w:hint="eastAsia" w:ascii="黑体" w:hAnsi="黑体" w:eastAsia="黑体" w:cs="黑体"/>
                <w:b w:val="0"/>
                <w:bCs w:val="0"/>
                <w:color w:val="auto"/>
                <w:spacing w:val="0"/>
                <w:sz w:val="24"/>
                <w:szCs w:val="24"/>
                <w:highlight w:val="none"/>
              </w:rPr>
              <w:t>提出单位</w:t>
            </w:r>
          </w:p>
        </w:tc>
        <w:tc>
          <w:tcPr>
            <w:tcW w:w="3112" w:type="dxa"/>
            <w:noWrap w:val="0"/>
            <w:vAlign w:val="center"/>
          </w:tcPr>
          <w:p w14:paraId="521EA893">
            <w:pPr>
              <w:keepNext w:val="0"/>
              <w:keepLines w:val="0"/>
              <w:pageBreakBefore w:val="0"/>
              <w:widowControl w:val="0"/>
              <w:tabs>
                <w:tab w:val="left" w:pos="180"/>
              </w:tabs>
              <w:kinsoku/>
              <w:overflowPunct/>
              <w:topLinePunct w:val="0"/>
              <w:autoSpaceDE/>
              <w:autoSpaceDN/>
              <w:bidi w:val="0"/>
              <w:snapToGrid/>
              <w:spacing w:line="500" w:lineRule="exact"/>
              <w:ind w:left="0" w:leftChars="0" w:right="0" w:rightChars="0"/>
              <w:jc w:val="center"/>
              <w:textAlignment w:val="auto"/>
              <w:rPr>
                <w:rFonts w:hint="eastAsia" w:ascii="黑体" w:hAnsi="黑体" w:eastAsia="黑体" w:cs="黑体"/>
                <w:b w:val="0"/>
                <w:bCs w:val="0"/>
                <w:color w:val="auto"/>
                <w:spacing w:val="0"/>
                <w:sz w:val="24"/>
                <w:szCs w:val="24"/>
                <w:highlight w:val="none"/>
              </w:rPr>
            </w:pPr>
          </w:p>
        </w:tc>
      </w:tr>
      <w:tr w14:paraId="02D26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4900" w:type="dxa"/>
            <w:gridSpan w:val="4"/>
            <w:noWrap w:val="0"/>
            <w:vAlign w:val="center"/>
          </w:tcPr>
          <w:p w14:paraId="7419A54D">
            <w:pPr>
              <w:keepNext w:val="0"/>
              <w:keepLines w:val="0"/>
              <w:pageBreakBefore w:val="0"/>
              <w:widowControl w:val="0"/>
              <w:tabs>
                <w:tab w:val="left" w:pos="180"/>
              </w:tabs>
              <w:kinsoku/>
              <w:overflowPunct/>
              <w:topLinePunct w:val="0"/>
              <w:autoSpaceDE/>
              <w:autoSpaceDN/>
              <w:bidi w:val="0"/>
              <w:snapToGrid/>
              <w:spacing w:line="500" w:lineRule="exact"/>
              <w:ind w:left="0" w:leftChars="0" w:right="0" w:rightChars="0"/>
              <w:jc w:val="center"/>
              <w:textAlignment w:val="auto"/>
              <w:rPr>
                <w:rFonts w:hint="eastAsia" w:ascii="黑体" w:hAnsi="黑体" w:eastAsia="黑体" w:cs="黑体"/>
                <w:b w:val="0"/>
                <w:bCs w:val="0"/>
                <w:color w:val="auto"/>
                <w:spacing w:val="0"/>
                <w:sz w:val="24"/>
                <w:szCs w:val="24"/>
                <w:highlight w:val="none"/>
              </w:rPr>
            </w:pPr>
            <w:r>
              <w:rPr>
                <w:rFonts w:hint="eastAsia" w:ascii="黑体" w:hAnsi="黑体" w:eastAsia="黑体" w:cs="黑体"/>
                <w:b w:val="0"/>
                <w:bCs w:val="0"/>
                <w:color w:val="auto"/>
                <w:spacing w:val="0"/>
                <w:sz w:val="24"/>
                <w:szCs w:val="24"/>
                <w:highlight w:val="none"/>
              </w:rPr>
              <w:t>洽商依据：</w:t>
            </w:r>
          </w:p>
        </w:tc>
        <w:tc>
          <w:tcPr>
            <w:tcW w:w="1521" w:type="dxa"/>
            <w:noWrap w:val="0"/>
            <w:vAlign w:val="center"/>
          </w:tcPr>
          <w:p w14:paraId="312A361B">
            <w:pPr>
              <w:keepNext w:val="0"/>
              <w:keepLines w:val="0"/>
              <w:pageBreakBefore w:val="0"/>
              <w:widowControl w:val="0"/>
              <w:tabs>
                <w:tab w:val="left" w:pos="180"/>
              </w:tabs>
              <w:kinsoku/>
              <w:overflowPunct/>
              <w:topLinePunct w:val="0"/>
              <w:autoSpaceDE/>
              <w:autoSpaceDN/>
              <w:bidi w:val="0"/>
              <w:snapToGrid/>
              <w:spacing w:line="500" w:lineRule="exact"/>
              <w:ind w:left="0" w:leftChars="0" w:right="0" w:rightChars="0"/>
              <w:jc w:val="center"/>
              <w:textAlignment w:val="auto"/>
              <w:rPr>
                <w:rFonts w:hint="eastAsia" w:ascii="黑体" w:hAnsi="黑体" w:eastAsia="黑体" w:cs="黑体"/>
                <w:b w:val="0"/>
                <w:bCs w:val="0"/>
                <w:color w:val="auto"/>
                <w:spacing w:val="0"/>
                <w:sz w:val="24"/>
                <w:szCs w:val="24"/>
                <w:highlight w:val="none"/>
                <w:lang w:eastAsia="zh-CN"/>
              </w:rPr>
            </w:pPr>
            <w:r>
              <w:rPr>
                <w:rFonts w:hint="eastAsia" w:ascii="黑体" w:hAnsi="黑体" w:eastAsia="黑体" w:cs="黑体"/>
                <w:b w:val="0"/>
                <w:bCs w:val="0"/>
                <w:color w:val="auto"/>
                <w:spacing w:val="0"/>
                <w:sz w:val="24"/>
                <w:szCs w:val="24"/>
                <w:highlight w:val="none"/>
                <w:lang w:eastAsia="zh-CN"/>
              </w:rPr>
              <w:t>申请时间</w:t>
            </w:r>
          </w:p>
        </w:tc>
        <w:tc>
          <w:tcPr>
            <w:tcW w:w="3112" w:type="dxa"/>
            <w:noWrap w:val="0"/>
            <w:vAlign w:val="center"/>
          </w:tcPr>
          <w:p w14:paraId="22AA54C1">
            <w:pPr>
              <w:keepNext w:val="0"/>
              <w:keepLines w:val="0"/>
              <w:pageBreakBefore w:val="0"/>
              <w:widowControl w:val="0"/>
              <w:tabs>
                <w:tab w:val="left" w:pos="180"/>
              </w:tabs>
              <w:kinsoku/>
              <w:overflowPunct/>
              <w:topLinePunct w:val="0"/>
              <w:autoSpaceDE/>
              <w:autoSpaceDN/>
              <w:bidi w:val="0"/>
              <w:snapToGrid/>
              <w:spacing w:line="500" w:lineRule="exact"/>
              <w:ind w:left="0" w:leftChars="0" w:right="0" w:rightChars="0"/>
              <w:jc w:val="center"/>
              <w:textAlignment w:val="auto"/>
              <w:rPr>
                <w:rFonts w:hint="eastAsia" w:ascii="黑体" w:hAnsi="黑体" w:eastAsia="黑体" w:cs="黑体"/>
                <w:b w:val="0"/>
                <w:bCs w:val="0"/>
                <w:color w:val="auto"/>
                <w:spacing w:val="0"/>
                <w:sz w:val="24"/>
                <w:szCs w:val="24"/>
                <w:highlight w:val="none"/>
              </w:rPr>
            </w:pPr>
          </w:p>
        </w:tc>
      </w:tr>
      <w:tr w14:paraId="1206B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9533" w:type="dxa"/>
            <w:gridSpan w:val="6"/>
            <w:noWrap w:val="0"/>
            <w:vAlign w:val="center"/>
          </w:tcPr>
          <w:p w14:paraId="21089A8D">
            <w:pPr>
              <w:keepNext w:val="0"/>
              <w:keepLines w:val="0"/>
              <w:pageBreakBefore w:val="0"/>
              <w:widowControl w:val="0"/>
              <w:tabs>
                <w:tab w:val="left" w:pos="180"/>
              </w:tabs>
              <w:kinsoku/>
              <w:overflowPunct/>
              <w:topLinePunct w:val="0"/>
              <w:autoSpaceDE/>
              <w:autoSpaceDN/>
              <w:bidi w:val="0"/>
              <w:snapToGrid/>
              <w:spacing w:line="500" w:lineRule="exact"/>
              <w:ind w:left="0" w:leftChars="0" w:right="0" w:rightChars="0"/>
              <w:jc w:val="left"/>
              <w:textAlignment w:val="auto"/>
              <w:rPr>
                <w:rFonts w:hint="eastAsia" w:ascii="黑体" w:hAnsi="黑体" w:eastAsia="黑体" w:cs="黑体"/>
                <w:b w:val="0"/>
                <w:bCs w:val="0"/>
                <w:color w:val="auto"/>
                <w:spacing w:val="0"/>
                <w:sz w:val="24"/>
                <w:szCs w:val="24"/>
                <w:highlight w:val="none"/>
              </w:rPr>
            </w:pPr>
            <w:r>
              <w:rPr>
                <w:rFonts w:hint="eastAsia" w:ascii="黑体" w:hAnsi="黑体" w:eastAsia="黑体" w:cs="黑体"/>
                <w:b w:val="0"/>
                <w:bCs w:val="0"/>
                <w:color w:val="auto"/>
                <w:spacing w:val="0"/>
                <w:sz w:val="24"/>
                <w:szCs w:val="24"/>
                <w:highlight w:val="none"/>
              </w:rPr>
              <w:t>洽商（核定）内容：</w:t>
            </w:r>
          </w:p>
        </w:tc>
      </w:tr>
      <w:tr w14:paraId="77322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943" w:type="dxa"/>
            <w:noWrap w:val="0"/>
            <w:vAlign w:val="center"/>
          </w:tcPr>
          <w:p w14:paraId="469CB94F">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jc w:val="center"/>
              <w:textAlignment w:val="auto"/>
              <w:rPr>
                <w:rFonts w:hint="eastAsia" w:ascii="黑体" w:hAnsi="黑体" w:eastAsia="黑体" w:cs="黑体"/>
                <w:b w:val="0"/>
                <w:bCs w:val="0"/>
                <w:color w:val="auto"/>
                <w:spacing w:val="0"/>
                <w:sz w:val="24"/>
                <w:szCs w:val="24"/>
                <w:highlight w:val="none"/>
              </w:rPr>
            </w:pPr>
            <w:r>
              <w:rPr>
                <w:rFonts w:hint="eastAsia" w:ascii="黑体" w:hAnsi="黑体" w:eastAsia="黑体" w:cs="黑体"/>
                <w:b w:val="0"/>
                <w:bCs w:val="0"/>
                <w:color w:val="auto"/>
                <w:spacing w:val="0"/>
                <w:sz w:val="24"/>
                <w:szCs w:val="24"/>
                <w:highlight w:val="none"/>
                <w:lang w:val="en-US" w:eastAsia="zh-CN"/>
              </w:rPr>
              <w:t>序号</w:t>
            </w:r>
          </w:p>
        </w:tc>
        <w:tc>
          <w:tcPr>
            <w:tcW w:w="5478" w:type="dxa"/>
            <w:gridSpan w:val="4"/>
            <w:noWrap w:val="0"/>
            <w:vAlign w:val="center"/>
          </w:tcPr>
          <w:p w14:paraId="4095841F">
            <w:pPr>
              <w:keepNext w:val="0"/>
              <w:keepLines w:val="0"/>
              <w:pageBreakBefore w:val="0"/>
              <w:widowControl w:val="0"/>
              <w:kinsoku/>
              <w:overflowPunct/>
              <w:topLinePunct w:val="0"/>
              <w:bidi w:val="0"/>
              <w:snapToGrid/>
              <w:spacing w:line="500" w:lineRule="exact"/>
              <w:ind w:left="0" w:leftChars="0" w:right="0" w:rightChars="0"/>
              <w:jc w:val="center"/>
              <w:textAlignment w:val="auto"/>
              <w:rPr>
                <w:rFonts w:hint="eastAsia" w:ascii="黑体" w:hAnsi="黑体" w:eastAsia="黑体" w:cs="黑体"/>
                <w:b w:val="0"/>
                <w:bCs w:val="0"/>
                <w:color w:val="auto"/>
                <w:spacing w:val="0"/>
                <w:sz w:val="24"/>
                <w:szCs w:val="24"/>
                <w:highlight w:val="none"/>
              </w:rPr>
            </w:pPr>
            <w:r>
              <w:rPr>
                <w:rFonts w:hint="eastAsia" w:ascii="黑体" w:hAnsi="黑体" w:eastAsia="黑体" w:cs="黑体"/>
                <w:b w:val="0"/>
                <w:bCs w:val="0"/>
                <w:color w:val="auto"/>
                <w:spacing w:val="0"/>
                <w:sz w:val="24"/>
                <w:szCs w:val="24"/>
                <w:highlight w:val="none"/>
                <w:lang w:eastAsia="zh-CN"/>
              </w:rPr>
              <w:t>主要问题及发生原因</w:t>
            </w:r>
          </w:p>
        </w:tc>
        <w:tc>
          <w:tcPr>
            <w:tcW w:w="3112" w:type="dxa"/>
            <w:noWrap w:val="0"/>
            <w:vAlign w:val="center"/>
          </w:tcPr>
          <w:p w14:paraId="330598C4">
            <w:pPr>
              <w:keepNext w:val="0"/>
              <w:keepLines w:val="0"/>
              <w:pageBreakBefore w:val="0"/>
              <w:widowControl w:val="0"/>
              <w:kinsoku/>
              <w:overflowPunct/>
              <w:topLinePunct w:val="0"/>
              <w:bidi w:val="0"/>
              <w:snapToGrid/>
              <w:spacing w:line="500" w:lineRule="exact"/>
              <w:ind w:left="0" w:leftChars="0" w:right="0" w:rightChars="0"/>
              <w:jc w:val="center"/>
              <w:textAlignment w:val="auto"/>
              <w:rPr>
                <w:rFonts w:hint="eastAsia" w:ascii="黑体" w:hAnsi="黑体" w:eastAsia="黑体" w:cs="黑体"/>
                <w:b w:val="0"/>
                <w:bCs w:val="0"/>
                <w:color w:val="auto"/>
                <w:spacing w:val="0"/>
                <w:sz w:val="24"/>
                <w:szCs w:val="24"/>
                <w:highlight w:val="none"/>
              </w:rPr>
            </w:pPr>
            <w:r>
              <w:rPr>
                <w:rFonts w:hint="eastAsia" w:ascii="黑体" w:hAnsi="黑体" w:eastAsia="黑体" w:cs="黑体"/>
                <w:b w:val="0"/>
                <w:bCs w:val="0"/>
                <w:color w:val="auto"/>
                <w:spacing w:val="0"/>
                <w:sz w:val="24"/>
                <w:szCs w:val="24"/>
                <w:highlight w:val="none"/>
                <w:lang w:eastAsia="zh-CN"/>
              </w:rPr>
              <w:t>结论意见</w:t>
            </w:r>
          </w:p>
        </w:tc>
      </w:tr>
      <w:tr w14:paraId="1C7AE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3" w:hRule="atLeast"/>
          <w:jc w:val="center"/>
        </w:trPr>
        <w:tc>
          <w:tcPr>
            <w:tcW w:w="943" w:type="dxa"/>
            <w:noWrap w:val="0"/>
            <w:vAlign w:val="top"/>
          </w:tcPr>
          <w:p w14:paraId="1D6BE463">
            <w:pPr>
              <w:pStyle w:val="12"/>
              <w:keepNext w:val="0"/>
              <w:keepLines w:val="0"/>
              <w:pageBreakBefore w:val="0"/>
              <w:widowControl w:val="0"/>
              <w:kinsoku/>
              <w:overflowPunct/>
              <w:topLinePunct w:val="0"/>
              <w:bidi w:val="0"/>
              <w:snapToGrid/>
              <w:spacing w:line="500" w:lineRule="exact"/>
              <w:ind w:left="0" w:leftChars="0" w:right="0" w:rightChars="0"/>
              <w:jc w:val="center"/>
              <w:textAlignment w:val="auto"/>
              <w:rPr>
                <w:rFonts w:hint="eastAsia" w:ascii="仿宋_GB2312" w:hAnsi="仿宋_GB2312" w:eastAsia="仿宋_GB2312" w:cs="仿宋_GB2312"/>
                <w:b w:val="0"/>
                <w:bCs w:val="0"/>
                <w:color w:val="auto"/>
                <w:spacing w:val="0"/>
                <w:sz w:val="24"/>
                <w:szCs w:val="24"/>
                <w:highlight w:val="none"/>
                <w:lang w:val="en-US" w:eastAsia="zh-CN"/>
              </w:rPr>
            </w:pPr>
            <w:r>
              <w:rPr>
                <w:rFonts w:hint="eastAsia" w:ascii="仿宋_GB2312" w:hAnsi="仿宋_GB2312" w:eastAsia="仿宋_GB2312" w:cs="仿宋_GB2312"/>
                <w:b w:val="0"/>
                <w:bCs w:val="0"/>
                <w:color w:val="auto"/>
                <w:spacing w:val="0"/>
                <w:sz w:val="24"/>
                <w:szCs w:val="24"/>
                <w:highlight w:val="none"/>
                <w:lang w:val="en-US" w:eastAsia="zh-CN"/>
              </w:rPr>
              <w:t>1</w:t>
            </w:r>
          </w:p>
          <w:p w14:paraId="3D8D5C74">
            <w:pPr>
              <w:pStyle w:val="12"/>
              <w:keepNext w:val="0"/>
              <w:keepLines w:val="0"/>
              <w:pageBreakBefore w:val="0"/>
              <w:widowControl w:val="0"/>
              <w:kinsoku/>
              <w:overflowPunct/>
              <w:topLinePunct w:val="0"/>
              <w:bidi w:val="0"/>
              <w:snapToGrid/>
              <w:spacing w:line="500" w:lineRule="exact"/>
              <w:ind w:left="0" w:leftChars="0" w:right="0" w:rightChars="0"/>
              <w:jc w:val="center"/>
              <w:textAlignment w:val="auto"/>
              <w:rPr>
                <w:rFonts w:hint="eastAsia" w:ascii="仿宋_GB2312" w:hAnsi="仿宋_GB2312" w:eastAsia="仿宋_GB2312" w:cs="仿宋_GB2312"/>
                <w:b w:val="0"/>
                <w:bCs w:val="0"/>
                <w:color w:val="auto"/>
                <w:spacing w:val="0"/>
                <w:sz w:val="24"/>
                <w:szCs w:val="24"/>
                <w:highlight w:val="none"/>
                <w:lang w:val="en-US" w:eastAsia="zh-CN"/>
              </w:rPr>
            </w:pPr>
            <w:r>
              <w:rPr>
                <w:rFonts w:hint="eastAsia" w:ascii="仿宋_GB2312" w:hAnsi="仿宋_GB2312" w:eastAsia="仿宋_GB2312" w:cs="仿宋_GB2312"/>
                <w:b w:val="0"/>
                <w:bCs w:val="0"/>
                <w:color w:val="auto"/>
                <w:spacing w:val="0"/>
                <w:sz w:val="24"/>
                <w:szCs w:val="24"/>
                <w:highlight w:val="none"/>
                <w:lang w:val="en-US" w:eastAsia="zh-CN"/>
              </w:rPr>
              <w:t>2</w:t>
            </w:r>
          </w:p>
          <w:p w14:paraId="5316DDB7">
            <w:pPr>
              <w:pStyle w:val="12"/>
              <w:keepNext w:val="0"/>
              <w:keepLines w:val="0"/>
              <w:pageBreakBefore w:val="0"/>
              <w:widowControl w:val="0"/>
              <w:kinsoku/>
              <w:overflowPunct/>
              <w:topLinePunct w:val="0"/>
              <w:bidi w:val="0"/>
              <w:snapToGrid/>
              <w:spacing w:line="500" w:lineRule="exact"/>
              <w:ind w:left="0" w:leftChars="0" w:right="0" w:rightChars="0"/>
              <w:jc w:val="center"/>
              <w:textAlignment w:val="auto"/>
              <w:rPr>
                <w:rFonts w:hint="eastAsia" w:ascii="仿宋_GB2312" w:hAnsi="仿宋_GB2312" w:eastAsia="仿宋_GB2312" w:cs="仿宋_GB2312"/>
                <w:b w:val="0"/>
                <w:bCs w:val="0"/>
                <w:color w:val="auto"/>
                <w:spacing w:val="0"/>
                <w:sz w:val="24"/>
                <w:szCs w:val="24"/>
                <w:highlight w:val="none"/>
                <w:lang w:val="en-US" w:eastAsia="zh-CN"/>
              </w:rPr>
            </w:pPr>
            <w:r>
              <w:rPr>
                <w:rFonts w:hint="eastAsia" w:ascii="仿宋_GB2312" w:hAnsi="仿宋_GB2312" w:eastAsia="仿宋_GB2312" w:cs="仿宋_GB2312"/>
                <w:b w:val="0"/>
                <w:bCs w:val="0"/>
                <w:color w:val="auto"/>
                <w:spacing w:val="0"/>
                <w:sz w:val="24"/>
                <w:szCs w:val="24"/>
                <w:highlight w:val="none"/>
                <w:lang w:val="en-US" w:eastAsia="zh-CN"/>
              </w:rPr>
              <w:t>3</w:t>
            </w:r>
          </w:p>
          <w:p w14:paraId="51AEA821">
            <w:pPr>
              <w:pStyle w:val="12"/>
              <w:keepNext w:val="0"/>
              <w:keepLines w:val="0"/>
              <w:pageBreakBefore w:val="0"/>
              <w:widowControl w:val="0"/>
              <w:kinsoku/>
              <w:overflowPunct/>
              <w:topLinePunct w:val="0"/>
              <w:bidi w:val="0"/>
              <w:snapToGrid/>
              <w:spacing w:line="500" w:lineRule="exact"/>
              <w:ind w:left="0" w:leftChars="0" w:right="0" w:rightChars="0"/>
              <w:jc w:val="center"/>
              <w:textAlignment w:val="auto"/>
              <w:rPr>
                <w:rFonts w:hint="eastAsia" w:ascii="仿宋_GB2312" w:hAnsi="仿宋_GB2312" w:eastAsia="仿宋_GB2312" w:cs="仿宋_GB2312"/>
                <w:b w:val="0"/>
                <w:bCs w:val="0"/>
                <w:color w:val="auto"/>
                <w:spacing w:val="0"/>
                <w:sz w:val="24"/>
                <w:szCs w:val="24"/>
                <w:highlight w:val="none"/>
                <w:lang w:eastAsia="zh-CN"/>
              </w:rPr>
            </w:pPr>
            <w:r>
              <w:rPr>
                <w:rFonts w:hint="eastAsia" w:ascii="仿宋_GB2312" w:hAnsi="仿宋_GB2312" w:eastAsia="仿宋_GB2312" w:cs="仿宋_GB2312"/>
                <w:b w:val="0"/>
                <w:bCs w:val="0"/>
                <w:color w:val="auto"/>
                <w:spacing w:val="0"/>
                <w:sz w:val="24"/>
                <w:szCs w:val="24"/>
                <w:highlight w:val="none"/>
                <w:lang w:eastAsia="zh-CN"/>
              </w:rPr>
              <w:t>……</w:t>
            </w:r>
          </w:p>
          <w:p w14:paraId="793E3C49">
            <w:pPr>
              <w:pStyle w:val="12"/>
              <w:keepNext w:val="0"/>
              <w:keepLines w:val="0"/>
              <w:pageBreakBefore w:val="0"/>
              <w:widowControl w:val="0"/>
              <w:kinsoku/>
              <w:overflowPunct/>
              <w:topLinePunct w:val="0"/>
              <w:bidi w:val="0"/>
              <w:snapToGrid/>
              <w:spacing w:line="500" w:lineRule="exact"/>
              <w:ind w:left="0" w:leftChars="0" w:right="0" w:rightChars="0"/>
              <w:jc w:val="center"/>
              <w:textAlignment w:val="auto"/>
              <w:rPr>
                <w:rFonts w:hint="eastAsia" w:ascii="仿宋_GB2312" w:hAnsi="仿宋_GB2312" w:eastAsia="仿宋_GB2312" w:cs="仿宋_GB2312"/>
                <w:b w:val="0"/>
                <w:bCs w:val="0"/>
                <w:color w:val="auto"/>
                <w:spacing w:val="0"/>
                <w:sz w:val="24"/>
                <w:szCs w:val="24"/>
                <w:highlight w:val="none"/>
              </w:rPr>
            </w:pPr>
          </w:p>
        </w:tc>
        <w:tc>
          <w:tcPr>
            <w:tcW w:w="5478" w:type="dxa"/>
            <w:gridSpan w:val="4"/>
            <w:noWrap w:val="0"/>
            <w:vAlign w:val="top"/>
          </w:tcPr>
          <w:p w14:paraId="6D7D52FE">
            <w:pPr>
              <w:pStyle w:val="12"/>
              <w:keepNext w:val="0"/>
              <w:keepLines w:val="0"/>
              <w:pageBreakBefore w:val="0"/>
              <w:widowControl w:val="0"/>
              <w:kinsoku/>
              <w:overflowPunct/>
              <w:topLinePunct w:val="0"/>
              <w:bidi w:val="0"/>
              <w:snapToGrid/>
              <w:spacing w:line="500" w:lineRule="exact"/>
              <w:ind w:left="0" w:leftChars="0" w:right="0" w:rightChars="0"/>
              <w:textAlignment w:val="auto"/>
              <w:rPr>
                <w:rFonts w:hint="eastAsia" w:ascii="宋体" w:hAnsi="宋体" w:eastAsia="宋体" w:cs="宋体"/>
                <w:b/>
                <w:bCs/>
                <w:color w:val="auto"/>
                <w:spacing w:val="0"/>
                <w:sz w:val="24"/>
                <w:szCs w:val="24"/>
                <w:highlight w:val="none"/>
              </w:rPr>
            </w:pPr>
          </w:p>
        </w:tc>
        <w:tc>
          <w:tcPr>
            <w:tcW w:w="3112" w:type="dxa"/>
            <w:noWrap w:val="0"/>
            <w:vAlign w:val="top"/>
          </w:tcPr>
          <w:p w14:paraId="1D98EA1A">
            <w:pPr>
              <w:pStyle w:val="12"/>
              <w:keepNext w:val="0"/>
              <w:keepLines w:val="0"/>
              <w:pageBreakBefore w:val="0"/>
              <w:widowControl w:val="0"/>
              <w:kinsoku/>
              <w:overflowPunct/>
              <w:topLinePunct w:val="0"/>
              <w:bidi w:val="0"/>
              <w:snapToGrid/>
              <w:spacing w:line="500" w:lineRule="exact"/>
              <w:ind w:left="0" w:leftChars="0" w:right="0" w:rightChars="0"/>
              <w:textAlignment w:val="auto"/>
              <w:rPr>
                <w:rFonts w:hint="eastAsia" w:ascii="宋体" w:hAnsi="宋体" w:eastAsia="宋体" w:cs="宋体"/>
                <w:b/>
                <w:bCs/>
                <w:color w:val="auto"/>
                <w:spacing w:val="0"/>
                <w:sz w:val="24"/>
                <w:szCs w:val="24"/>
                <w:highlight w:val="none"/>
              </w:rPr>
            </w:pPr>
          </w:p>
        </w:tc>
      </w:tr>
      <w:tr w14:paraId="67239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9" w:hRule="atLeast"/>
          <w:jc w:val="center"/>
        </w:trPr>
        <w:tc>
          <w:tcPr>
            <w:tcW w:w="3094" w:type="dxa"/>
            <w:gridSpan w:val="3"/>
            <w:noWrap w:val="0"/>
            <w:vAlign w:val="top"/>
          </w:tcPr>
          <w:p w14:paraId="430BC612">
            <w:pPr>
              <w:keepNext w:val="0"/>
              <w:keepLines w:val="0"/>
              <w:pageBreakBefore w:val="0"/>
              <w:widowControl w:val="0"/>
              <w:kinsoku/>
              <w:wordWrap/>
              <w:overflowPunct/>
              <w:topLinePunct w:val="0"/>
              <w:bidi w:val="0"/>
              <w:adjustRightInd/>
              <w:snapToGrid/>
              <w:spacing w:line="500" w:lineRule="exact"/>
              <w:ind w:left="0" w:leftChars="0" w:right="0" w:rightChars="0"/>
              <w:jc w:val="both"/>
              <w:textAlignment w:val="auto"/>
              <w:rPr>
                <w:rFonts w:hint="eastAsia" w:ascii="宋体" w:hAnsi="宋体" w:cs="宋体"/>
                <w:b/>
                <w:bCs/>
                <w:color w:val="auto"/>
                <w:spacing w:val="0"/>
                <w:sz w:val="24"/>
                <w:szCs w:val="24"/>
                <w:highlight w:val="none"/>
                <w:lang w:eastAsia="zh-CN"/>
              </w:rPr>
            </w:pPr>
            <w:r>
              <w:rPr>
                <w:rFonts w:hint="eastAsia" w:ascii="黑体" w:hAnsi="黑体" w:eastAsia="黑体" w:cs="黑体"/>
                <w:b w:val="0"/>
                <w:bCs w:val="0"/>
                <w:color w:val="auto"/>
                <w:spacing w:val="0"/>
                <w:sz w:val="24"/>
                <w:szCs w:val="24"/>
                <w:highlight w:val="none"/>
              </w:rPr>
              <w:t>施工单位</w:t>
            </w:r>
            <w:r>
              <w:rPr>
                <w:rFonts w:hint="eastAsia" w:ascii="黑体" w:hAnsi="黑体" w:eastAsia="黑体" w:cs="黑体"/>
                <w:b w:val="0"/>
                <w:bCs w:val="0"/>
                <w:color w:val="auto"/>
                <w:spacing w:val="0"/>
                <w:sz w:val="24"/>
                <w:szCs w:val="24"/>
                <w:highlight w:val="none"/>
                <w:lang w:eastAsia="zh-CN"/>
              </w:rPr>
              <w:t>意见：</w:t>
            </w:r>
          </w:p>
          <w:p w14:paraId="7FF13196">
            <w:pPr>
              <w:keepNext w:val="0"/>
              <w:keepLines w:val="0"/>
              <w:pageBreakBefore w:val="0"/>
              <w:widowControl w:val="0"/>
              <w:kinsoku/>
              <w:wordWrap/>
              <w:overflowPunct/>
              <w:topLinePunct w:val="0"/>
              <w:bidi w:val="0"/>
              <w:adjustRightInd/>
              <w:snapToGrid/>
              <w:spacing w:line="500" w:lineRule="exact"/>
              <w:ind w:left="0" w:leftChars="0" w:right="0" w:rightChars="0"/>
              <w:jc w:val="both"/>
              <w:textAlignment w:val="auto"/>
              <w:rPr>
                <w:rFonts w:hint="eastAsia" w:ascii="宋体" w:hAnsi="宋体" w:cs="宋体"/>
                <w:b/>
                <w:bCs/>
                <w:color w:val="auto"/>
                <w:spacing w:val="0"/>
                <w:sz w:val="24"/>
                <w:szCs w:val="24"/>
                <w:highlight w:val="none"/>
                <w:lang w:eastAsia="zh-CN"/>
              </w:rPr>
            </w:pPr>
          </w:p>
          <w:p w14:paraId="36155C5B">
            <w:pPr>
              <w:keepNext w:val="0"/>
              <w:keepLines w:val="0"/>
              <w:pageBreakBefore w:val="0"/>
              <w:widowControl w:val="0"/>
              <w:kinsoku/>
              <w:wordWrap/>
              <w:overflowPunct/>
              <w:topLinePunct w:val="0"/>
              <w:bidi w:val="0"/>
              <w:adjustRightInd/>
              <w:snapToGrid/>
              <w:spacing w:line="500" w:lineRule="exact"/>
              <w:ind w:left="0" w:leftChars="0" w:right="0" w:rightChars="0"/>
              <w:jc w:val="both"/>
              <w:textAlignment w:val="auto"/>
              <w:rPr>
                <w:rFonts w:hint="eastAsia" w:ascii="宋体" w:hAnsi="宋体" w:cs="宋体"/>
                <w:b/>
                <w:bCs/>
                <w:color w:val="auto"/>
                <w:spacing w:val="0"/>
                <w:sz w:val="24"/>
                <w:szCs w:val="24"/>
                <w:highlight w:val="none"/>
                <w:lang w:eastAsia="zh-CN"/>
              </w:rPr>
            </w:pPr>
          </w:p>
          <w:p w14:paraId="16C3CD14">
            <w:pPr>
              <w:keepNext w:val="0"/>
              <w:keepLines w:val="0"/>
              <w:pageBreakBefore w:val="0"/>
              <w:widowControl w:val="0"/>
              <w:kinsoku/>
              <w:wordWrap/>
              <w:overflowPunct/>
              <w:topLinePunct w:val="0"/>
              <w:bidi w:val="0"/>
              <w:adjustRightInd/>
              <w:snapToGrid/>
              <w:spacing w:line="500" w:lineRule="exact"/>
              <w:ind w:left="0" w:leftChars="0" w:right="0" w:rightChars="0"/>
              <w:jc w:val="both"/>
              <w:textAlignment w:val="auto"/>
              <w:rPr>
                <w:rFonts w:hint="eastAsia" w:ascii="宋体" w:hAnsi="宋体" w:cs="宋体"/>
                <w:b/>
                <w:bCs/>
                <w:color w:val="auto"/>
                <w:spacing w:val="0"/>
                <w:sz w:val="24"/>
                <w:szCs w:val="24"/>
                <w:highlight w:val="none"/>
                <w:lang w:eastAsia="zh-CN"/>
              </w:rPr>
            </w:pPr>
          </w:p>
          <w:p w14:paraId="3C4C97AB">
            <w:pPr>
              <w:keepNext w:val="0"/>
              <w:keepLines w:val="0"/>
              <w:pageBreakBefore w:val="0"/>
              <w:widowControl w:val="0"/>
              <w:kinsoku/>
              <w:wordWrap/>
              <w:overflowPunct/>
              <w:topLinePunct w:val="0"/>
              <w:bidi w:val="0"/>
              <w:adjustRightInd/>
              <w:snapToGrid/>
              <w:spacing w:line="500" w:lineRule="exact"/>
              <w:ind w:left="0" w:leftChars="0" w:right="0" w:rightChars="0"/>
              <w:jc w:val="both"/>
              <w:textAlignment w:val="auto"/>
              <w:rPr>
                <w:rFonts w:hint="eastAsia" w:ascii="楷体_GB2312" w:hAnsi="楷体_GB2312" w:eastAsia="楷体_GB2312" w:cs="楷体_GB2312"/>
                <w:b w:val="0"/>
                <w:bCs w:val="0"/>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rPr>
              <w:t>项目负责人：</w:t>
            </w: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lang w:eastAsia="zh-CN"/>
              </w:rPr>
              <w:t>（公章）</w:t>
            </w:r>
          </w:p>
          <w:p w14:paraId="0ACBEF21">
            <w:pPr>
              <w:keepNext w:val="0"/>
              <w:keepLines w:val="0"/>
              <w:pageBreakBefore w:val="0"/>
              <w:widowControl w:val="0"/>
              <w:kinsoku/>
              <w:wordWrap/>
              <w:overflowPunct/>
              <w:topLinePunct w:val="0"/>
              <w:bidi w:val="0"/>
              <w:adjustRightInd/>
              <w:snapToGrid/>
              <w:spacing w:line="500" w:lineRule="exact"/>
              <w:ind w:left="0" w:leftChars="0" w:right="0" w:rightChars="0" w:firstLine="480" w:firstLineChars="200"/>
              <w:jc w:val="right"/>
              <w:textAlignment w:val="auto"/>
              <w:rPr>
                <w:rFonts w:hint="eastAsia" w:ascii="宋体" w:hAnsi="宋体" w:eastAsia="宋体" w:cs="宋体"/>
                <w:b/>
                <w:bCs/>
                <w:color w:val="auto"/>
                <w:spacing w:val="0"/>
                <w:sz w:val="24"/>
                <w:szCs w:val="24"/>
                <w:highlight w:val="none"/>
              </w:rPr>
            </w:pP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rPr>
              <w:t xml:space="preserve">年  </w:t>
            </w: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rPr>
              <w:t xml:space="preserve"> 月   日</w:t>
            </w:r>
          </w:p>
        </w:tc>
        <w:tc>
          <w:tcPr>
            <w:tcW w:w="3327" w:type="dxa"/>
            <w:gridSpan w:val="2"/>
            <w:noWrap w:val="0"/>
            <w:vAlign w:val="top"/>
          </w:tcPr>
          <w:p w14:paraId="655CDCC3">
            <w:pPr>
              <w:keepNext w:val="0"/>
              <w:keepLines w:val="0"/>
              <w:pageBreakBefore w:val="0"/>
              <w:widowControl w:val="0"/>
              <w:kinsoku/>
              <w:wordWrap/>
              <w:overflowPunct/>
              <w:topLinePunct w:val="0"/>
              <w:bidi w:val="0"/>
              <w:adjustRightInd/>
              <w:snapToGrid/>
              <w:spacing w:line="500" w:lineRule="exact"/>
              <w:ind w:left="0" w:leftChars="0" w:right="0" w:rightChars="0"/>
              <w:jc w:val="both"/>
              <w:textAlignment w:val="auto"/>
              <w:rPr>
                <w:rFonts w:hint="eastAsia" w:ascii="黑体" w:hAnsi="黑体" w:eastAsia="黑体" w:cs="黑体"/>
                <w:b w:val="0"/>
                <w:bCs w:val="0"/>
                <w:color w:val="auto"/>
                <w:spacing w:val="0"/>
                <w:sz w:val="24"/>
                <w:szCs w:val="24"/>
                <w:highlight w:val="none"/>
              </w:rPr>
            </w:pPr>
            <w:r>
              <w:rPr>
                <w:rFonts w:hint="eastAsia" w:ascii="黑体" w:hAnsi="黑体" w:eastAsia="黑体" w:cs="黑体"/>
                <w:b w:val="0"/>
                <w:bCs w:val="0"/>
                <w:color w:val="auto"/>
                <w:spacing w:val="0"/>
                <w:sz w:val="24"/>
                <w:szCs w:val="24"/>
                <w:highlight w:val="none"/>
              </w:rPr>
              <w:t>监理单位</w:t>
            </w:r>
            <w:r>
              <w:rPr>
                <w:rFonts w:hint="eastAsia" w:ascii="黑体" w:hAnsi="黑体" w:eastAsia="黑体" w:cs="黑体"/>
                <w:b w:val="0"/>
                <w:bCs w:val="0"/>
                <w:color w:val="auto"/>
                <w:spacing w:val="0"/>
                <w:sz w:val="24"/>
                <w:szCs w:val="24"/>
                <w:highlight w:val="none"/>
                <w:lang w:eastAsia="zh-CN"/>
              </w:rPr>
              <w:t>意见：</w:t>
            </w:r>
          </w:p>
          <w:p w14:paraId="0F04CBCE">
            <w:pPr>
              <w:keepNext w:val="0"/>
              <w:keepLines w:val="0"/>
              <w:pageBreakBefore w:val="0"/>
              <w:widowControl w:val="0"/>
              <w:kinsoku/>
              <w:overflowPunct/>
              <w:topLinePunct w:val="0"/>
              <w:autoSpaceDE/>
              <w:autoSpaceDN/>
              <w:bidi w:val="0"/>
              <w:snapToGrid/>
              <w:spacing w:line="500" w:lineRule="exact"/>
              <w:ind w:left="0" w:leftChars="0" w:right="0" w:rightChars="0"/>
              <w:textAlignment w:val="auto"/>
              <w:outlineLvl w:val="9"/>
              <w:rPr>
                <w:rFonts w:hint="eastAsia" w:ascii="宋体" w:hAnsi="宋体" w:eastAsia="宋体" w:cs="宋体"/>
                <w:b/>
                <w:bCs/>
                <w:color w:val="auto"/>
                <w:spacing w:val="0"/>
                <w:sz w:val="24"/>
                <w:szCs w:val="24"/>
                <w:highlight w:val="none"/>
              </w:rPr>
            </w:pPr>
            <w:r>
              <w:rPr>
                <w:rFonts w:hint="eastAsia" w:ascii="仿宋_GB2312" w:hAnsi="仿宋_GB2312" w:eastAsia="仿宋_GB2312" w:cs="仿宋_GB2312"/>
                <w:b w:val="0"/>
                <w:bCs w:val="0"/>
                <w:color w:val="auto"/>
                <w:spacing w:val="0"/>
                <w:sz w:val="18"/>
                <w:szCs w:val="18"/>
                <w:highlight w:val="none"/>
                <w:lang w:val="en-US" w:eastAsia="zh-CN"/>
              </w:rPr>
              <w:t>（对发生问题提出解决建议以及对设计单位回复意见从可行性，合理性方面给出评价）</w:t>
            </w:r>
          </w:p>
          <w:p w14:paraId="63B24D1D">
            <w:pPr>
              <w:keepNext w:val="0"/>
              <w:keepLines w:val="0"/>
              <w:pageBreakBefore w:val="0"/>
              <w:widowControl w:val="0"/>
              <w:kinsoku/>
              <w:wordWrap/>
              <w:overflowPunct/>
              <w:topLinePunct w:val="0"/>
              <w:bidi w:val="0"/>
              <w:adjustRightInd/>
              <w:snapToGrid/>
              <w:spacing w:line="500" w:lineRule="exact"/>
              <w:ind w:left="0" w:leftChars="0" w:right="0" w:rightChars="0"/>
              <w:jc w:val="both"/>
              <w:textAlignment w:val="auto"/>
              <w:rPr>
                <w:rFonts w:hint="eastAsia" w:ascii="楷体_GB2312" w:hAnsi="楷体_GB2312" w:eastAsia="楷体_GB2312" w:cs="楷体_GB2312"/>
                <w:b w:val="0"/>
                <w:bCs w:val="0"/>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rPr>
              <w:t xml:space="preserve">总监理工程师：   </w:t>
            </w:r>
            <w:r>
              <w:rPr>
                <w:rFonts w:hint="eastAsia" w:ascii="楷体_GB2312" w:hAnsi="楷体_GB2312" w:eastAsia="楷体_GB2312" w:cs="楷体_GB2312"/>
                <w:b w:val="0"/>
                <w:bCs w:val="0"/>
                <w:color w:val="auto"/>
                <w:spacing w:val="0"/>
                <w:sz w:val="24"/>
                <w:szCs w:val="24"/>
                <w:highlight w:val="none"/>
                <w:lang w:eastAsia="zh-CN"/>
              </w:rPr>
              <w:t>（公章）</w:t>
            </w:r>
            <w:r>
              <w:rPr>
                <w:rFonts w:hint="eastAsia" w:ascii="楷体_GB2312" w:hAnsi="楷体_GB2312" w:eastAsia="楷体_GB2312" w:cs="楷体_GB2312"/>
                <w:b w:val="0"/>
                <w:bCs w:val="0"/>
                <w:color w:val="auto"/>
                <w:spacing w:val="0"/>
                <w:sz w:val="24"/>
                <w:szCs w:val="24"/>
                <w:highlight w:val="none"/>
                <w:lang w:val="en-US" w:eastAsia="zh-CN"/>
              </w:rPr>
              <w:t xml:space="preserve">  </w:t>
            </w:r>
          </w:p>
          <w:p w14:paraId="2ED82D98">
            <w:pPr>
              <w:keepNext w:val="0"/>
              <w:keepLines w:val="0"/>
              <w:pageBreakBefore w:val="0"/>
              <w:widowControl w:val="0"/>
              <w:kinsoku/>
              <w:wordWrap/>
              <w:overflowPunct/>
              <w:topLinePunct w:val="0"/>
              <w:bidi w:val="0"/>
              <w:adjustRightInd/>
              <w:snapToGrid/>
              <w:spacing w:line="500" w:lineRule="exact"/>
              <w:ind w:left="0" w:leftChars="0" w:right="0" w:rightChars="0"/>
              <w:jc w:val="right"/>
              <w:textAlignment w:val="auto"/>
              <w:rPr>
                <w:rFonts w:hint="eastAsia" w:ascii="宋体" w:hAnsi="宋体" w:eastAsia="宋体" w:cs="宋体"/>
                <w:b/>
                <w:bCs/>
                <w:color w:val="auto"/>
                <w:spacing w:val="0"/>
                <w:sz w:val="24"/>
                <w:szCs w:val="24"/>
                <w:highlight w:val="none"/>
              </w:rPr>
            </w:pP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rPr>
              <w:t xml:space="preserve">年  </w:t>
            </w: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rPr>
              <w:t xml:space="preserve"> 月   日</w:t>
            </w:r>
          </w:p>
        </w:tc>
        <w:tc>
          <w:tcPr>
            <w:tcW w:w="3112" w:type="dxa"/>
            <w:noWrap w:val="0"/>
            <w:vAlign w:val="top"/>
          </w:tcPr>
          <w:p w14:paraId="54507959">
            <w:pPr>
              <w:keepNext w:val="0"/>
              <w:keepLines w:val="0"/>
              <w:pageBreakBefore w:val="0"/>
              <w:widowControl w:val="0"/>
              <w:kinsoku/>
              <w:wordWrap/>
              <w:overflowPunct/>
              <w:topLinePunct w:val="0"/>
              <w:bidi w:val="0"/>
              <w:adjustRightInd/>
              <w:snapToGrid/>
              <w:spacing w:line="500" w:lineRule="exact"/>
              <w:ind w:left="0" w:leftChars="0" w:right="0" w:rightChars="0"/>
              <w:jc w:val="both"/>
              <w:textAlignment w:val="auto"/>
              <w:rPr>
                <w:rFonts w:hint="eastAsia" w:ascii="宋体" w:hAnsi="宋体" w:eastAsia="宋体" w:cs="宋体"/>
                <w:b/>
                <w:bCs/>
                <w:color w:val="auto"/>
                <w:spacing w:val="0"/>
                <w:sz w:val="24"/>
                <w:szCs w:val="24"/>
                <w:highlight w:val="none"/>
              </w:rPr>
            </w:pPr>
            <w:r>
              <w:rPr>
                <w:rFonts w:hint="eastAsia" w:ascii="黑体" w:hAnsi="黑体" w:eastAsia="黑体" w:cs="黑体"/>
                <w:b w:val="0"/>
                <w:bCs w:val="0"/>
                <w:color w:val="auto"/>
                <w:spacing w:val="0"/>
                <w:sz w:val="24"/>
                <w:szCs w:val="24"/>
                <w:highlight w:val="none"/>
              </w:rPr>
              <w:t>设计单位</w:t>
            </w:r>
            <w:r>
              <w:rPr>
                <w:rFonts w:hint="eastAsia" w:ascii="黑体" w:hAnsi="黑体" w:eastAsia="黑体" w:cs="黑体"/>
                <w:b w:val="0"/>
                <w:bCs w:val="0"/>
                <w:color w:val="auto"/>
                <w:spacing w:val="0"/>
                <w:sz w:val="24"/>
                <w:szCs w:val="24"/>
                <w:highlight w:val="none"/>
                <w:lang w:eastAsia="zh-CN"/>
              </w:rPr>
              <w:t>意见：</w:t>
            </w:r>
          </w:p>
          <w:p w14:paraId="0393AD35">
            <w:pPr>
              <w:keepNext w:val="0"/>
              <w:keepLines w:val="0"/>
              <w:pageBreakBefore w:val="0"/>
              <w:widowControl w:val="0"/>
              <w:kinsoku/>
              <w:wordWrap/>
              <w:overflowPunct/>
              <w:topLinePunct w:val="0"/>
              <w:bidi w:val="0"/>
              <w:adjustRightInd/>
              <w:snapToGrid/>
              <w:spacing w:line="500" w:lineRule="exact"/>
              <w:ind w:left="0" w:leftChars="0" w:right="0" w:rightChars="0"/>
              <w:jc w:val="both"/>
              <w:textAlignment w:val="auto"/>
              <w:rPr>
                <w:rFonts w:hint="eastAsia"/>
                <w:b w:val="0"/>
                <w:bCs w:val="0"/>
                <w:color w:val="auto"/>
                <w:sz w:val="21"/>
                <w:szCs w:val="21"/>
                <w:lang w:val="en-US" w:eastAsia="zh-CN"/>
              </w:rPr>
            </w:pPr>
            <w:r>
              <w:rPr>
                <w:rFonts w:hint="eastAsia" w:ascii="仿宋_GB2312" w:hAnsi="仿宋_GB2312" w:eastAsia="仿宋_GB2312" w:cs="仿宋_GB2312"/>
                <w:b w:val="0"/>
                <w:bCs w:val="0"/>
                <w:color w:val="auto"/>
                <w:spacing w:val="0"/>
                <w:sz w:val="18"/>
                <w:szCs w:val="18"/>
                <w:highlight w:val="none"/>
                <w:lang w:val="en-US" w:eastAsia="zh-CN"/>
              </w:rPr>
              <w:t>（在优化投资的前提下，对发生问题提出解决建议，对结论意见负责）</w:t>
            </w:r>
          </w:p>
          <w:p w14:paraId="1B0A59DA">
            <w:pPr>
              <w:pStyle w:val="12"/>
              <w:keepNext w:val="0"/>
              <w:keepLines w:val="0"/>
              <w:pageBreakBefore w:val="0"/>
              <w:widowControl w:val="0"/>
              <w:kinsoku/>
              <w:wordWrap/>
              <w:overflowPunct/>
              <w:topLinePunct w:val="0"/>
              <w:bidi w:val="0"/>
              <w:snapToGrid/>
              <w:spacing w:line="500" w:lineRule="exact"/>
              <w:ind w:left="0" w:leftChars="0" w:right="0" w:rightChars="0"/>
              <w:textAlignment w:val="auto"/>
              <w:rPr>
                <w:rFonts w:hint="eastAsia"/>
                <w:color w:val="auto"/>
                <w:highlight w:val="none"/>
              </w:rPr>
            </w:pPr>
          </w:p>
          <w:p w14:paraId="381254BB">
            <w:pPr>
              <w:keepNext w:val="0"/>
              <w:keepLines w:val="0"/>
              <w:pageBreakBefore w:val="0"/>
              <w:widowControl w:val="0"/>
              <w:kinsoku/>
              <w:wordWrap/>
              <w:overflowPunct/>
              <w:topLinePunct w:val="0"/>
              <w:bidi w:val="0"/>
              <w:adjustRightInd/>
              <w:snapToGrid/>
              <w:spacing w:line="500" w:lineRule="exact"/>
              <w:ind w:left="0" w:leftChars="0" w:right="0" w:rightChars="0"/>
              <w:jc w:val="both"/>
              <w:textAlignment w:val="auto"/>
              <w:rPr>
                <w:rFonts w:hint="eastAsia" w:ascii="楷体_GB2312" w:hAnsi="楷体_GB2312" w:eastAsia="楷体_GB2312" w:cs="楷体_GB2312"/>
                <w:b w:val="0"/>
                <w:bCs w:val="0"/>
                <w:color w:val="auto"/>
                <w:spacing w:val="0"/>
                <w:sz w:val="24"/>
                <w:szCs w:val="24"/>
                <w:highlight w:val="none"/>
              </w:rPr>
            </w:pPr>
            <w:r>
              <w:rPr>
                <w:rFonts w:hint="eastAsia" w:ascii="楷体_GB2312" w:hAnsi="楷体_GB2312" w:eastAsia="楷体_GB2312" w:cs="楷体_GB2312"/>
                <w:b w:val="0"/>
                <w:bCs w:val="0"/>
                <w:color w:val="auto"/>
                <w:spacing w:val="0"/>
                <w:sz w:val="24"/>
                <w:szCs w:val="24"/>
                <w:highlight w:val="none"/>
                <w:lang w:eastAsia="zh-CN"/>
              </w:rPr>
              <w:t>项目</w:t>
            </w:r>
            <w:r>
              <w:rPr>
                <w:rFonts w:hint="eastAsia" w:ascii="楷体_GB2312" w:hAnsi="楷体_GB2312" w:eastAsia="楷体_GB2312" w:cs="楷体_GB2312"/>
                <w:b w:val="0"/>
                <w:bCs w:val="0"/>
                <w:color w:val="auto"/>
                <w:spacing w:val="0"/>
                <w:sz w:val="24"/>
                <w:szCs w:val="24"/>
                <w:highlight w:val="none"/>
              </w:rPr>
              <w:t xml:space="preserve">负责人：     </w:t>
            </w: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lang w:eastAsia="zh-CN"/>
              </w:rPr>
              <w:t>（公章）</w:t>
            </w:r>
            <w:r>
              <w:rPr>
                <w:rFonts w:hint="eastAsia" w:ascii="楷体_GB2312" w:hAnsi="楷体_GB2312" w:eastAsia="楷体_GB2312" w:cs="楷体_GB2312"/>
                <w:b w:val="0"/>
                <w:bCs w:val="0"/>
                <w:color w:val="auto"/>
                <w:spacing w:val="0"/>
                <w:sz w:val="24"/>
                <w:szCs w:val="24"/>
                <w:highlight w:val="none"/>
                <w:lang w:val="en-US" w:eastAsia="zh-CN"/>
              </w:rPr>
              <w:t xml:space="preserve"> </w:t>
            </w:r>
          </w:p>
          <w:p w14:paraId="5A2ACF53">
            <w:pPr>
              <w:keepNext w:val="0"/>
              <w:keepLines w:val="0"/>
              <w:pageBreakBefore w:val="0"/>
              <w:widowControl w:val="0"/>
              <w:kinsoku/>
              <w:wordWrap/>
              <w:overflowPunct/>
              <w:topLinePunct w:val="0"/>
              <w:bidi w:val="0"/>
              <w:adjustRightInd/>
              <w:snapToGrid/>
              <w:spacing w:line="500" w:lineRule="exact"/>
              <w:ind w:left="0" w:leftChars="0" w:right="0" w:rightChars="0"/>
              <w:jc w:val="right"/>
              <w:textAlignment w:val="auto"/>
              <w:rPr>
                <w:rFonts w:hint="eastAsia" w:ascii="宋体" w:hAnsi="宋体" w:eastAsia="宋体" w:cs="宋体"/>
                <w:b/>
                <w:bCs/>
                <w:color w:val="auto"/>
                <w:spacing w:val="0"/>
                <w:sz w:val="24"/>
                <w:szCs w:val="24"/>
                <w:highlight w:val="none"/>
              </w:rPr>
            </w:pPr>
            <w:r>
              <w:rPr>
                <w:rFonts w:hint="eastAsia" w:ascii="楷体_GB2312" w:hAnsi="楷体_GB2312" w:eastAsia="楷体_GB2312" w:cs="楷体_GB2312"/>
                <w:b w:val="0"/>
                <w:bCs w:val="0"/>
                <w:color w:val="auto"/>
                <w:spacing w:val="0"/>
                <w:sz w:val="24"/>
                <w:szCs w:val="24"/>
                <w:highlight w:val="none"/>
              </w:rPr>
              <w:t xml:space="preserve"> </w:t>
            </w: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rPr>
              <w:t>年   月   日</w:t>
            </w:r>
          </w:p>
        </w:tc>
      </w:tr>
      <w:tr w14:paraId="7CF48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094" w:type="dxa"/>
            <w:gridSpan w:val="3"/>
            <w:noWrap w:val="0"/>
            <w:vAlign w:val="top"/>
          </w:tcPr>
          <w:p w14:paraId="6DE3D80E">
            <w:pPr>
              <w:pStyle w:val="12"/>
              <w:keepNext w:val="0"/>
              <w:keepLines w:val="0"/>
              <w:pageBreakBefore w:val="0"/>
              <w:widowControl w:val="0"/>
              <w:kinsoku/>
              <w:wordWrap/>
              <w:overflowPunct/>
              <w:topLinePunct w:val="0"/>
              <w:bidi w:val="0"/>
              <w:adjustRightInd/>
              <w:snapToGrid/>
              <w:spacing w:line="500" w:lineRule="exact"/>
              <w:ind w:left="0" w:leftChars="0" w:right="0" w:rightChars="0"/>
              <w:jc w:val="both"/>
              <w:textAlignment w:val="auto"/>
              <w:rPr>
                <w:rFonts w:hint="eastAsia" w:ascii="黑体" w:hAnsi="黑体" w:eastAsia="黑体" w:cs="黑体"/>
                <w:b w:val="0"/>
                <w:bCs w:val="0"/>
                <w:color w:val="auto"/>
                <w:spacing w:val="0"/>
                <w:sz w:val="24"/>
                <w:szCs w:val="24"/>
                <w:highlight w:val="none"/>
                <w:lang w:eastAsia="zh-CN"/>
              </w:rPr>
            </w:pPr>
            <w:r>
              <w:rPr>
                <w:rFonts w:hint="eastAsia" w:ascii="黑体" w:hAnsi="黑体" w:eastAsia="黑体" w:cs="黑体"/>
                <w:b w:val="0"/>
                <w:bCs w:val="0"/>
                <w:color w:val="auto"/>
                <w:spacing w:val="0"/>
                <w:sz w:val="24"/>
                <w:szCs w:val="24"/>
                <w:highlight w:val="none"/>
                <w:lang w:eastAsia="zh-CN"/>
              </w:rPr>
              <w:t>建设单位项目组长意见：</w:t>
            </w:r>
          </w:p>
          <w:p w14:paraId="727F6379">
            <w:pPr>
              <w:keepNext w:val="0"/>
              <w:keepLines w:val="0"/>
              <w:pageBreakBefore w:val="0"/>
              <w:widowControl w:val="0"/>
              <w:kinsoku/>
              <w:wordWrap/>
              <w:overflowPunct/>
              <w:topLinePunct w:val="0"/>
              <w:bidi w:val="0"/>
              <w:adjustRightInd/>
              <w:snapToGrid/>
              <w:spacing w:line="500" w:lineRule="exact"/>
              <w:ind w:left="0" w:leftChars="0" w:right="0" w:rightChars="0"/>
              <w:jc w:val="both"/>
              <w:textAlignment w:val="auto"/>
              <w:rPr>
                <w:rFonts w:hint="eastAsia" w:ascii="宋体" w:hAnsi="宋体" w:cs="宋体"/>
                <w:b/>
                <w:bCs/>
                <w:color w:val="auto"/>
                <w:spacing w:val="0"/>
                <w:sz w:val="24"/>
                <w:szCs w:val="24"/>
                <w:highlight w:val="none"/>
                <w:lang w:val="en-US" w:eastAsia="zh-CN"/>
              </w:rPr>
            </w:pPr>
          </w:p>
          <w:p w14:paraId="639B4A3E">
            <w:pPr>
              <w:pStyle w:val="7"/>
              <w:keepNext w:val="0"/>
              <w:keepLines w:val="0"/>
              <w:pageBreakBefore w:val="0"/>
              <w:widowControl w:val="0"/>
              <w:kinsoku/>
              <w:overflowPunct/>
              <w:topLinePunct w:val="0"/>
              <w:bidi w:val="0"/>
              <w:snapToGrid/>
              <w:spacing w:line="500" w:lineRule="exact"/>
              <w:ind w:left="0" w:leftChars="0" w:right="0" w:rightChars="0" w:firstLine="0" w:firstLineChars="0"/>
              <w:textAlignment w:val="auto"/>
              <w:rPr>
                <w:rFonts w:hint="eastAsia"/>
                <w:color w:val="auto"/>
                <w:highlight w:val="none"/>
                <w:lang w:val="en-US" w:eastAsia="zh-CN"/>
              </w:rPr>
            </w:pPr>
          </w:p>
          <w:p w14:paraId="0520E5CD">
            <w:pPr>
              <w:keepNext w:val="0"/>
              <w:keepLines w:val="0"/>
              <w:pageBreakBefore w:val="0"/>
              <w:widowControl w:val="0"/>
              <w:kinsoku/>
              <w:wordWrap/>
              <w:overflowPunct/>
              <w:topLinePunct w:val="0"/>
              <w:bidi w:val="0"/>
              <w:adjustRightInd/>
              <w:snapToGrid/>
              <w:spacing w:line="500" w:lineRule="exact"/>
              <w:ind w:left="0" w:leftChars="0" w:right="0" w:rightChars="0"/>
              <w:jc w:val="left"/>
              <w:textAlignment w:val="auto"/>
              <w:rPr>
                <w:rFonts w:hint="eastAsia" w:ascii="楷体_GB2312" w:hAnsi="楷体_GB2312" w:eastAsia="楷体_GB2312" w:cs="楷体_GB2312"/>
                <w:b w:val="0"/>
                <w:bCs w:val="0"/>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签字：</w:t>
            </w:r>
          </w:p>
          <w:p w14:paraId="63A3E7B7">
            <w:pPr>
              <w:keepNext w:val="0"/>
              <w:keepLines w:val="0"/>
              <w:pageBreakBefore w:val="0"/>
              <w:widowControl w:val="0"/>
              <w:kinsoku/>
              <w:wordWrap/>
              <w:overflowPunct/>
              <w:topLinePunct w:val="0"/>
              <w:bidi w:val="0"/>
              <w:adjustRightInd/>
              <w:snapToGrid/>
              <w:spacing w:line="500" w:lineRule="exact"/>
              <w:ind w:left="0" w:leftChars="0" w:right="0" w:rightChars="0"/>
              <w:jc w:val="right"/>
              <w:textAlignment w:val="auto"/>
              <w:rPr>
                <w:rFonts w:hint="eastAsia" w:ascii="宋体" w:hAnsi="宋体" w:eastAsia="宋体" w:cs="宋体"/>
                <w:b/>
                <w:bCs/>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rPr>
              <w:t>年   月   日</w:t>
            </w:r>
          </w:p>
        </w:tc>
        <w:tc>
          <w:tcPr>
            <w:tcW w:w="3327" w:type="dxa"/>
            <w:gridSpan w:val="2"/>
            <w:noWrap w:val="0"/>
            <w:vAlign w:val="top"/>
          </w:tcPr>
          <w:p w14:paraId="537F1BB7">
            <w:pPr>
              <w:pStyle w:val="12"/>
              <w:keepNext w:val="0"/>
              <w:keepLines w:val="0"/>
              <w:pageBreakBefore w:val="0"/>
              <w:widowControl w:val="0"/>
              <w:kinsoku/>
              <w:wordWrap/>
              <w:overflowPunct/>
              <w:topLinePunct w:val="0"/>
              <w:bidi w:val="0"/>
              <w:adjustRightInd/>
              <w:snapToGrid/>
              <w:spacing w:line="500" w:lineRule="exact"/>
              <w:ind w:left="0" w:leftChars="0" w:right="0" w:rightChars="0"/>
              <w:jc w:val="both"/>
              <w:textAlignment w:val="auto"/>
              <w:rPr>
                <w:rFonts w:hint="default" w:ascii="宋体" w:hAnsi="宋体" w:eastAsia="宋体" w:cs="宋体"/>
                <w:b/>
                <w:bCs/>
                <w:color w:val="auto"/>
                <w:spacing w:val="0"/>
                <w:sz w:val="24"/>
                <w:szCs w:val="24"/>
                <w:highlight w:val="none"/>
                <w:lang w:val="en-US" w:eastAsia="zh-CN"/>
              </w:rPr>
            </w:pPr>
            <w:r>
              <w:rPr>
                <w:rFonts w:hint="eastAsia" w:ascii="黑体" w:hAnsi="黑体" w:eastAsia="黑体" w:cs="黑体"/>
                <w:b w:val="0"/>
                <w:bCs w:val="0"/>
                <w:color w:val="auto"/>
                <w:spacing w:val="0"/>
                <w:sz w:val="24"/>
                <w:szCs w:val="24"/>
                <w:highlight w:val="none"/>
                <w:lang w:eastAsia="zh-CN"/>
              </w:rPr>
              <w:t>建设单位工程技术科意见：</w:t>
            </w:r>
            <w:r>
              <w:rPr>
                <w:rFonts w:hint="eastAsia" w:ascii="宋体" w:hAnsi="宋体" w:eastAsia="宋体" w:cs="宋体"/>
                <w:b/>
                <w:bCs/>
                <w:color w:val="auto"/>
                <w:spacing w:val="0"/>
                <w:sz w:val="24"/>
                <w:szCs w:val="24"/>
                <w:highlight w:val="none"/>
                <w:lang w:val="en-US" w:eastAsia="zh-CN"/>
              </w:rPr>
              <w:t xml:space="preserve"> </w:t>
            </w:r>
          </w:p>
          <w:p w14:paraId="5FBA25D6">
            <w:pPr>
              <w:keepNext w:val="0"/>
              <w:keepLines w:val="0"/>
              <w:pageBreakBefore w:val="0"/>
              <w:widowControl w:val="0"/>
              <w:kinsoku/>
              <w:wordWrap/>
              <w:overflowPunct/>
              <w:topLinePunct w:val="0"/>
              <w:bidi w:val="0"/>
              <w:adjustRightInd/>
              <w:snapToGrid/>
              <w:spacing w:line="500" w:lineRule="exact"/>
              <w:ind w:left="0" w:leftChars="0" w:right="0" w:rightChars="0"/>
              <w:jc w:val="both"/>
              <w:textAlignment w:val="auto"/>
              <w:rPr>
                <w:rFonts w:hint="eastAsia" w:ascii="宋体" w:hAnsi="宋体" w:cs="宋体"/>
                <w:b/>
                <w:bCs/>
                <w:color w:val="auto"/>
                <w:spacing w:val="0"/>
                <w:sz w:val="24"/>
                <w:szCs w:val="24"/>
                <w:highlight w:val="none"/>
                <w:lang w:val="en-US" w:eastAsia="zh-CN"/>
              </w:rPr>
            </w:pPr>
          </w:p>
          <w:p w14:paraId="0246763C">
            <w:pPr>
              <w:keepNext w:val="0"/>
              <w:keepLines w:val="0"/>
              <w:pageBreakBefore w:val="0"/>
              <w:widowControl w:val="0"/>
              <w:kinsoku/>
              <w:wordWrap/>
              <w:overflowPunct/>
              <w:topLinePunct w:val="0"/>
              <w:bidi w:val="0"/>
              <w:adjustRightInd/>
              <w:snapToGrid/>
              <w:spacing w:line="500" w:lineRule="exact"/>
              <w:ind w:left="0" w:leftChars="0" w:right="0" w:rightChars="0"/>
              <w:jc w:val="right"/>
              <w:textAlignment w:val="auto"/>
              <w:rPr>
                <w:rFonts w:hint="eastAsia" w:ascii="宋体" w:hAnsi="宋体" w:cs="宋体"/>
                <w:b/>
                <w:bCs/>
                <w:color w:val="auto"/>
                <w:spacing w:val="0"/>
                <w:sz w:val="24"/>
                <w:szCs w:val="24"/>
                <w:highlight w:val="none"/>
                <w:lang w:val="en-US" w:eastAsia="zh-CN"/>
              </w:rPr>
            </w:pPr>
            <w:r>
              <w:rPr>
                <w:rFonts w:hint="eastAsia" w:ascii="宋体" w:hAnsi="宋体" w:cs="宋体"/>
                <w:b/>
                <w:bCs/>
                <w:color w:val="auto"/>
                <w:spacing w:val="0"/>
                <w:sz w:val="24"/>
                <w:szCs w:val="24"/>
                <w:highlight w:val="none"/>
                <w:lang w:val="en-US" w:eastAsia="zh-CN"/>
              </w:rPr>
              <w:t xml:space="preserve">                         </w:t>
            </w:r>
          </w:p>
          <w:p w14:paraId="7A36F526">
            <w:pPr>
              <w:keepNext w:val="0"/>
              <w:keepLines w:val="0"/>
              <w:pageBreakBefore w:val="0"/>
              <w:widowControl w:val="0"/>
              <w:kinsoku/>
              <w:wordWrap/>
              <w:overflowPunct/>
              <w:topLinePunct w:val="0"/>
              <w:bidi w:val="0"/>
              <w:adjustRightInd/>
              <w:snapToGrid/>
              <w:spacing w:line="500" w:lineRule="exact"/>
              <w:ind w:left="0" w:leftChars="0" w:right="0" w:rightChars="0"/>
              <w:jc w:val="left"/>
              <w:textAlignment w:val="auto"/>
              <w:rPr>
                <w:rFonts w:hint="eastAsia" w:ascii="楷体_GB2312" w:hAnsi="楷体_GB2312" w:eastAsia="楷体_GB2312" w:cs="楷体_GB2312"/>
                <w:b w:val="0"/>
                <w:bCs w:val="0"/>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签字：</w:t>
            </w:r>
          </w:p>
          <w:p w14:paraId="51F94048">
            <w:pPr>
              <w:keepNext w:val="0"/>
              <w:keepLines w:val="0"/>
              <w:pageBreakBefore w:val="0"/>
              <w:widowControl w:val="0"/>
              <w:kinsoku/>
              <w:wordWrap/>
              <w:overflowPunct/>
              <w:topLinePunct w:val="0"/>
              <w:bidi w:val="0"/>
              <w:adjustRightInd/>
              <w:snapToGrid/>
              <w:spacing w:line="500" w:lineRule="exact"/>
              <w:ind w:left="0" w:leftChars="0" w:right="0" w:rightChars="0"/>
              <w:jc w:val="left"/>
              <w:textAlignment w:val="auto"/>
              <w:rPr>
                <w:rFonts w:hint="eastAsia" w:ascii="楷体_GB2312" w:hAnsi="楷体_GB2312" w:eastAsia="楷体_GB2312" w:cs="楷体_GB2312"/>
                <w:b w:val="0"/>
                <w:bCs w:val="0"/>
                <w:color w:val="auto"/>
                <w:spacing w:val="0"/>
                <w:sz w:val="24"/>
                <w:szCs w:val="24"/>
                <w:highlight w:val="none"/>
                <w:lang w:val="en-US" w:eastAsia="zh-CN"/>
              </w:rPr>
            </w:pPr>
          </w:p>
          <w:p w14:paraId="4BB9126F">
            <w:pPr>
              <w:keepNext w:val="0"/>
              <w:keepLines w:val="0"/>
              <w:pageBreakBefore w:val="0"/>
              <w:widowControl w:val="0"/>
              <w:kinsoku/>
              <w:wordWrap/>
              <w:overflowPunct/>
              <w:topLinePunct w:val="0"/>
              <w:bidi w:val="0"/>
              <w:adjustRightInd/>
              <w:snapToGrid/>
              <w:spacing w:line="500" w:lineRule="exact"/>
              <w:ind w:left="0" w:leftChars="0" w:right="0" w:rightChars="0"/>
              <w:jc w:val="right"/>
              <w:textAlignment w:val="auto"/>
              <w:rPr>
                <w:rFonts w:hint="eastAsia" w:ascii="宋体" w:hAnsi="宋体" w:eastAsia="宋体" w:cs="宋体"/>
                <w:b/>
                <w:bCs/>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年   月   日</w:t>
            </w:r>
          </w:p>
        </w:tc>
        <w:tc>
          <w:tcPr>
            <w:tcW w:w="3112" w:type="dxa"/>
            <w:noWrap w:val="0"/>
            <w:vAlign w:val="top"/>
          </w:tcPr>
          <w:p w14:paraId="283579FA">
            <w:pPr>
              <w:keepNext w:val="0"/>
              <w:keepLines w:val="0"/>
              <w:pageBreakBefore w:val="0"/>
              <w:widowControl w:val="0"/>
              <w:kinsoku/>
              <w:wordWrap/>
              <w:overflowPunct/>
              <w:topLinePunct w:val="0"/>
              <w:bidi w:val="0"/>
              <w:adjustRightInd/>
              <w:snapToGrid/>
              <w:spacing w:line="500" w:lineRule="exact"/>
              <w:ind w:left="0" w:leftChars="0" w:right="0" w:rightChars="0"/>
              <w:jc w:val="both"/>
              <w:textAlignment w:val="auto"/>
              <w:rPr>
                <w:rFonts w:hint="eastAsia" w:ascii="宋体" w:hAnsi="宋体" w:cs="宋体"/>
                <w:b/>
                <w:bCs/>
                <w:color w:val="auto"/>
                <w:spacing w:val="0"/>
                <w:sz w:val="24"/>
                <w:szCs w:val="24"/>
                <w:highlight w:val="none"/>
                <w:lang w:val="en-US" w:eastAsia="zh-CN"/>
              </w:rPr>
            </w:pPr>
            <w:r>
              <w:rPr>
                <w:rFonts w:hint="eastAsia" w:ascii="黑体" w:hAnsi="黑体" w:eastAsia="黑体" w:cs="黑体"/>
                <w:b w:val="0"/>
                <w:bCs w:val="0"/>
                <w:color w:val="auto"/>
                <w:spacing w:val="0"/>
                <w:kern w:val="0"/>
                <w:sz w:val="24"/>
                <w:szCs w:val="24"/>
                <w:highlight w:val="none"/>
                <w:lang w:val="en-US" w:eastAsia="zh-CN" w:bidi="ar-SA"/>
              </w:rPr>
              <w:t>建设单位分管领导意见：</w:t>
            </w:r>
            <w:r>
              <w:rPr>
                <w:rFonts w:hint="eastAsia" w:ascii="宋体" w:hAnsi="宋体" w:cs="宋体"/>
                <w:b/>
                <w:bCs/>
                <w:color w:val="auto"/>
                <w:spacing w:val="0"/>
                <w:sz w:val="24"/>
                <w:szCs w:val="24"/>
                <w:highlight w:val="none"/>
                <w:lang w:val="en-US" w:eastAsia="zh-CN"/>
              </w:rPr>
              <w:t xml:space="preserve">                         </w:t>
            </w:r>
          </w:p>
          <w:p w14:paraId="5C3BB863">
            <w:pPr>
              <w:keepNext w:val="0"/>
              <w:keepLines w:val="0"/>
              <w:pageBreakBefore w:val="0"/>
              <w:widowControl w:val="0"/>
              <w:kinsoku/>
              <w:wordWrap/>
              <w:overflowPunct/>
              <w:topLinePunct w:val="0"/>
              <w:bidi w:val="0"/>
              <w:adjustRightInd/>
              <w:snapToGrid/>
              <w:spacing w:line="500" w:lineRule="exact"/>
              <w:ind w:left="0" w:leftChars="0" w:right="0" w:rightChars="0"/>
              <w:jc w:val="both"/>
              <w:textAlignment w:val="auto"/>
              <w:rPr>
                <w:rFonts w:hint="eastAsia" w:ascii="宋体" w:hAnsi="宋体" w:cs="宋体"/>
                <w:b/>
                <w:bCs/>
                <w:color w:val="auto"/>
                <w:spacing w:val="0"/>
                <w:sz w:val="24"/>
                <w:szCs w:val="24"/>
                <w:highlight w:val="none"/>
                <w:lang w:val="en-US" w:eastAsia="zh-CN"/>
              </w:rPr>
            </w:pPr>
          </w:p>
          <w:p w14:paraId="511DAB8D">
            <w:pPr>
              <w:keepNext w:val="0"/>
              <w:keepLines w:val="0"/>
              <w:pageBreakBefore w:val="0"/>
              <w:widowControl w:val="0"/>
              <w:kinsoku/>
              <w:wordWrap w:val="0"/>
              <w:overflowPunct/>
              <w:topLinePunct w:val="0"/>
              <w:bidi w:val="0"/>
              <w:adjustRightInd/>
              <w:snapToGrid/>
              <w:spacing w:line="500" w:lineRule="exact"/>
              <w:ind w:left="0" w:leftChars="0" w:right="0" w:rightChars="0"/>
              <w:jc w:val="both"/>
              <w:textAlignment w:val="auto"/>
              <w:rPr>
                <w:rFonts w:hint="default" w:ascii="宋体" w:hAnsi="宋体" w:cs="宋体"/>
                <w:b/>
                <w:bCs/>
                <w:color w:val="auto"/>
                <w:spacing w:val="0"/>
                <w:sz w:val="24"/>
                <w:szCs w:val="24"/>
                <w:highlight w:val="none"/>
                <w:lang w:val="en-US" w:eastAsia="zh-CN"/>
              </w:rPr>
            </w:pPr>
            <w:r>
              <w:rPr>
                <w:rFonts w:hint="eastAsia" w:ascii="宋体" w:hAnsi="宋体" w:eastAsia="宋体" w:cs="宋体"/>
                <w:b/>
                <w:bCs/>
                <w:color w:val="auto"/>
                <w:spacing w:val="0"/>
                <w:sz w:val="24"/>
                <w:szCs w:val="24"/>
                <w:highlight w:val="none"/>
                <w:lang w:val="en-US" w:eastAsia="zh-CN"/>
              </w:rPr>
              <w:t xml:space="preserve">   </w:t>
            </w:r>
          </w:p>
          <w:p w14:paraId="1FD15AF6">
            <w:pPr>
              <w:keepNext w:val="0"/>
              <w:keepLines w:val="0"/>
              <w:pageBreakBefore w:val="0"/>
              <w:widowControl w:val="0"/>
              <w:kinsoku/>
              <w:wordWrap/>
              <w:overflowPunct/>
              <w:topLinePunct w:val="0"/>
              <w:bidi w:val="0"/>
              <w:adjustRightInd/>
              <w:snapToGrid/>
              <w:spacing w:line="500" w:lineRule="exact"/>
              <w:ind w:left="0" w:leftChars="0" w:right="0" w:rightChars="0"/>
              <w:jc w:val="left"/>
              <w:textAlignment w:val="auto"/>
              <w:rPr>
                <w:rFonts w:hint="eastAsia" w:ascii="楷体_GB2312" w:hAnsi="楷体_GB2312" w:eastAsia="楷体_GB2312" w:cs="楷体_GB2312"/>
                <w:b w:val="0"/>
                <w:bCs w:val="0"/>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 xml:space="preserve">签字 ：           （公章） </w:t>
            </w:r>
          </w:p>
          <w:p w14:paraId="4F21C771">
            <w:pPr>
              <w:keepNext w:val="0"/>
              <w:keepLines w:val="0"/>
              <w:pageBreakBefore w:val="0"/>
              <w:widowControl w:val="0"/>
              <w:kinsoku/>
              <w:wordWrap/>
              <w:overflowPunct/>
              <w:topLinePunct w:val="0"/>
              <w:bidi w:val="0"/>
              <w:adjustRightInd/>
              <w:snapToGrid/>
              <w:spacing w:line="500" w:lineRule="exact"/>
              <w:ind w:left="0" w:leftChars="0" w:right="0" w:rightChars="0"/>
              <w:jc w:val="left"/>
              <w:textAlignment w:val="auto"/>
              <w:rPr>
                <w:rFonts w:hint="eastAsia" w:ascii="楷体_GB2312" w:hAnsi="楷体_GB2312" w:eastAsia="楷体_GB2312" w:cs="楷体_GB2312"/>
                <w:b w:val="0"/>
                <w:bCs w:val="0"/>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 xml:space="preserve">   </w:t>
            </w:r>
          </w:p>
          <w:p w14:paraId="19668486">
            <w:pPr>
              <w:keepNext w:val="0"/>
              <w:keepLines w:val="0"/>
              <w:pageBreakBefore w:val="0"/>
              <w:widowControl w:val="0"/>
              <w:kinsoku/>
              <w:wordWrap/>
              <w:overflowPunct/>
              <w:topLinePunct w:val="0"/>
              <w:bidi w:val="0"/>
              <w:adjustRightInd/>
              <w:snapToGrid/>
              <w:spacing w:line="500" w:lineRule="exact"/>
              <w:ind w:left="0" w:leftChars="0" w:right="0" w:rightChars="0"/>
              <w:jc w:val="right"/>
              <w:textAlignment w:val="auto"/>
              <w:rPr>
                <w:rFonts w:hint="eastAsia" w:ascii="宋体" w:hAnsi="宋体" w:eastAsia="宋体" w:cs="宋体"/>
                <w:b/>
                <w:bCs/>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年   月   日</w:t>
            </w:r>
          </w:p>
        </w:tc>
      </w:tr>
    </w:tbl>
    <w:p w14:paraId="39E73C45">
      <w:pPr>
        <w:keepNext w:val="0"/>
        <w:keepLines w:val="0"/>
        <w:pageBreakBefore w:val="0"/>
        <w:widowControl w:val="0"/>
        <w:kinsoku/>
        <w:overflowPunct/>
        <w:topLinePunct w:val="0"/>
        <w:autoSpaceDE/>
        <w:autoSpaceDN/>
        <w:bidi w:val="0"/>
        <w:snapToGrid/>
        <w:spacing w:line="500" w:lineRule="exact"/>
        <w:ind w:left="0" w:leftChars="0" w:right="0" w:rightChars="0"/>
        <w:jc w:val="both"/>
        <w:textAlignment w:val="auto"/>
        <w:rPr>
          <w:rFonts w:hint="eastAsia" w:ascii="楷体_GB2312" w:hAnsi="楷体_GB2312" w:eastAsia="楷体_GB2312" w:cs="楷体_GB2312"/>
          <w:b w:val="0"/>
          <w:bCs w:val="0"/>
          <w:color w:val="auto"/>
          <w:spacing w:val="0"/>
          <w:sz w:val="18"/>
          <w:szCs w:val="18"/>
          <w:highlight w:val="none"/>
          <w:lang w:val="en-US" w:eastAsia="zh-CN"/>
        </w:rPr>
        <w:sectPr>
          <w:headerReference r:id="rId7" w:type="default"/>
          <w:footerReference r:id="rId8" w:type="default"/>
          <w:pgSz w:w="11906" w:h="16838"/>
          <w:pgMar w:top="1417" w:right="1474" w:bottom="1417" w:left="1587" w:header="0" w:footer="0" w:gutter="0"/>
          <w:pgBorders>
            <w:top w:val="none" w:sz="0" w:space="0"/>
            <w:left w:val="none" w:sz="0" w:space="0"/>
            <w:bottom w:val="none" w:sz="0" w:space="0"/>
            <w:right w:val="none" w:sz="0" w:space="0"/>
          </w:pgBorders>
          <w:pgNumType w:fmt="numberInDash"/>
          <w:cols w:space="720" w:num="1"/>
          <w:rtlGutter w:val="0"/>
          <w:docGrid w:type="lines" w:linePitch="312" w:charSpace="0"/>
        </w:sectPr>
      </w:pPr>
      <w:r>
        <w:rPr>
          <w:rFonts w:hint="eastAsia" w:ascii="楷体_GB2312" w:hAnsi="楷体_GB2312" w:eastAsia="楷体_GB2312" w:cs="楷体_GB2312"/>
          <w:b w:val="0"/>
          <w:bCs w:val="0"/>
          <w:color w:val="auto"/>
          <w:spacing w:val="0"/>
          <w:sz w:val="18"/>
          <w:szCs w:val="18"/>
          <w:highlight w:val="none"/>
          <w:lang w:val="en-US" w:eastAsia="zh-CN"/>
        </w:rPr>
        <w:t>注：表格一式五份，施工单位一份，监理单位一份，造价咨询单位一份，设计单位一份，工程预决算科一份。</w:t>
      </w:r>
    </w:p>
    <w:p w14:paraId="5111A684">
      <w:pPr>
        <w:keepNext w:val="0"/>
        <w:keepLines w:val="0"/>
        <w:pageBreakBefore w:val="0"/>
        <w:widowControl/>
        <w:kinsoku/>
        <w:overflowPunct/>
        <w:topLinePunct w:val="0"/>
        <w:autoSpaceDE/>
        <w:autoSpaceDN/>
        <w:bidi w:val="0"/>
        <w:snapToGrid/>
        <w:spacing w:line="560" w:lineRule="exact"/>
        <w:ind w:left="0" w:leftChars="0" w:right="0" w:rightChars="0"/>
        <w:jc w:val="left"/>
        <w:textAlignment w:val="auto"/>
        <w:outlineLvl w:val="9"/>
        <w:rPr>
          <w:rFonts w:hint="eastAsia" w:ascii="黑体" w:hAnsi="黑体" w:eastAsia="黑体" w:cs="黑体"/>
          <w:b w:val="0"/>
          <w:bCs w:val="0"/>
          <w:i w:val="0"/>
          <w:iCs w:val="0"/>
          <w:color w:val="auto"/>
          <w:spacing w:val="0"/>
          <w:sz w:val="28"/>
          <w:szCs w:val="28"/>
          <w:highlight w:val="none"/>
          <w:lang w:eastAsia="zh-CN"/>
        </w:rPr>
      </w:pPr>
      <w:r>
        <w:rPr>
          <w:rFonts w:hint="eastAsia" w:ascii="黑体" w:hAnsi="黑体" w:eastAsia="黑体" w:cs="黑体"/>
          <w:b w:val="0"/>
          <w:bCs w:val="0"/>
          <w:i w:val="0"/>
          <w:iCs w:val="0"/>
          <w:color w:val="auto"/>
          <w:spacing w:val="0"/>
          <w:sz w:val="28"/>
          <w:szCs w:val="28"/>
          <w:highlight w:val="none"/>
          <w:lang w:eastAsia="zh-CN"/>
        </w:rPr>
        <w:t>附件</w:t>
      </w:r>
      <w:r>
        <w:rPr>
          <w:rFonts w:hint="eastAsia" w:ascii="黑体" w:hAnsi="黑体" w:eastAsia="黑体" w:cs="黑体"/>
          <w:b w:val="0"/>
          <w:bCs w:val="0"/>
          <w:i w:val="0"/>
          <w:iCs w:val="0"/>
          <w:color w:val="auto"/>
          <w:spacing w:val="0"/>
          <w:sz w:val="28"/>
          <w:szCs w:val="28"/>
          <w:highlight w:val="none"/>
          <w:lang w:val="en-US" w:eastAsia="zh-CN"/>
        </w:rPr>
        <w:t>5</w:t>
      </w:r>
    </w:p>
    <w:p w14:paraId="1FA14A1C">
      <w:pPr>
        <w:keepNext w:val="0"/>
        <w:keepLines w:val="0"/>
        <w:pageBreakBefore w:val="0"/>
        <w:widowControl/>
        <w:tabs>
          <w:tab w:val="left" w:pos="180"/>
        </w:tabs>
        <w:kinsoku/>
        <w:overflowPunct/>
        <w:topLinePunct w:val="0"/>
        <w:autoSpaceDE/>
        <w:autoSpaceDN/>
        <w:bidi w:val="0"/>
        <w:snapToGrid/>
        <w:spacing w:line="500" w:lineRule="exact"/>
        <w:ind w:left="0" w:leftChars="0" w:right="0" w:rightChars="0"/>
        <w:jc w:val="center"/>
        <w:textAlignment w:val="auto"/>
        <w:outlineLvl w:val="9"/>
        <w:rPr>
          <w:rFonts w:hint="eastAsia" w:ascii="宋体" w:hAnsi="宋体" w:eastAsia="宋体" w:cs="宋体"/>
          <w:b/>
          <w:bCs/>
          <w:color w:val="auto"/>
          <w:spacing w:val="0"/>
          <w:sz w:val="24"/>
          <w:szCs w:val="24"/>
          <w:highlight w:val="none"/>
          <w:lang w:eastAsia="zh-CN"/>
        </w:rPr>
      </w:pPr>
      <w:r>
        <w:rPr>
          <w:rFonts w:hint="eastAsia" w:ascii="方正小标宋简体" w:hAnsi="方正小标宋简体" w:eastAsia="方正小标宋简体" w:cs="方正小标宋简体"/>
          <w:b w:val="0"/>
          <w:bCs w:val="0"/>
          <w:color w:val="auto"/>
          <w:spacing w:val="0"/>
          <w:sz w:val="36"/>
          <w:szCs w:val="36"/>
          <w:highlight w:val="none"/>
          <w:lang w:eastAsia="zh-CN"/>
        </w:rPr>
        <w:t>现场签证单</w:t>
      </w:r>
    </w:p>
    <w:p w14:paraId="08C060E6">
      <w:pPr>
        <w:keepNext w:val="0"/>
        <w:keepLines w:val="0"/>
        <w:pageBreakBefore w:val="0"/>
        <w:widowControl/>
        <w:tabs>
          <w:tab w:val="left" w:pos="180"/>
        </w:tabs>
        <w:kinsoku/>
        <w:wordWrap/>
        <w:overflowPunct/>
        <w:topLinePunct w:val="0"/>
        <w:autoSpaceDE/>
        <w:autoSpaceDN/>
        <w:bidi w:val="0"/>
        <w:adjustRightInd/>
        <w:snapToGrid/>
        <w:spacing w:line="500" w:lineRule="exact"/>
        <w:ind w:left="0" w:leftChars="0" w:right="0" w:rightChars="0"/>
        <w:jc w:val="left"/>
        <w:textAlignment w:val="auto"/>
        <w:outlineLvl w:val="9"/>
        <w:rPr>
          <w:rFonts w:hint="eastAsia" w:ascii="楷体_GB2312" w:hAnsi="楷体_GB2312" w:eastAsia="楷体_GB2312" w:cs="楷体_GB2312"/>
          <w:b w:val="0"/>
          <w:bCs w:val="0"/>
          <w:color w:val="auto"/>
          <w:spacing w:val="0"/>
          <w:highlight w:val="none"/>
          <w:u w:val="double"/>
        </w:rPr>
      </w:pPr>
      <w:r>
        <w:rPr>
          <w:rFonts w:hint="eastAsia" w:ascii="黑体" w:hAnsi="黑体" w:eastAsia="黑体" w:cs="黑体"/>
          <w:b w:val="0"/>
          <w:bCs w:val="0"/>
          <w:color w:val="auto"/>
          <w:spacing w:val="0"/>
          <w:sz w:val="24"/>
          <w:szCs w:val="24"/>
          <w:highlight w:val="none"/>
          <w:lang w:val="en-US" w:eastAsia="zh-CN"/>
        </w:rPr>
        <w:t xml:space="preserve">  </w:t>
      </w:r>
      <w:r>
        <w:rPr>
          <w:rFonts w:hint="eastAsia" w:ascii="黑体" w:hAnsi="黑体" w:eastAsia="黑体" w:cs="黑体"/>
          <w:b w:val="0"/>
          <w:bCs w:val="0"/>
          <w:color w:val="auto"/>
          <w:spacing w:val="0"/>
          <w:sz w:val="24"/>
          <w:szCs w:val="24"/>
          <w:highlight w:val="none"/>
          <w:lang w:eastAsia="zh-CN"/>
        </w:rPr>
        <w:t>签证编号：</w:t>
      </w:r>
      <w:r>
        <w:rPr>
          <w:rFonts w:hint="eastAsia" w:ascii="仿宋_GB2312" w:hAnsi="仿宋_GB2312" w:eastAsia="仿宋_GB2312" w:cs="仿宋_GB2312"/>
          <w:b w:val="0"/>
          <w:bCs w:val="0"/>
          <w:color w:val="auto"/>
          <w:spacing w:val="0"/>
          <w:sz w:val="18"/>
          <w:szCs w:val="18"/>
          <w:highlight w:val="none"/>
          <w:lang w:val="en-US" w:eastAsia="zh-CN"/>
        </w:rPr>
        <w:t>（连续编号+专业+专业序号）</w:t>
      </w:r>
      <w:r>
        <w:rPr>
          <w:rFonts w:hint="eastAsia" w:ascii="宋体" w:hAnsi="宋体" w:eastAsia="宋体" w:cs="宋体"/>
          <w:b/>
          <w:bCs/>
          <w:color w:val="auto"/>
          <w:spacing w:val="0"/>
          <w:highlight w:val="none"/>
          <w:lang w:val="en-US" w:eastAsia="zh-CN"/>
        </w:rPr>
        <w:t xml:space="preserve">          </w:t>
      </w:r>
      <w:r>
        <w:rPr>
          <w:rFonts w:hint="eastAsia" w:ascii="宋体" w:hAnsi="宋体" w:cs="宋体"/>
          <w:b/>
          <w:bCs/>
          <w:color w:val="auto"/>
          <w:spacing w:val="0"/>
          <w:highlight w:val="none"/>
          <w:lang w:val="en-US" w:eastAsia="zh-CN"/>
        </w:rPr>
        <w:t xml:space="preserve"> </w:t>
      </w:r>
      <w:r>
        <w:rPr>
          <w:rFonts w:hint="eastAsia" w:ascii="宋体" w:hAnsi="宋体" w:eastAsia="宋体" w:cs="宋体"/>
          <w:b/>
          <w:bCs/>
          <w:color w:val="auto"/>
          <w:spacing w:val="0"/>
          <w:highlight w:val="none"/>
          <w:lang w:val="en-US" w:eastAsia="zh-CN"/>
        </w:rPr>
        <w:t xml:space="preserve"> </w:t>
      </w:r>
      <w:r>
        <w:rPr>
          <w:rFonts w:hint="eastAsia" w:ascii="宋体" w:hAnsi="宋体" w:eastAsia="宋体" w:cs="宋体"/>
          <w:b/>
          <w:bCs/>
          <w:color w:val="auto"/>
          <w:spacing w:val="0"/>
          <w:sz w:val="24"/>
          <w:szCs w:val="24"/>
          <w:highlight w:val="none"/>
          <w:lang w:val="en-US" w:eastAsia="zh-CN"/>
        </w:rPr>
        <w:t xml:space="preserve">  </w:t>
      </w:r>
      <w:r>
        <w:rPr>
          <w:rFonts w:hint="eastAsia" w:ascii="宋体" w:hAnsi="宋体" w:cs="宋体"/>
          <w:b/>
          <w:bCs/>
          <w:color w:val="auto"/>
          <w:spacing w:val="0"/>
          <w:sz w:val="24"/>
          <w:szCs w:val="24"/>
          <w:highlight w:val="none"/>
          <w:lang w:val="en-US" w:eastAsia="zh-CN"/>
        </w:rPr>
        <w:t xml:space="preserve">             </w:t>
      </w:r>
      <w:r>
        <w:rPr>
          <w:rFonts w:hint="eastAsia" w:ascii="宋体" w:hAnsi="宋体" w:eastAsia="宋体" w:cs="宋体"/>
          <w:b/>
          <w:bCs/>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rPr>
        <w:t>第    页（共</w:t>
      </w: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rPr>
        <w:t xml:space="preserve">  页）</w:t>
      </w:r>
    </w:p>
    <w:tbl>
      <w:tblPr>
        <w:tblStyle w:val="8"/>
        <w:tblpPr w:leftFromText="180" w:rightFromText="180" w:vertAnchor="text" w:horzAnchor="page" w:tblpXSpec="center" w:tblpY="131"/>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1"/>
        <w:gridCol w:w="1541"/>
        <w:gridCol w:w="893"/>
        <w:gridCol w:w="1425"/>
        <w:gridCol w:w="669"/>
        <w:gridCol w:w="545"/>
        <w:gridCol w:w="3224"/>
      </w:tblGrid>
      <w:tr w14:paraId="7588E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231" w:type="dxa"/>
            <w:noWrap w:val="0"/>
            <w:vAlign w:val="center"/>
          </w:tcPr>
          <w:p w14:paraId="50C8BF43">
            <w:pPr>
              <w:keepNext w:val="0"/>
              <w:keepLines w:val="0"/>
              <w:pageBreakBefore w:val="0"/>
              <w:widowControl/>
              <w:tabs>
                <w:tab w:val="left" w:pos="180"/>
              </w:tabs>
              <w:kinsoku/>
              <w:wordWrap/>
              <w:overflowPunct/>
              <w:topLinePunct w:val="0"/>
              <w:autoSpaceDE/>
              <w:autoSpaceDN/>
              <w:bidi w:val="0"/>
              <w:adjustRightInd/>
              <w:snapToGrid/>
              <w:spacing w:line="500" w:lineRule="exact"/>
              <w:ind w:left="0" w:leftChars="0" w:right="0" w:rightChars="0"/>
              <w:jc w:val="center"/>
              <w:textAlignment w:val="auto"/>
              <w:outlineLvl w:val="9"/>
              <w:rPr>
                <w:rFonts w:hint="eastAsia" w:ascii="黑体" w:hAnsi="黑体" w:eastAsia="黑体" w:cs="黑体"/>
                <w:b w:val="0"/>
                <w:bCs w:val="0"/>
                <w:color w:val="auto"/>
                <w:spacing w:val="0"/>
                <w:sz w:val="24"/>
                <w:szCs w:val="24"/>
                <w:highlight w:val="none"/>
              </w:rPr>
            </w:pPr>
            <w:r>
              <w:rPr>
                <w:rFonts w:hint="eastAsia" w:ascii="黑体" w:hAnsi="黑体" w:eastAsia="黑体" w:cs="黑体"/>
                <w:b w:val="0"/>
                <w:bCs w:val="0"/>
                <w:color w:val="auto"/>
                <w:spacing w:val="0"/>
                <w:sz w:val="24"/>
                <w:szCs w:val="24"/>
                <w:highlight w:val="none"/>
              </w:rPr>
              <w:t>工程名称</w:t>
            </w:r>
          </w:p>
        </w:tc>
        <w:tc>
          <w:tcPr>
            <w:tcW w:w="3859" w:type="dxa"/>
            <w:gridSpan w:val="3"/>
            <w:noWrap w:val="0"/>
            <w:vAlign w:val="center"/>
          </w:tcPr>
          <w:p w14:paraId="40E88224">
            <w:pPr>
              <w:keepNext w:val="0"/>
              <w:keepLines w:val="0"/>
              <w:pageBreakBefore w:val="0"/>
              <w:widowControl/>
              <w:tabs>
                <w:tab w:val="left" w:pos="180"/>
              </w:tabs>
              <w:kinsoku/>
              <w:wordWrap/>
              <w:overflowPunct/>
              <w:topLinePunct w:val="0"/>
              <w:autoSpaceDE/>
              <w:autoSpaceDN/>
              <w:bidi w:val="0"/>
              <w:adjustRightInd/>
              <w:snapToGrid/>
              <w:spacing w:line="500" w:lineRule="exact"/>
              <w:ind w:left="0" w:leftChars="0" w:right="0" w:rightChars="0"/>
              <w:jc w:val="center"/>
              <w:textAlignment w:val="auto"/>
              <w:outlineLvl w:val="9"/>
              <w:rPr>
                <w:rFonts w:hint="eastAsia" w:ascii="黑体" w:hAnsi="黑体" w:eastAsia="黑体" w:cs="黑体"/>
                <w:b w:val="0"/>
                <w:bCs w:val="0"/>
                <w:color w:val="auto"/>
                <w:spacing w:val="0"/>
                <w:sz w:val="24"/>
                <w:szCs w:val="24"/>
                <w:highlight w:val="none"/>
              </w:rPr>
            </w:pPr>
          </w:p>
        </w:tc>
        <w:tc>
          <w:tcPr>
            <w:tcW w:w="1214" w:type="dxa"/>
            <w:gridSpan w:val="2"/>
            <w:noWrap w:val="0"/>
            <w:vAlign w:val="center"/>
          </w:tcPr>
          <w:p w14:paraId="2DA412E5">
            <w:pPr>
              <w:keepNext w:val="0"/>
              <w:keepLines w:val="0"/>
              <w:pageBreakBefore w:val="0"/>
              <w:widowControl/>
              <w:tabs>
                <w:tab w:val="left" w:pos="180"/>
              </w:tabs>
              <w:kinsoku/>
              <w:wordWrap/>
              <w:overflowPunct/>
              <w:topLinePunct w:val="0"/>
              <w:autoSpaceDE/>
              <w:autoSpaceDN/>
              <w:bidi w:val="0"/>
              <w:adjustRightInd/>
              <w:snapToGrid/>
              <w:spacing w:line="500" w:lineRule="exact"/>
              <w:ind w:left="0" w:leftChars="0" w:right="0" w:rightChars="0"/>
              <w:jc w:val="center"/>
              <w:textAlignment w:val="auto"/>
              <w:outlineLvl w:val="9"/>
              <w:rPr>
                <w:rFonts w:hint="eastAsia" w:ascii="黑体" w:hAnsi="黑体" w:eastAsia="黑体" w:cs="黑体"/>
                <w:b w:val="0"/>
                <w:bCs w:val="0"/>
                <w:color w:val="auto"/>
                <w:spacing w:val="0"/>
                <w:sz w:val="24"/>
                <w:szCs w:val="24"/>
                <w:highlight w:val="none"/>
              </w:rPr>
            </w:pPr>
            <w:r>
              <w:rPr>
                <w:rFonts w:hint="eastAsia" w:ascii="黑体" w:hAnsi="黑体" w:eastAsia="黑体" w:cs="黑体"/>
                <w:b w:val="0"/>
                <w:bCs w:val="0"/>
                <w:color w:val="auto"/>
                <w:spacing w:val="0"/>
                <w:sz w:val="24"/>
                <w:szCs w:val="24"/>
                <w:highlight w:val="none"/>
                <w:lang w:eastAsia="zh-CN"/>
              </w:rPr>
              <w:t>提出</w:t>
            </w:r>
            <w:r>
              <w:rPr>
                <w:rFonts w:hint="eastAsia" w:ascii="黑体" w:hAnsi="黑体" w:eastAsia="黑体" w:cs="黑体"/>
                <w:b w:val="0"/>
                <w:bCs w:val="0"/>
                <w:color w:val="auto"/>
                <w:spacing w:val="0"/>
                <w:sz w:val="24"/>
                <w:szCs w:val="24"/>
                <w:highlight w:val="none"/>
              </w:rPr>
              <w:t>单位</w:t>
            </w:r>
          </w:p>
        </w:tc>
        <w:tc>
          <w:tcPr>
            <w:tcW w:w="3224" w:type="dxa"/>
            <w:noWrap w:val="0"/>
            <w:vAlign w:val="center"/>
          </w:tcPr>
          <w:p w14:paraId="1590D297">
            <w:pPr>
              <w:keepNext w:val="0"/>
              <w:keepLines w:val="0"/>
              <w:pageBreakBefore w:val="0"/>
              <w:widowControl/>
              <w:tabs>
                <w:tab w:val="left" w:pos="180"/>
              </w:tabs>
              <w:kinsoku/>
              <w:wordWrap/>
              <w:overflowPunct/>
              <w:topLinePunct w:val="0"/>
              <w:autoSpaceDE/>
              <w:autoSpaceDN/>
              <w:bidi w:val="0"/>
              <w:adjustRightInd/>
              <w:snapToGrid/>
              <w:spacing w:line="500" w:lineRule="exact"/>
              <w:ind w:left="0" w:leftChars="0" w:right="0" w:rightChars="0"/>
              <w:jc w:val="center"/>
              <w:textAlignment w:val="auto"/>
              <w:outlineLvl w:val="9"/>
              <w:rPr>
                <w:rFonts w:hint="eastAsia" w:ascii="宋体" w:hAnsi="宋体" w:eastAsia="宋体" w:cs="宋体"/>
                <w:b/>
                <w:bCs/>
                <w:color w:val="auto"/>
                <w:spacing w:val="0"/>
                <w:sz w:val="24"/>
                <w:szCs w:val="24"/>
                <w:highlight w:val="none"/>
              </w:rPr>
            </w:pPr>
          </w:p>
        </w:tc>
      </w:tr>
      <w:tr w14:paraId="15FC5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231" w:type="dxa"/>
            <w:noWrap w:val="0"/>
            <w:vAlign w:val="center"/>
          </w:tcPr>
          <w:p w14:paraId="12AC963F">
            <w:pPr>
              <w:keepNext w:val="0"/>
              <w:keepLines w:val="0"/>
              <w:pageBreakBefore w:val="0"/>
              <w:widowControl/>
              <w:tabs>
                <w:tab w:val="left" w:pos="180"/>
              </w:tabs>
              <w:kinsoku/>
              <w:wordWrap/>
              <w:overflowPunct/>
              <w:topLinePunct w:val="0"/>
              <w:autoSpaceDE/>
              <w:autoSpaceDN/>
              <w:bidi w:val="0"/>
              <w:adjustRightInd/>
              <w:snapToGrid/>
              <w:spacing w:line="500" w:lineRule="exact"/>
              <w:ind w:left="0" w:leftChars="0" w:right="0" w:rightChars="0"/>
              <w:jc w:val="center"/>
              <w:textAlignment w:val="auto"/>
              <w:outlineLvl w:val="9"/>
              <w:rPr>
                <w:rFonts w:hint="eastAsia" w:ascii="黑体" w:hAnsi="黑体" w:eastAsia="黑体" w:cs="黑体"/>
                <w:b w:val="0"/>
                <w:bCs w:val="0"/>
                <w:color w:val="auto"/>
                <w:spacing w:val="0"/>
                <w:sz w:val="24"/>
                <w:szCs w:val="24"/>
                <w:highlight w:val="none"/>
                <w:lang w:eastAsia="zh-CN"/>
              </w:rPr>
            </w:pPr>
            <w:r>
              <w:rPr>
                <w:rFonts w:hint="eastAsia" w:ascii="黑体" w:hAnsi="黑体" w:eastAsia="黑体" w:cs="黑体"/>
                <w:b w:val="0"/>
                <w:bCs w:val="0"/>
                <w:color w:val="auto"/>
                <w:spacing w:val="0"/>
                <w:sz w:val="24"/>
                <w:szCs w:val="24"/>
                <w:highlight w:val="none"/>
                <w:lang w:eastAsia="zh-CN"/>
              </w:rPr>
              <w:t>单位工程</w:t>
            </w:r>
          </w:p>
        </w:tc>
        <w:tc>
          <w:tcPr>
            <w:tcW w:w="3859" w:type="dxa"/>
            <w:gridSpan w:val="3"/>
            <w:noWrap w:val="0"/>
            <w:vAlign w:val="center"/>
          </w:tcPr>
          <w:p w14:paraId="4374DEC7">
            <w:pPr>
              <w:keepNext w:val="0"/>
              <w:keepLines w:val="0"/>
              <w:pageBreakBefore w:val="0"/>
              <w:widowControl/>
              <w:tabs>
                <w:tab w:val="left" w:pos="180"/>
              </w:tabs>
              <w:kinsoku/>
              <w:wordWrap/>
              <w:overflowPunct/>
              <w:topLinePunct w:val="0"/>
              <w:autoSpaceDE/>
              <w:autoSpaceDN/>
              <w:bidi w:val="0"/>
              <w:adjustRightInd/>
              <w:snapToGrid/>
              <w:spacing w:line="500" w:lineRule="exact"/>
              <w:ind w:left="0" w:leftChars="0" w:right="0" w:rightChars="0"/>
              <w:jc w:val="center"/>
              <w:textAlignment w:val="auto"/>
              <w:outlineLvl w:val="9"/>
              <w:rPr>
                <w:rFonts w:hint="eastAsia" w:ascii="黑体" w:hAnsi="黑体" w:eastAsia="黑体" w:cs="黑体"/>
                <w:b w:val="0"/>
                <w:bCs w:val="0"/>
                <w:color w:val="auto"/>
                <w:spacing w:val="0"/>
                <w:sz w:val="24"/>
                <w:szCs w:val="24"/>
                <w:highlight w:val="none"/>
              </w:rPr>
            </w:pPr>
          </w:p>
        </w:tc>
        <w:tc>
          <w:tcPr>
            <w:tcW w:w="1214" w:type="dxa"/>
            <w:gridSpan w:val="2"/>
            <w:noWrap w:val="0"/>
            <w:vAlign w:val="center"/>
          </w:tcPr>
          <w:p w14:paraId="2A414264">
            <w:pPr>
              <w:keepNext w:val="0"/>
              <w:keepLines w:val="0"/>
              <w:pageBreakBefore w:val="0"/>
              <w:widowControl/>
              <w:tabs>
                <w:tab w:val="left" w:pos="180"/>
              </w:tabs>
              <w:kinsoku/>
              <w:wordWrap/>
              <w:overflowPunct/>
              <w:topLinePunct w:val="0"/>
              <w:autoSpaceDE/>
              <w:autoSpaceDN/>
              <w:bidi w:val="0"/>
              <w:adjustRightInd/>
              <w:snapToGrid/>
              <w:spacing w:line="500" w:lineRule="exact"/>
              <w:ind w:left="0" w:leftChars="0" w:right="0" w:rightChars="0"/>
              <w:jc w:val="center"/>
              <w:textAlignment w:val="auto"/>
              <w:outlineLvl w:val="9"/>
              <w:rPr>
                <w:rFonts w:hint="eastAsia" w:ascii="黑体" w:hAnsi="黑体" w:eastAsia="黑体" w:cs="黑体"/>
                <w:b w:val="0"/>
                <w:bCs w:val="0"/>
                <w:color w:val="auto"/>
                <w:spacing w:val="0"/>
                <w:sz w:val="24"/>
                <w:szCs w:val="24"/>
                <w:highlight w:val="none"/>
                <w:lang w:eastAsia="zh-CN"/>
              </w:rPr>
            </w:pPr>
            <w:r>
              <w:rPr>
                <w:rFonts w:hint="eastAsia" w:ascii="黑体" w:hAnsi="黑体" w:eastAsia="黑体" w:cs="黑体"/>
                <w:b w:val="0"/>
                <w:bCs w:val="0"/>
                <w:color w:val="auto"/>
                <w:spacing w:val="0"/>
                <w:sz w:val="24"/>
                <w:szCs w:val="24"/>
                <w:highlight w:val="none"/>
                <w:lang w:eastAsia="zh-CN"/>
              </w:rPr>
              <w:t>分项工程</w:t>
            </w:r>
          </w:p>
        </w:tc>
        <w:tc>
          <w:tcPr>
            <w:tcW w:w="3224" w:type="dxa"/>
            <w:noWrap w:val="0"/>
            <w:vAlign w:val="center"/>
          </w:tcPr>
          <w:p w14:paraId="366D3775">
            <w:pPr>
              <w:keepNext w:val="0"/>
              <w:keepLines w:val="0"/>
              <w:pageBreakBefore w:val="0"/>
              <w:widowControl/>
              <w:tabs>
                <w:tab w:val="left" w:pos="180"/>
              </w:tabs>
              <w:kinsoku/>
              <w:wordWrap/>
              <w:overflowPunct/>
              <w:topLinePunct w:val="0"/>
              <w:autoSpaceDE/>
              <w:autoSpaceDN/>
              <w:bidi w:val="0"/>
              <w:adjustRightInd/>
              <w:snapToGrid/>
              <w:spacing w:line="500" w:lineRule="exact"/>
              <w:ind w:left="0" w:leftChars="0" w:right="0" w:rightChars="0"/>
              <w:jc w:val="center"/>
              <w:textAlignment w:val="auto"/>
              <w:outlineLvl w:val="9"/>
              <w:rPr>
                <w:rFonts w:hint="eastAsia" w:ascii="宋体" w:hAnsi="宋体" w:eastAsia="宋体" w:cs="宋体"/>
                <w:b/>
                <w:bCs/>
                <w:color w:val="auto"/>
                <w:spacing w:val="0"/>
                <w:sz w:val="24"/>
                <w:szCs w:val="24"/>
                <w:highlight w:val="none"/>
              </w:rPr>
            </w:pPr>
          </w:p>
        </w:tc>
      </w:tr>
      <w:tr w14:paraId="021CB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528" w:type="dxa"/>
            <w:gridSpan w:val="7"/>
            <w:noWrap w:val="0"/>
            <w:vAlign w:val="center"/>
          </w:tcPr>
          <w:p w14:paraId="25165F97">
            <w:pPr>
              <w:keepNext w:val="0"/>
              <w:keepLines w:val="0"/>
              <w:pageBreakBefore w:val="0"/>
              <w:widowControl/>
              <w:tabs>
                <w:tab w:val="left" w:pos="180"/>
              </w:tabs>
              <w:kinsoku/>
              <w:wordWrap/>
              <w:overflowPunct/>
              <w:topLinePunct w:val="0"/>
              <w:autoSpaceDE/>
              <w:autoSpaceDN/>
              <w:bidi w:val="0"/>
              <w:adjustRightInd/>
              <w:snapToGrid/>
              <w:spacing w:line="500" w:lineRule="exact"/>
              <w:ind w:left="0" w:leftChars="0" w:right="0" w:rightChars="0"/>
              <w:textAlignment w:val="auto"/>
              <w:outlineLvl w:val="9"/>
              <w:rPr>
                <w:rFonts w:hint="default" w:ascii="宋体" w:hAnsi="宋体" w:eastAsia="宋体" w:cs="宋体"/>
                <w:b/>
                <w:bCs/>
                <w:color w:val="auto"/>
                <w:spacing w:val="0"/>
                <w:sz w:val="24"/>
                <w:szCs w:val="24"/>
                <w:highlight w:val="none"/>
                <w:lang w:val="en-US" w:eastAsia="zh-CN"/>
              </w:rPr>
            </w:pPr>
            <w:r>
              <w:rPr>
                <w:rFonts w:hint="eastAsia" w:ascii="黑体" w:hAnsi="黑体" w:eastAsia="黑体" w:cs="黑体"/>
                <w:b w:val="0"/>
                <w:bCs w:val="0"/>
                <w:color w:val="auto"/>
                <w:spacing w:val="0"/>
                <w:sz w:val="24"/>
                <w:szCs w:val="24"/>
                <w:highlight w:val="none"/>
                <w:lang w:eastAsia="zh-CN"/>
              </w:rPr>
              <w:t>签证</w:t>
            </w:r>
            <w:r>
              <w:rPr>
                <w:rFonts w:hint="eastAsia" w:ascii="黑体" w:hAnsi="黑体" w:eastAsia="黑体" w:cs="黑体"/>
                <w:b w:val="0"/>
                <w:bCs w:val="0"/>
                <w:color w:val="auto"/>
                <w:spacing w:val="0"/>
                <w:sz w:val="24"/>
                <w:szCs w:val="24"/>
                <w:highlight w:val="none"/>
              </w:rPr>
              <w:t>依据：</w:t>
            </w:r>
            <w:r>
              <w:rPr>
                <w:rFonts w:hint="eastAsia" w:ascii="楷体_GB2312" w:hAnsi="楷体_GB2312" w:eastAsia="楷体_GB2312" w:cs="楷体_GB2312"/>
                <w:b w:val="0"/>
                <w:bCs w:val="0"/>
                <w:color w:val="auto"/>
                <w:spacing w:val="0"/>
                <w:sz w:val="24"/>
                <w:szCs w:val="24"/>
                <w:highlight w:val="none"/>
                <w:lang w:eastAsia="zh-CN"/>
              </w:rPr>
              <w:t>根据施工合同条款</w:t>
            </w:r>
            <w:r>
              <w:rPr>
                <w:rFonts w:hint="eastAsia" w:ascii="楷体_GB2312" w:hAnsi="楷体_GB2312" w:eastAsia="楷体_GB2312" w:cs="楷体_GB2312"/>
                <w:b w:val="0"/>
                <w:bCs w:val="0"/>
                <w:color w:val="auto"/>
                <w:spacing w:val="0"/>
                <w:sz w:val="24"/>
                <w:szCs w:val="24"/>
                <w:highlight w:val="none"/>
                <w:u w:val="single"/>
                <w:lang w:val="en-US" w:eastAsia="zh-CN"/>
              </w:rPr>
              <w:t xml:space="preserve">          </w:t>
            </w:r>
            <w:r>
              <w:rPr>
                <w:rFonts w:hint="eastAsia" w:ascii="楷体_GB2312" w:hAnsi="楷体_GB2312" w:eastAsia="楷体_GB2312" w:cs="楷体_GB2312"/>
                <w:b w:val="0"/>
                <w:bCs w:val="0"/>
                <w:color w:val="auto"/>
                <w:spacing w:val="0"/>
                <w:sz w:val="24"/>
                <w:szCs w:val="24"/>
                <w:highlight w:val="none"/>
                <w:lang w:val="en-US" w:eastAsia="zh-CN"/>
              </w:rPr>
              <w:t>条的约定，由于</w:t>
            </w:r>
            <w:r>
              <w:rPr>
                <w:rFonts w:hint="eastAsia" w:ascii="楷体_GB2312" w:hAnsi="楷体_GB2312" w:eastAsia="楷体_GB2312" w:cs="楷体_GB2312"/>
                <w:b w:val="0"/>
                <w:bCs w:val="0"/>
                <w:color w:val="auto"/>
                <w:spacing w:val="0"/>
                <w:sz w:val="24"/>
                <w:szCs w:val="24"/>
                <w:highlight w:val="none"/>
                <w:u w:val="single"/>
                <w:lang w:val="en-US" w:eastAsia="zh-CN"/>
              </w:rPr>
              <w:t xml:space="preserve">          </w:t>
            </w:r>
            <w:r>
              <w:rPr>
                <w:rFonts w:hint="eastAsia" w:ascii="楷体_GB2312" w:hAnsi="楷体_GB2312" w:eastAsia="楷体_GB2312" w:cs="楷体_GB2312"/>
                <w:b w:val="0"/>
                <w:bCs w:val="0"/>
                <w:color w:val="auto"/>
                <w:spacing w:val="0"/>
                <w:sz w:val="24"/>
                <w:szCs w:val="24"/>
                <w:highlight w:val="none"/>
                <w:lang w:val="en-US" w:eastAsia="zh-CN"/>
              </w:rPr>
              <w:t>原因，申请以下签证内容。</w:t>
            </w:r>
          </w:p>
        </w:tc>
      </w:tr>
      <w:tr w14:paraId="64DDC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jc w:val="center"/>
        </w:trPr>
        <w:tc>
          <w:tcPr>
            <w:tcW w:w="9528" w:type="dxa"/>
            <w:gridSpan w:val="7"/>
            <w:noWrap w:val="0"/>
            <w:vAlign w:val="top"/>
          </w:tcPr>
          <w:p w14:paraId="7A5F41D4">
            <w:pPr>
              <w:pStyle w:val="12"/>
              <w:keepNext w:val="0"/>
              <w:keepLines w:val="0"/>
              <w:pageBreakBefore w:val="0"/>
              <w:widowControl/>
              <w:kinsoku/>
              <w:overflowPunct/>
              <w:topLinePunct w:val="0"/>
              <w:bidi w:val="0"/>
              <w:snapToGrid/>
              <w:spacing w:line="500" w:lineRule="exact"/>
              <w:ind w:left="0" w:leftChars="0" w:right="0" w:rightChars="0"/>
              <w:textAlignment w:val="auto"/>
              <w:outlineLvl w:val="9"/>
              <w:rPr>
                <w:rFonts w:hint="eastAsia" w:ascii="仿宋_GB2312" w:hAnsi="仿宋_GB2312" w:eastAsia="仿宋_GB2312" w:cs="仿宋_GB2312"/>
                <w:b w:val="0"/>
                <w:bCs w:val="0"/>
                <w:color w:val="auto"/>
                <w:spacing w:val="0"/>
                <w:sz w:val="18"/>
                <w:szCs w:val="18"/>
                <w:highlight w:val="none"/>
                <w:lang w:val="en-US" w:eastAsia="zh-CN"/>
              </w:rPr>
            </w:pPr>
            <w:r>
              <w:rPr>
                <w:rFonts w:hint="eastAsia" w:ascii="黑体" w:hAnsi="黑体" w:eastAsia="黑体" w:cs="黑体"/>
                <w:b w:val="0"/>
                <w:bCs w:val="0"/>
                <w:color w:val="auto"/>
                <w:spacing w:val="0"/>
                <w:sz w:val="24"/>
                <w:szCs w:val="24"/>
                <w:highlight w:val="none"/>
                <w:lang w:eastAsia="zh-CN"/>
              </w:rPr>
              <w:t>签证原因及</w:t>
            </w:r>
            <w:r>
              <w:rPr>
                <w:rFonts w:hint="eastAsia" w:ascii="黑体" w:hAnsi="黑体" w:eastAsia="黑体" w:cs="黑体"/>
                <w:b w:val="0"/>
                <w:bCs w:val="0"/>
                <w:color w:val="auto"/>
                <w:spacing w:val="0"/>
                <w:sz w:val="24"/>
                <w:szCs w:val="24"/>
                <w:highlight w:val="none"/>
              </w:rPr>
              <w:t>内容</w:t>
            </w:r>
            <w:r>
              <w:rPr>
                <w:rFonts w:hint="eastAsia" w:ascii="黑体" w:hAnsi="黑体" w:eastAsia="黑体" w:cs="黑体"/>
                <w:b w:val="0"/>
                <w:bCs w:val="0"/>
                <w:color w:val="auto"/>
                <w:spacing w:val="0"/>
                <w:sz w:val="24"/>
                <w:szCs w:val="24"/>
                <w:highlight w:val="none"/>
                <w:lang w:eastAsia="zh-CN"/>
              </w:rPr>
              <w:t>（含简图）</w:t>
            </w:r>
            <w:r>
              <w:rPr>
                <w:rFonts w:hint="eastAsia" w:ascii="黑体" w:hAnsi="黑体" w:eastAsia="黑体" w:cs="黑体"/>
                <w:b w:val="0"/>
                <w:bCs w:val="0"/>
                <w:color w:val="auto"/>
                <w:spacing w:val="0"/>
                <w:sz w:val="24"/>
                <w:szCs w:val="24"/>
                <w:highlight w:val="none"/>
              </w:rPr>
              <w:t>：</w:t>
            </w:r>
            <w:r>
              <w:rPr>
                <w:rFonts w:hint="eastAsia" w:ascii="仿宋_GB2312" w:hAnsi="仿宋_GB2312" w:eastAsia="仿宋_GB2312" w:cs="仿宋_GB2312"/>
                <w:b w:val="0"/>
                <w:bCs w:val="0"/>
                <w:color w:val="auto"/>
                <w:spacing w:val="0"/>
                <w:sz w:val="18"/>
                <w:szCs w:val="18"/>
                <w:highlight w:val="none"/>
                <w:lang w:val="en-US" w:eastAsia="zh-CN"/>
              </w:rPr>
              <w:t>（发生原因及计量、计价依据必须明确，如暂不能确定工程量的，要求明确暂估工程量，且与具体实施工程量差不得超过±10%的误差）</w:t>
            </w:r>
          </w:p>
          <w:p w14:paraId="50A42D61">
            <w:pPr>
              <w:pStyle w:val="12"/>
              <w:keepNext w:val="0"/>
              <w:keepLines w:val="0"/>
              <w:pageBreakBefore w:val="0"/>
              <w:widowControl/>
              <w:kinsoku/>
              <w:overflowPunct/>
              <w:topLinePunct w:val="0"/>
              <w:bidi w:val="0"/>
              <w:snapToGrid/>
              <w:spacing w:line="500" w:lineRule="exact"/>
              <w:ind w:left="0" w:leftChars="0" w:right="0" w:rightChars="0"/>
              <w:textAlignment w:val="auto"/>
              <w:outlineLvl w:val="9"/>
              <w:rPr>
                <w:rFonts w:hint="eastAsia" w:ascii="仿宋_GB2312" w:hAnsi="仿宋_GB2312" w:eastAsia="仿宋_GB2312" w:cs="仿宋_GB2312"/>
                <w:b w:val="0"/>
                <w:bCs w:val="0"/>
                <w:color w:val="auto"/>
                <w:spacing w:val="0"/>
                <w:sz w:val="18"/>
                <w:szCs w:val="18"/>
                <w:highlight w:val="none"/>
                <w:lang w:val="en-US" w:eastAsia="zh-CN"/>
              </w:rPr>
            </w:pPr>
          </w:p>
          <w:p w14:paraId="319D5C77">
            <w:pPr>
              <w:pStyle w:val="12"/>
              <w:keepNext w:val="0"/>
              <w:keepLines w:val="0"/>
              <w:pageBreakBefore w:val="0"/>
              <w:widowControl/>
              <w:kinsoku/>
              <w:wordWrap/>
              <w:overflowPunct/>
              <w:topLinePunct w:val="0"/>
              <w:autoSpaceDE w:val="0"/>
              <w:autoSpaceDN w:val="0"/>
              <w:bidi w:val="0"/>
              <w:adjustRightInd w:val="0"/>
              <w:snapToGrid/>
              <w:spacing w:line="500" w:lineRule="exact"/>
              <w:ind w:left="0" w:leftChars="0" w:right="0" w:rightChars="0"/>
              <w:textAlignment w:val="auto"/>
              <w:outlineLvl w:val="9"/>
              <w:rPr>
                <w:rFonts w:hint="eastAsia" w:ascii="仿宋_GB2312" w:hAnsi="仿宋_GB2312" w:eastAsia="仿宋_GB2312" w:cs="仿宋_GB2312"/>
                <w:b w:val="0"/>
                <w:bCs w:val="0"/>
                <w:color w:val="auto"/>
                <w:spacing w:val="0"/>
                <w:kern w:val="2"/>
                <w:sz w:val="18"/>
                <w:szCs w:val="18"/>
                <w:highlight w:val="none"/>
                <w:lang w:val="en-US" w:eastAsia="zh-CN" w:bidi="ar-SA"/>
              </w:rPr>
            </w:pPr>
            <w:r>
              <w:rPr>
                <w:rFonts w:hint="eastAsia" w:ascii="仿宋_GB2312" w:hAnsi="仿宋_GB2312" w:eastAsia="仿宋_GB2312" w:cs="仿宋_GB2312"/>
                <w:b w:val="0"/>
                <w:bCs w:val="0"/>
                <w:color w:val="auto"/>
                <w:spacing w:val="0"/>
                <w:kern w:val="2"/>
                <w:sz w:val="18"/>
                <w:szCs w:val="18"/>
                <w:highlight w:val="none"/>
                <w:lang w:val="en-US" w:eastAsia="zh-CN" w:bidi="ar-SA"/>
              </w:rPr>
              <w:t>附：1.签证费用的预算明细；</w:t>
            </w:r>
          </w:p>
          <w:p w14:paraId="295BEB9E">
            <w:pPr>
              <w:pStyle w:val="12"/>
              <w:keepNext w:val="0"/>
              <w:keepLines w:val="0"/>
              <w:pageBreakBefore w:val="0"/>
              <w:widowControl/>
              <w:numPr>
                <w:ilvl w:val="0"/>
                <w:numId w:val="0"/>
              </w:numPr>
              <w:kinsoku/>
              <w:wordWrap/>
              <w:overflowPunct/>
              <w:topLinePunct w:val="0"/>
              <w:autoSpaceDE w:val="0"/>
              <w:autoSpaceDN w:val="0"/>
              <w:bidi w:val="0"/>
              <w:adjustRightInd w:val="0"/>
              <w:snapToGrid/>
              <w:spacing w:line="500" w:lineRule="exact"/>
              <w:ind w:left="0" w:leftChars="0" w:right="0" w:rightChars="0" w:firstLine="360" w:firstLineChars="200"/>
              <w:textAlignment w:val="auto"/>
              <w:outlineLvl w:val="9"/>
              <w:rPr>
                <w:rFonts w:hint="eastAsia" w:ascii="宋体" w:hAnsi="宋体" w:eastAsia="宋体" w:cs="宋体"/>
                <w:b/>
                <w:bCs/>
                <w:color w:val="auto"/>
                <w:spacing w:val="0"/>
                <w:sz w:val="24"/>
                <w:szCs w:val="24"/>
                <w:highlight w:val="none"/>
              </w:rPr>
            </w:pPr>
            <w:r>
              <w:rPr>
                <w:rFonts w:hint="eastAsia" w:ascii="仿宋_GB2312" w:hAnsi="仿宋_GB2312" w:eastAsia="仿宋_GB2312" w:cs="仿宋_GB2312"/>
                <w:b w:val="0"/>
                <w:bCs w:val="0"/>
                <w:color w:val="auto"/>
                <w:spacing w:val="0"/>
                <w:kern w:val="2"/>
                <w:sz w:val="18"/>
                <w:szCs w:val="18"/>
                <w:highlight w:val="none"/>
                <w:lang w:val="en-US" w:eastAsia="zh-CN" w:bidi="ar-SA"/>
              </w:rPr>
              <w:t>2.相关佐证材料</w:t>
            </w:r>
          </w:p>
        </w:tc>
      </w:tr>
      <w:tr w14:paraId="70AEB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3665" w:type="dxa"/>
            <w:gridSpan w:val="3"/>
            <w:noWrap w:val="0"/>
            <w:vAlign w:val="center"/>
          </w:tcPr>
          <w:p w14:paraId="38B3A32D">
            <w:pPr>
              <w:pStyle w:val="12"/>
              <w:keepNext w:val="0"/>
              <w:keepLines w:val="0"/>
              <w:pageBreakBefore w:val="0"/>
              <w:widowControl/>
              <w:kinsoku/>
              <w:wordWrap/>
              <w:overflowPunct/>
              <w:topLinePunct w:val="0"/>
              <w:autoSpaceDE w:val="0"/>
              <w:autoSpaceDN w:val="0"/>
              <w:bidi w:val="0"/>
              <w:adjustRightInd w:val="0"/>
              <w:snapToGrid/>
              <w:spacing w:line="500" w:lineRule="exact"/>
              <w:ind w:left="0" w:leftChars="0" w:right="0" w:rightChars="0"/>
              <w:jc w:val="center"/>
              <w:textAlignment w:val="auto"/>
              <w:outlineLvl w:val="9"/>
              <w:rPr>
                <w:rFonts w:hint="eastAsia" w:ascii="黑体" w:hAnsi="黑体" w:eastAsia="黑体" w:cs="黑体"/>
                <w:b w:val="0"/>
                <w:bCs w:val="0"/>
                <w:color w:val="auto"/>
                <w:spacing w:val="0"/>
                <w:sz w:val="24"/>
                <w:szCs w:val="24"/>
                <w:highlight w:val="none"/>
                <w:lang w:eastAsia="zh-CN"/>
              </w:rPr>
            </w:pPr>
            <w:r>
              <w:rPr>
                <w:rFonts w:hint="eastAsia" w:ascii="楷体_GB2312" w:hAnsi="楷体_GB2312" w:eastAsia="楷体_GB2312" w:cs="楷体_GB2312"/>
                <w:b w:val="0"/>
                <w:bCs w:val="0"/>
                <w:color w:val="auto"/>
                <w:spacing w:val="0"/>
                <w:sz w:val="28"/>
                <w:szCs w:val="28"/>
                <w:highlight w:val="none"/>
                <w:u w:val="none"/>
                <w:lang w:val="en-US" w:eastAsia="zh-CN"/>
              </w:rPr>
              <w:t xml:space="preserve">□ </w:t>
            </w:r>
            <w:r>
              <w:rPr>
                <w:rFonts w:hint="eastAsia" w:ascii="楷体_GB2312" w:hAnsi="楷体_GB2312" w:eastAsia="楷体_GB2312" w:cs="楷体_GB2312"/>
                <w:b w:val="0"/>
                <w:bCs w:val="0"/>
                <w:color w:val="auto"/>
                <w:spacing w:val="0"/>
                <w:sz w:val="24"/>
                <w:szCs w:val="24"/>
                <w:highlight w:val="none"/>
                <w:lang w:eastAsia="zh-CN"/>
              </w:rPr>
              <w:t>增加造价</w:t>
            </w:r>
            <w:r>
              <w:rPr>
                <w:rFonts w:hint="eastAsia" w:ascii="楷体_GB2312" w:hAnsi="楷体_GB2312" w:eastAsia="楷体_GB2312" w:cs="楷体_GB2312"/>
                <w:b w:val="0"/>
                <w:bCs w:val="0"/>
                <w:color w:val="auto"/>
                <w:spacing w:val="0"/>
                <w:sz w:val="28"/>
                <w:szCs w:val="28"/>
                <w:highlight w:val="none"/>
                <w:u w:val="none"/>
                <w:lang w:val="en-US" w:eastAsia="zh-CN"/>
              </w:rPr>
              <w:t xml:space="preserve">□ </w:t>
            </w:r>
            <w:r>
              <w:rPr>
                <w:rFonts w:hint="eastAsia" w:ascii="楷体_GB2312" w:hAnsi="楷体_GB2312" w:eastAsia="楷体_GB2312" w:cs="楷体_GB2312"/>
                <w:b w:val="0"/>
                <w:bCs w:val="0"/>
                <w:color w:val="auto"/>
                <w:spacing w:val="0"/>
                <w:sz w:val="24"/>
                <w:szCs w:val="24"/>
                <w:highlight w:val="none"/>
                <w:lang w:eastAsia="zh-CN"/>
              </w:rPr>
              <w:t>减少造价</w:t>
            </w:r>
          </w:p>
        </w:tc>
        <w:tc>
          <w:tcPr>
            <w:tcW w:w="2639" w:type="dxa"/>
            <w:gridSpan w:val="3"/>
            <w:noWrap w:val="0"/>
            <w:vAlign w:val="center"/>
          </w:tcPr>
          <w:p w14:paraId="386DBAE1">
            <w:pPr>
              <w:pStyle w:val="12"/>
              <w:keepNext w:val="0"/>
              <w:keepLines w:val="0"/>
              <w:pageBreakBefore w:val="0"/>
              <w:widowControl/>
              <w:kinsoku/>
              <w:wordWrap/>
              <w:overflowPunct/>
              <w:topLinePunct w:val="0"/>
              <w:autoSpaceDE w:val="0"/>
              <w:autoSpaceDN w:val="0"/>
              <w:bidi w:val="0"/>
              <w:adjustRightInd w:val="0"/>
              <w:snapToGrid/>
              <w:spacing w:line="500" w:lineRule="exact"/>
              <w:ind w:left="0" w:leftChars="0" w:right="0" w:rightChars="0"/>
              <w:jc w:val="center"/>
              <w:textAlignment w:val="auto"/>
              <w:outlineLvl w:val="9"/>
              <w:rPr>
                <w:rFonts w:hint="eastAsia" w:ascii="黑体" w:hAnsi="黑体" w:eastAsia="黑体" w:cs="黑体"/>
                <w:b w:val="0"/>
                <w:bCs w:val="0"/>
                <w:color w:val="auto"/>
                <w:spacing w:val="0"/>
                <w:sz w:val="24"/>
                <w:szCs w:val="24"/>
                <w:highlight w:val="none"/>
                <w:lang w:eastAsia="zh-CN"/>
              </w:rPr>
            </w:pPr>
            <w:r>
              <w:rPr>
                <w:rFonts w:hint="eastAsia" w:ascii="黑体" w:hAnsi="黑体" w:eastAsia="黑体" w:cs="黑体"/>
                <w:b w:val="0"/>
                <w:bCs w:val="0"/>
                <w:color w:val="auto"/>
                <w:spacing w:val="0"/>
                <w:sz w:val="24"/>
                <w:szCs w:val="24"/>
                <w:highlight w:val="none"/>
                <w:lang w:eastAsia="zh-CN"/>
              </w:rPr>
              <w:t>估算造价</w:t>
            </w:r>
          </w:p>
        </w:tc>
        <w:tc>
          <w:tcPr>
            <w:tcW w:w="3224" w:type="dxa"/>
            <w:noWrap w:val="0"/>
            <w:vAlign w:val="center"/>
          </w:tcPr>
          <w:p w14:paraId="6AAD207D">
            <w:pPr>
              <w:pStyle w:val="12"/>
              <w:keepNext w:val="0"/>
              <w:keepLines w:val="0"/>
              <w:pageBreakBefore w:val="0"/>
              <w:widowControl/>
              <w:kinsoku/>
              <w:wordWrap/>
              <w:overflowPunct/>
              <w:topLinePunct w:val="0"/>
              <w:autoSpaceDE w:val="0"/>
              <w:autoSpaceDN w:val="0"/>
              <w:bidi w:val="0"/>
              <w:adjustRightInd w:val="0"/>
              <w:snapToGrid/>
              <w:spacing w:line="500" w:lineRule="exact"/>
              <w:ind w:left="0" w:leftChars="0" w:right="0" w:rightChars="0"/>
              <w:jc w:val="center"/>
              <w:textAlignment w:val="auto"/>
              <w:outlineLvl w:val="9"/>
              <w:rPr>
                <w:rFonts w:hint="default" w:ascii="宋体" w:hAnsi="宋体" w:cs="宋体"/>
                <w:b/>
                <w:bCs/>
                <w:color w:val="auto"/>
                <w:spacing w:val="0"/>
                <w:sz w:val="24"/>
                <w:szCs w:val="24"/>
                <w:highlight w:val="none"/>
                <w:lang w:val="en-US" w:eastAsia="zh-CN"/>
              </w:rPr>
            </w:pPr>
            <w:r>
              <w:rPr>
                <w:rFonts w:hint="eastAsia" w:ascii="宋体" w:hAnsi="宋体" w:cs="宋体"/>
                <w:b/>
                <w:bCs/>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lang w:val="en-US" w:eastAsia="zh-CN"/>
              </w:rPr>
              <w:t xml:space="preserve"> 元</w:t>
            </w:r>
          </w:p>
        </w:tc>
      </w:tr>
      <w:tr w14:paraId="319AC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772" w:type="dxa"/>
            <w:gridSpan w:val="2"/>
            <w:noWrap w:val="0"/>
            <w:vAlign w:val="top"/>
          </w:tcPr>
          <w:p w14:paraId="796B0F10">
            <w:pPr>
              <w:keepNext w:val="0"/>
              <w:keepLines w:val="0"/>
              <w:pageBreakBefore w:val="0"/>
              <w:widowControl/>
              <w:kinsoku/>
              <w:wordWrap/>
              <w:overflowPunct/>
              <w:topLinePunct w:val="0"/>
              <w:bidi w:val="0"/>
              <w:adjustRightInd/>
              <w:snapToGrid/>
              <w:spacing w:line="500" w:lineRule="exact"/>
              <w:ind w:left="0" w:leftChars="0" w:right="0" w:rightChars="0"/>
              <w:jc w:val="both"/>
              <w:textAlignment w:val="auto"/>
              <w:outlineLvl w:val="9"/>
              <w:rPr>
                <w:rFonts w:hint="eastAsia" w:ascii="黑体" w:hAnsi="黑体" w:eastAsia="黑体" w:cs="黑体"/>
                <w:b w:val="0"/>
                <w:bCs w:val="0"/>
                <w:color w:val="auto"/>
                <w:spacing w:val="0"/>
                <w:sz w:val="24"/>
                <w:szCs w:val="24"/>
                <w:highlight w:val="none"/>
                <w:lang w:eastAsia="zh-CN"/>
              </w:rPr>
            </w:pPr>
            <w:r>
              <w:rPr>
                <w:rFonts w:hint="eastAsia" w:ascii="黑体" w:hAnsi="黑体" w:eastAsia="黑体" w:cs="黑体"/>
                <w:b w:val="0"/>
                <w:bCs w:val="0"/>
                <w:color w:val="auto"/>
                <w:spacing w:val="0"/>
                <w:sz w:val="24"/>
                <w:szCs w:val="24"/>
                <w:highlight w:val="none"/>
              </w:rPr>
              <w:t>施工单位</w:t>
            </w:r>
            <w:r>
              <w:rPr>
                <w:rFonts w:hint="eastAsia" w:ascii="黑体" w:hAnsi="黑体" w:eastAsia="黑体" w:cs="黑体"/>
                <w:b w:val="0"/>
                <w:bCs w:val="0"/>
                <w:color w:val="auto"/>
                <w:spacing w:val="0"/>
                <w:sz w:val="24"/>
                <w:szCs w:val="24"/>
                <w:highlight w:val="none"/>
                <w:lang w:eastAsia="zh-CN"/>
              </w:rPr>
              <w:t>意见：</w:t>
            </w:r>
          </w:p>
          <w:p w14:paraId="5E3C438D">
            <w:pPr>
              <w:keepNext w:val="0"/>
              <w:keepLines w:val="0"/>
              <w:pageBreakBefore w:val="0"/>
              <w:widowControl/>
              <w:kinsoku/>
              <w:wordWrap/>
              <w:overflowPunct/>
              <w:topLinePunct w:val="0"/>
              <w:bidi w:val="0"/>
              <w:adjustRightInd/>
              <w:snapToGrid/>
              <w:spacing w:line="500" w:lineRule="exact"/>
              <w:ind w:left="0" w:leftChars="0" w:right="0" w:rightChars="0"/>
              <w:jc w:val="both"/>
              <w:textAlignment w:val="auto"/>
              <w:outlineLvl w:val="9"/>
              <w:rPr>
                <w:rFonts w:hint="eastAsia" w:ascii="宋体" w:hAnsi="宋体" w:eastAsia="宋体" w:cs="宋体"/>
                <w:b/>
                <w:bCs/>
                <w:color w:val="auto"/>
                <w:spacing w:val="0"/>
                <w:sz w:val="24"/>
                <w:szCs w:val="24"/>
                <w:highlight w:val="none"/>
                <w:lang w:eastAsia="zh-CN"/>
              </w:rPr>
            </w:pPr>
          </w:p>
          <w:p w14:paraId="33AF23C8">
            <w:pPr>
              <w:keepNext w:val="0"/>
              <w:keepLines w:val="0"/>
              <w:pageBreakBefore w:val="0"/>
              <w:widowControl/>
              <w:kinsoku/>
              <w:wordWrap/>
              <w:overflowPunct/>
              <w:topLinePunct w:val="0"/>
              <w:bidi w:val="0"/>
              <w:adjustRightInd/>
              <w:snapToGrid/>
              <w:spacing w:line="500" w:lineRule="exact"/>
              <w:ind w:left="0" w:leftChars="0" w:right="0" w:rightChars="0"/>
              <w:jc w:val="both"/>
              <w:textAlignment w:val="auto"/>
              <w:outlineLvl w:val="9"/>
              <w:rPr>
                <w:rFonts w:hint="eastAsia" w:ascii="宋体" w:hAnsi="宋体" w:eastAsia="宋体" w:cs="宋体"/>
                <w:b/>
                <w:bCs/>
                <w:color w:val="auto"/>
                <w:spacing w:val="0"/>
                <w:sz w:val="24"/>
                <w:szCs w:val="24"/>
                <w:highlight w:val="none"/>
                <w:lang w:eastAsia="zh-CN"/>
              </w:rPr>
            </w:pPr>
          </w:p>
          <w:p w14:paraId="6A8DAA1E">
            <w:pPr>
              <w:pStyle w:val="7"/>
              <w:keepNext w:val="0"/>
              <w:keepLines w:val="0"/>
              <w:pageBreakBefore w:val="0"/>
              <w:widowControl/>
              <w:kinsoku/>
              <w:overflowPunct/>
              <w:topLinePunct w:val="0"/>
              <w:bidi w:val="0"/>
              <w:snapToGrid/>
              <w:spacing w:line="500" w:lineRule="exact"/>
              <w:ind w:left="0" w:leftChars="0" w:right="0" w:rightChars="0"/>
              <w:textAlignment w:val="auto"/>
              <w:outlineLvl w:val="9"/>
              <w:rPr>
                <w:rFonts w:hint="eastAsia"/>
                <w:color w:val="auto"/>
                <w:lang w:eastAsia="zh-CN"/>
              </w:rPr>
            </w:pPr>
          </w:p>
          <w:p w14:paraId="7A39F9A3">
            <w:pPr>
              <w:keepNext w:val="0"/>
              <w:keepLines w:val="0"/>
              <w:pageBreakBefore w:val="0"/>
              <w:widowControl/>
              <w:kinsoku/>
              <w:wordWrap/>
              <w:overflowPunct/>
              <w:topLinePunct w:val="0"/>
              <w:bidi w:val="0"/>
              <w:adjustRightInd/>
              <w:snapToGrid/>
              <w:spacing w:line="500" w:lineRule="exact"/>
              <w:ind w:left="0" w:leftChars="0" w:right="0" w:rightChars="0"/>
              <w:jc w:val="left"/>
              <w:textAlignment w:val="auto"/>
              <w:outlineLvl w:val="9"/>
              <w:rPr>
                <w:rFonts w:hint="eastAsia" w:ascii="楷体_GB2312" w:hAnsi="楷体_GB2312" w:eastAsia="楷体_GB2312" w:cs="楷体_GB2312"/>
                <w:b w:val="0"/>
                <w:bCs w:val="0"/>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lang w:eastAsia="zh-CN"/>
              </w:rPr>
              <w:t>项目</w:t>
            </w:r>
            <w:r>
              <w:rPr>
                <w:rFonts w:hint="eastAsia" w:ascii="楷体_GB2312" w:hAnsi="楷体_GB2312" w:eastAsia="楷体_GB2312" w:cs="楷体_GB2312"/>
                <w:b w:val="0"/>
                <w:bCs w:val="0"/>
                <w:color w:val="auto"/>
                <w:spacing w:val="0"/>
                <w:sz w:val="24"/>
                <w:szCs w:val="24"/>
                <w:highlight w:val="none"/>
              </w:rPr>
              <w:t>负责人：</w:t>
            </w:r>
            <w:r>
              <w:rPr>
                <w:rFonts w:hint="eastAsia" w:ascii="楷体_GB2312" w:hAnsi="楷体_GB2312" w:eastAsia="楷体_GB2312" w:cs="楷体_GB2312"/>
                <w:b w:val="0"/>
                <w:bCs w:val="0"/>
                <w:color w:val="auto"/>
                <w:spacing w:val="0"/>
                <w:sz w:val="24"/>
                <w:szCs w:val="24"/>
                <w:highlight w:val="none"/>
                <w:lang w:val="en-US" w:eastAsia="zh-CN"/>
              </w:rPr>
              <w:t xml:space="preserve">      </w:t>
            </w:r>
          </w:p>
          <w:p w14:paraId="07D04DAC">
            <w:pPr>
              <w:keepNext w:val="0"/>
              <w:keepLines w:val="0"/>
              <w:pageBreakBefore w:val="0"/>
              <w:widowControl/>
              <w:kinsoku/>
              <w:wordWrap/>
              <w:overflowPunct/>
              <w:topLinePunct w:val="0"/>
              <w:bidi w:val="0"/>
              <w:adjustRightInd/>
              <w:snapToGrid/>
              <w:spacing w:line="500" w:lineRule="exact"/>
              <w:ind w:left="0" w:leftChars="0" w:right="0" w:rightChars="0"/>
              <w:jc w:val="both"/>
              <w:textAlignment w:val="auto"/>
              <w:outlineLvl w:val="9"/>
              <w:rPr>
                <w:rFonts w:hint="eastAsia" w:ascii="宋体" w:hAnsi="宋体" w:eastAsia="宋体" w:cs="宋体"/>
                <w:b/>
                <w:bCs/>
                <w:color w:val="auto"/>
                <w:spacing w:val="0"/>
                <w:sz w:val="24"/>
                <w:szCs w:val="24"/>
                <w:highlight w:val="none"/>
                <w:lang w:eastAsia="zh-CN"/>
              </w:rPr>
            </w:pPr>
            <w:r>
              <w:rPr>
                <w:rFonts w:hint="eastAsia" w:ascii="楷体_GB2312" w:hAnsi="楷体_GB2312" w:eastAsia="楷体_GB2312" w:cs="楷体_GB2312"/>
                <w:b w:val="0"/>
                <w:bCs w:val="0"/>
                <w:color w:val="auto"/>
                <w:spacing w:val="0"/>
                <w:sz w:val="24"/>
                <w:szCs w:val="24"/>
                <w:highlight w:val="none"/>
                <w:lang w:eastAsia="zh-CN"/>
              </w:rPr>
              <w:t>（公章）</w:t>
            </w: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rPr>
              <w:t xml:space="preserve">年 </w:t>
            </w: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rPr>
              <w:t>月  日</w:t>
            </w:r>
          </w:p>
        </w:tc>
        <w:tc>
          <w:tcPr>
            <w:tcW w:w="2987" w:type="dxa"/>
            <w:gridSpan w:val="3"/>
            <w:noWrap w:val="0"/>
            <w:vAlign w:val="top"/>
          </w:tcPr>
          <w:p w14:paraId="06330074">
            <w:pPr>
              <w:keepNext w:val="0"/>
              <w:keepLines w:val="0"/>
              <w:pageBreakBefore w:val="0"/>
              <w:widowControl/>
              <w:kinsoku/>
              <w:wordWrap/>
              <w:overflowPunct/>
              <w:topLinePunct w:val="0"/>
              <w:bidi w:val="0"/>
              <w:adjustRightInd/>
              <w:snapToGrid/>
              <w:spacing w:line="500" w:lineRule="exact"/>
              <w:ind w:left="0" w:leftChars="0" w:right="0" w:rightChars="0"/>
              <w:jc w:val="both"/>
              <w:textAlignment w:val="auto"/>
              <w:outlineLvl w:val="9"/>
              <w:rPr>
                <w:rFonts w:hint="eastAsia" w:ascii="黑体" w:hAnsi="黑体" w:eastAsia="黑体" w:cs="黑体"/>
                <w:b w:val="0"/>
                <w:bCs w:val="0"/>
                <w:color w:val="auto"/>
                <w:spacing w:val="0"/>
                <w:sz w:val="24"/>
                <w:szCs w:val="24"/>
                <w:highlight w:val="none"/>
              </w:rPr>
            </w:pPr>
            <w:r>
              <w:rPr>
                <w:rFonts w:hint="eastAsia" w:ascii="黑体" w:hAnsi="黑体" w:eastAsia="黑体" w:cs="黑体"/>
                <w:b w:val="0"/>
                <w:bCs w:val="0"/>
                <w:color w:val="auto"/>
                <w:spacing w:val="0"/>
                <w:sz w:val="24"/>
                <w:szCs w:val="24"/>
                <w:highlight w:val="none"/>
              </w:rPr>
              <w:t>监理单位</w:t>
            </w:r>
            <w:r>
              <w:rPr>
                <w:rFonts w:hint="eastAsia" w:ascii="黑体" w:hAnsi="黑体" w:eastAsia="黑体" w:cs="黑体"/>
                <w:b w:val="0"/>
                <w:bCs w:val="0"/>
                <w:color w:val="auto"/>
                <w:spacing w:val="0"/>
                <w:sz w:val="24"/>
                <w:szCs w:val="24"/>
                <w:highlight w:val="none"/>
                <w:lang w:eastAsia="zh-CN"/>
              </w:rPr>
              <w:t>意见：</w:t>
            </w:r>
          </w:p>
          <w:p w14:paraId="69CDDF86">
            <w:pPr>
              <w:keepNext w:val="0"/>
              <w:keepLines w:val="0"/>
              <w:pageBreakBefore w:val="0"/>
              <w:widowControl/>
              <w:kinsoku/>
              <w:wordWrap/>
              <w:overflowPunct/>
              <w:topLinePunct w:val="0"/>
              <w:bidi w:val="0"/>
              <w:adjustRightInd/>
              <w:snapToGrid/>
              <w:spacing w:line="500" w:lineRule="exact"/>
              <w:ind w:left="0" w:leftChars="0" w:right="0" w:rightChars="0"/>
              <w:jc w:val="both"/>
              <w:textAlignment w:val="auto"/>
              <w:outlineLvl w:val="9"/>
              <w:rPr>
                <w:rFonts w:hint="eastAsia" w:ascii="仿宋_GB2312" w:hAnsi="仿宋_GB2312" w:eastAsia="仿宋_GB2312" w:cs="仿宋_GB2312"/>
                <w:b w:val="0"/>
                <w:bCs w:val="0"/>
                <w:color w:val="auto"/>
                <w:spacing w:val="0"/>
                <w:kern w:val="0"/>
                <w:sz w:val="18"/>
                <w:szCs w:val="18"/>
                <w:highlight w:val="none"/>
                <w:lang w:val="en-US" w:eastAsia="zh-CN" w:bidi="ar-SA"/>
              </w:rPr>
            </w:pPr>
            <w:r>
              <w:rPr>
                <w:rFonts w:hint="eastAsia" w:ascii="仿宋_GB2312" w:hAnsi="仿宋_GB2312" w:eastAsia="仿宋_GB2312" w:cs="仿宋_GB2312"/>
                <w:b w:val="0"/>
                <w:bCs w:val="0"/>
                <w:color w:val="auto"/>
                <w:spacing w:val="0"/>
                <w:kern w:val="0"/>
                <w:sz w:val="18"/>
                <w:szCs w:val="18"/>
                <w:highlight w:val="none"/>
                <w:lang w:val="en-US" w:eastAsia="zh-CN" w:bidi="ar-SA"/>
              </w:rPr>
              <w:t>（对变更事宜的真实性、可行性，合理性方面给出意见）</w:t>
            </w:r>
          </w:p>
          <w:p w14:paraId="411AEED1">
            <w:pPr>
              <w:pStyle w:val="7"/>
              <w:keepNext w:val="0"/>
              <w:keepLines w:val="0"/>
              <w:pageBreakBefore w:val="0"/>
              <w:widowControl/>
              <w:kinsoku/>
              <w:overflowPunct/>
              <w:topLinePunct w:val="0"/>
              <w:bidi w:val="0"/>
              <w:snapToGrid/>
              <w:ind w:left="0" w:leftChars="0" w:right="0" w:rightChars="0"/>
              <w:textAlignment w:val="auto"/>
              <w:outlineLvl w:val="9"/>
              <w:rPr>
                <w:rFonts w:hint="eastAsia"/>
                <w:color w:val="auto"/>
              </w:rPr>
            </w:pPr>
          </w:p>
          <w:p w14:paraId="0072E51F">
            <w:pPr>
              <w:keepNext w:val="0"/>
              <w:keepLines w:val="0"/>
              <w:pageBreakBefore w:val="0"/>
              <w:widowControl/>
              <w:kinsoku/>
              <w:wordWrap/>
              <w:overflowPunct/>
              <w:topLinePunct w:val="0"/>
              <w:bidi w:val="0"/>
              <w:adjustRightInd/>
              <w:snapToGrid/>
              <w:spacing w:line="500" w:lineRule="exact"/>
              <w:ind w:left="0" w:leftChars="0" w:right="0" w:rightChars="0"/>
              <w:jc w:val="left"/>
              <w:textAlignment w:val="auto"/>
              <w:outlineLvl w:val="9"/>
              <w:rPr>
                <w:rFonts w:hint="eastAsia" w:ascii="楷体_GB2312" w:hAnsi="楷体_GB2312" w:eastAsia="楷体_GB2312" w:cs="楷体_GB2312"/>
                <w:b w:val="0"/>
                <w:bCs w:val="0"/>
                <w:color w:val="auto"/>
                <w:spacing w:val="0"/>
                <w:sz w:val="24"/>
                <w:szCs w:val="24"/>
                <w:highlight w:val="none"/>
                <w:lang w:eastAsia="zh-CN"/>
              </w:rPr>
            </w:pPr>
            <w:r>
              <w:rPr>
                <w:rFonts w:hint="eastAsia" w:ascii="楷体_GB2312" w:hAnsi="楷体_GB2312" w:eastAsia="楷体_GB2312" w:cs="楷体_GB2312"/>
                <w:b w:val="0"/>
                <w:bCs w:val="0"/>
                <w:color w:val="auto"/>
                <w:spacing w:val="0"/>
                <w:sz w:val="24"/>
                <w:szCs w:val="24"/>
                <w:highlight w:val="none"/>
                <w:lang w:eastAsia="zh-CN"/>
              </w:rPr>
              <w:t xml:space="preserve">总监理工程师：   </w:t>
            </w:r>
          </w:p>
          <w:p w14:paraId="1449F0C8">
            <w:pPr>
              <w:keepNext w:val="0"/>
              <w:keepLines w:val="0"/>
              <w:pageBreakBefore w:val="0"/>
              <w:widowControl/>
              <w:kinsoku/>
              <w:wordWrap/>
              <w:overflowPunct/>
              <w:topLinePunct w:val="0"/>
              <w:bidi w:val="0"/>
              <w:adjustRightInd/>
              <w:snapToGrid/>
              <w:spacing w:line="500" w:lineRule="exact"/>
              <w:ind w:left="0" w:leftChars="0" w:right="0" w:rightChars="0"/>
              <w:jc w:val="left"/>
              <w:textAlignment w:val="auto"/>
              <w:outlineLvl w:val="9"/>
              <w:rPr>
                <w:rFonts w:hint="eastAsia" w:ascii="宋体" w:hAnsi="宋体" w:eastAsia="宋体" w:cs="宋体"/>
                <w:b/>
                <w:bCs/>
                <w:color w:val="auto"/>
                <w:spacing w:val="0"/>
                <w:sz w:val="24"/>
                <w:szCs w:val="24"/>
                <w:highlight w:val="none"/>
                <w:lang w:eastAsia="zh-CN"/>
              </w:rPr>
            </w:pPr>
            <w:r>
              <w:rPr>
                <w:rFonts w:hint="eastAsia" w:ascii="楷体_GB2312" w:hAnsi="楷体_GB2312" w:eastAsia="楷体_GB2312" w:cs="楷体_GB2312"/>
                <w:b w:val="0"/>
                <w:bCs w:val="0"/>
                <w:color w:val="auto"/>
                <w:spacing w:val="0"/>
                <w:sz w:val="24"/>
                <w:szCs w:val="24"/>
                <w:highlight w:val="none"/>
                <w:lang w:eastAsia="zh-CN"/>
              </w:rPr>
              <w:t>（公章）</w:t>
            </w: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lang w:eastAsia="zh-CN"/>
              </w:rPr>
              <w:t xml:space="preserve">年 </w:t>
            </w: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lang w:eastAsia="zh-CN"/>
              </w:rPr>
              <w:t>月  日</w:t>
            </w:r>
          </w:p>
        </w:tc>
        <w:tc>
          <w:tcPr>
            <w:tcW w:w="3769" w:type="dxa"/>
            <w:gridSpan w:val="2"/>
            <w:noWrap w:val="0"/>
            <w:vAlign w:val="top"/>
          </w:tcPr>
          <w:p w14:paraId="0FF3F01E">
            <w:pPr>
              <w:keepNext w:val="0"/>
              <w:keepLines w:val="0"/>
              <w:pageBreakBefore w:val="0"/>
              <w:widowControl/>
              <w:kinsoku/>
              <w:wordWrap/>
              <w:overflowPunct/>
              <w:topLinePunct w:val="0"/>
              <w:bidi w:val="0"/>
              <w:adjustRightInd/>
              <w:snapToGrid/>
              <w:spacing w:line="500" w:lineRule="exact"/>
              <w:ind w:left="0" w:leftChars="0" w:right="0" w:rightChars="0"/>
              <w:jc w:val="both"/>
              <w:textAlignment w:val="auto"/>
              <w:outlineLvl w:val="9"/>
              <w:rPr>
                <w:rFonts w:hint="eastAsia" w:ascii="黑体" w:hAnsi="黑体" w:eastAsia="黑体" w:cs="黑体"/>
                <w:b w:val="0"/>
                <w:bCs w:val="0"/>
                <w:color w:val="auto"/>
                <w:spacing w:val="0"/>
                <w:sz w:val="24"/>
                <w:szCs w:val="24"/>
                <w:highlight w:val="none"/>
              </w:rPr>
            </w:pPr>
            <w:r>
              <w:rPr>
                <w:rFonts w:hint="eastAsia" w:ascii="黑体" w:hAnsi="黑体" w:eastAsia="黑体" w:cs="黑体"/>
                <w:b w:val="0"/>
                <w:bCs w:val="0"/>
                <w:color w:val="auto"/>
                <w:spacing w:val="0"/>
                <w:sz w:val="24"/>
                <w:szCs w:val="24"/>
                <w:highlight w:val="none"/>
                <w:lang w:eastAsia="zh-CN"/>
              </w:rPr>
              <w:t>造价咨询</w:t>
            </w:r>
            <w:r>
              <w:rPr>
                <w:rFonts w:hint="eastAsia" w:ascii="黑体" w:hAnsi="黑体" w:eastAsia="黑体" w:cs="黑体"/>
                <w:b w:val="0"/>
                <w:bCs w:val="0"/>
                <w:color w:val="auto"/>
                <w:spacing w:val="0"/>
                <w:sz w:val="24"/>
                <w:szCs w:val="24"/>
                <w:highlight w:val="none"/>
              </w:rPr>
              <w:t>单位</w:t>
            </w:r>
            <w:r>
              <w:rPr>
                <w:rFonts w:hint="eastAsia" w:ascii="黑体" w:hAnsi="黑体" w:eastAsia="黑体" w:cs="黑体"/>
                <w:b w:val="0"/>
                <w:bCs w:val="0"/>
                <w:color w:val="auto"/>
                <w:spacing w:val="0"/>
                <w:sz w:val="24"/>
                <w:szCs w:val="24"/>
                <w:highlight w:val="none"/>
                <w:lang w:eastAsia="zh-CN"/>
              </w:rPr>
              <w:t>意见：</w:t>
            </w:r>
          </w:p>
          <w:p w14:paraId="01B92081">
            <w:pPr>
              <w:keepNext w:val="0"/>
              <w:keepLines w:val="0"/>
              <w:pageBreakBefore w:val="0"/>
              <w:widowControl/>
              <w:kinsoku/>
              <w:wordWrap/>
              <w:overflowPunct/>
              <w:topLinePunct w:val="0"/>
              <w:bidi w:val="0"/>
              <w:adjustRightInd/>
              <w:snapToGrid/>
              <w:spacing w:line="500" w:lineRule="exact"/>
              <w:ind w:left="0" w:leftChars="0" w:right="0" w:rightChars="0"/>
              <w:jc w:val="both"/>
              <w:textAlignment w:val="auto"/>
              <w:outlineLvl w:val="9"/>
              <w:rPr>
                <w:rFonts w:hint="eastAsia" w:ascii="仿宋_GB2312" w:hAnsi="仿宋_GB2312" w:eastAsia="仿宋_GB2312" w:cs="仿宋_GB2312"/>
                <w:b w:val="0"/>
                <w:bCs w:val="0"/>
                <w:color w:val="auto"/>
                <w:spacing w:val="0"/>
                <w:kern w:val="0"/>
                <w:sz w:val="18"/>
                <w:szCs w:val="18"/>
                <w:highlight w:val="none"/>
                <w:lang w:val="en-US" w:eastAsia="zh-CN" w:bidi="ar-SA"/>
              </w:rPr>
            </w:pPr>
            <w:r>
              <w:rPr>
                <w:rFonts w:hint="eastAsia" w:ascii="仿宋_GB2312" w:hAnsi="仿宋_GB2312" w:eastAsia="仿宋_GB2312" w:cs="仿宋_GB2312"/>
                <w:b w:val="0"/>
                <w:bCs w:val="0"/>
                <w:color w:val="auto"/>
                <w:spacing w:val="0"/>
                <w:kern w:val="0"/>
                <w:sz w:val="18"/>
                <w:szCs w:val="18"/>
                <w:highlight w:val="none"/>
                <w:lang w:val="en-US" w:eastAsia="zh-CN" w:bidi="ar-SA"/>
              </w:rPr>
              <w:t>（对变更事宜的真实性、是否引起造价调整方面给出意见）</w:t>
            </w:r>
          </w:p>
          <w:p w14:paraId="43C4A6EF">
            <w:pPr>
              <w:keepNext w:val="0"/>
              <w:keepLines w:val="0"/>
              <w:pageBreakBefore w:val="0"/>
              <w:widowControl/>
              <w:kinsoku/>
              <w:wordWrap/>
              <w:overflowPunct/>
              <w:topLinePunct w:val="0"/>
              <w:bidi w:val="0"/>
              <w:adjustRightInd/>
              <w:snapToGrid/>
              <w:spacing w:line="500" w:lineRule="exact"/>
              <w:ind w:left="0" w:leftChars="0" w:right="0" w:rightChars="0"/>
              <w:jc w:val="left"/>
              <w:textAlignment w:val="auto"/>
              <w:outlineLvl w:val="9"/>
              <w:rPr>
                <w:rFonts w:hint="eastAsia" w:ascii="宋体" w:hAnsi="宋体" w:cs="宋体"/>
                <w:b/>
                <w:bCs/>
                <w:color w:val="auto"/>
                <w:spacing w:val="0"/>
                <w:sz w:val="24"/>
                <w:szCs w:val="24"/>
                <w:highlight w:val="none"/>
                <w:lang w:eastAsia="zh-CN"/>
              </w:rPr>
            </w:pPr>
          </w:p>
          <w:p w14:paraId="43647437">
            <w:pPr>
              <w:keepNext w:val="0"/>
              <w:keepLines w:val="0"/>
              <w:pageBreakBefore w:val="0"/>
              <w:widowControl/>
              <w:kinsoku/>
              <w:wordWrap/>
              <w:overflowPunct/>
              <w:topLinePunct w:val="0"/>
              <w:bidi w:val="0"/>
              <w:adjustRightInd/>
              <w:snapToGrid/>
              <w:spacing w:line="500" w:lineRule="exact"/>
              <w:ind w:left="0" w:leftChars="0" w:right="0" w:rightChars="0"/>
              <w:jc w:val="left"/>
              <w:textAlignment w:val="auto"/>
              <w:outlineLvl w:val="9"/>
              <w:rPr>
                <w:rFonts w:hint="eastAsia" w:ascii="楷体_GB2312" w:hAnsi="楷体_GB2312" w:eastAsia="楷体_GB2312" w:cs="楷体_GB2312"/>
                <w:b w:val="0"/>
                <w:bCs w:val="0"/>
                <w:color w:val="auto"/>
                <w:spacing w:val="0"/>
                <w:sz w:val="24"/>
                <w:szCs w:val="24"/>
                <w:highlight w:val="none"/>
                <w:lang w:eastAsia="zh-CN"/>
              </w:rPr>
            </w:pPr>
            <w:r>
              <w:rPr>
                <w:rFonts w:hint="eastAsia" w:ascii="楷体_GB2312" w:hAnsi="楷体_GB2312" w:eastAsia="楷体_GB2312" w:cs="楷体_GB2312"/>
                <w:b w:val="0"/>
                <w:bCs w:val="0"/>
                <w:color w:val="auto"/>
                <w:spacing w:val="0"/>
                <w:sz w:val="24"/>
                <w:szCs w:val="24"/>
                <w:highlight w:val="none"/>
                <w:lang w:eastAsia="zh-CN"/>
              </w:rPr>
              <w:t>一级注册造价工程师：</w:t>
            </w:r>
          </w:p>
          <w:p w14:paraId="40533CAF">
            <w:pPr>
              <w:keepNext w:val="0"/>
              <w:keepLines w:val="0"/>
              <w:pageBreakBefore w:val="0"/>
              <w:widowControl/>
              <w:kinsoku/>
              <w:wordWrap/>
              <w:overflowPunct/>
              <w:topLinePunct w:val="0"/>
              <w:bidi w:val="0"/>
              <w:adjustRightInd/>
              <w:snapToGrid/>
              <w:spacing w:line="500" w:lineRule="exact"/>
              <w:ind w:left="0" w:leftChars="0" w:right="0" w:rightChars="0"/>
              <w:jc w:val="left"/>
              <w:textAlignment w:val="auto"/>
              <w:outlineLvl w:val="9"/>
              <w:rPr>
                <w:rFonts w:hint="eastAsia" w:ascii="宋体" w:hAnsi="宋体" w:eastAsia="宋体" w:cs="宋体"/>
                <w:b/>
                <w:bCs/>
                <w:color w:val="auto"/>
                <w:spacing w:val="0"/>
                <w:sz w:val="24"/>
                <w:szCs w:val="24"/>
                <w:highlight w:val="none"/>
                <w:lang w:eastAsia="zh-CN"/>
              </w:rPr>
            </w:pPr>
            <w:r>
              <w:rPr>
                <w:rFonts w:hint="eastAsia" w:ascii="楷体_GB2312" w:hAnsi="楷体_GB2312" w:eastAsia="楷体_GB2312" w:cs="楷体_GB2312"/>
                <w:b w:val="0"/>
                <w:bCs w:val="0"/>
                <w:color w:val="auto"/>
                <w:spacing w:val="0"/>
                <w:sz w:val="24"/>
                <w:szCs w:val="24"/>
                <w:highlight w:val="none"/>
                <w:lang w:eastAsia="zh-CN"/>
              </w:rPr>
              <w:t>（公章）</w:t>
            </w: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lang w:eastAsia="zh-CN"/>
              </w:rPr>
              <w:t>年   月   日</w:t>
            </w:r>
          </w:p>
        </w:tc>
      </w:tr>
      <w:tr w14:paraId="34D27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jc w:val="center"/>
        </w:trPr>
        <w:tc>
          <w:tcPr>
            <w:tcW w:w="2772" w:type="dxa"/>
            <w:gridSpan w:val="2"/>
            <w:noWrap w:val="0"/>
            <w:vAlign w:val="top"/>
          </w:tcPr>
          <w:p w14:paraId="60103FE9">
            <w:pPr>
              <w:pStyle w:val="12"/>
              <w:keepNext w:val="0"/>
              <w:keepLines w:val="0"/>
              <w:pageBreakBefore w:val="0"/>
              <w:widowControl/>
              <w:kinsoku/>
              <w:wordWrap/>
              <w:overflowPunct/>
              <w:topLinePunct w:val="0"/>
              <w:bidi w:val="0"/>
              <w:adjustRightInd/>
              <w:snapToGrid/>
              <w:spacing w:line="500" w:lineRule="exact"/>
              <w:ind w:left="0" w:leftChars="0" w:right="0" w:rightChars="0"/>
              <w:jc w:val="both"/>
              <w:textAlignment w:val="auto"/>
              <w:outlineLvl w:val="9"/>
              <w:rPr>
                <w:rFonts w:hint="eastAsia" w:ascii="黑体" w:hAnsi="黑体" w:eastAsia="黑体" w:cs="黑体"/>
                <w:b w:val="0"/>
                <w:bCs w:val="0"/>
                <w:color w:val="auto"/>
                <w:highlight w:val="none"/>
                <w:lang w:val="en-US" w:eastAsia="zh-CN"/>
              </w:rPr>
            </w:pPr>
            <w:r>
              <w:rPr>
                <w:rFonts w:hint="eastAsia" w:ascii="黑体" w:hAnsi="黑体" w:eastAsia="黑体" w:cs="黑体"/>
                <w:b w:val="0"/>
                <w:bCs w:val="0"/>
                <w:color w:val="auto"/>
                <w:spacing w:val="0"/>
                <w:sz w:val="24"/>
                <w:szCs w:val="24"/>
                <w:highlight w:val="none"/>
                <w:lang w:val="en-US" w:eastAsia="zh-CN"/>
              </w:rPr>
              <w:t>建设单位</w:t>
            </w:r>
            <w:r>
              <w:rPr>
                <w:rFonts w:hint="eastAsia" w:ascii="黑体" w:hAnsi="黑体" w:eastAsia="黑体" w:cs="黑体"/>
                <w:b w:val="0"/>
                <w:bCs w:val="0"/>
                <w:color w:val="auto"/>
                <w:spacing w:val="0"/>
                <w:sz w:val="24"/>
                <w:szCs w:val="24"/>
                <w:highlight w:val="none"/>
                <w:lang w:eastAsia="zh-CN"/>
              </w:rPr>
              <w:t>项目组长意见：</w:t>
            </w:r>
          </w:p>
          <w:p w14:paraId="4728ED94">
            <w:pPr>
              <w:keepNext w:val="0"/>
              <w:keepLines w:val="0"/>
              <w:pageBreakBefore w:val="0"/>
              <w:widowControl/>
              <w:kinsoku/>
              <w:wordWrap/>
              <w:overflowPunct/>
              <w:topLinePunct w:val="0"/>
              <w:bidi w:val="0"/>
              <w:adjustRightInd/>
              <w:snapToGrid/>
              <w:spacing w:line="500" w:lineRule="exact"/>
              <w:ind w:left="0" w:leftChars="0" w:right="0" w:rightChars="0"/>
              <w:jc w:val="left"/>
              <w:textAlignment w:val="auto"/>
              <w:outlineLvl w:val="9"/>
              <w:rPr>
                <w:rFonts w:hint="eastAsia" w:ascii="宋体" w:hAnsi="宋体" w:cs="宋体"/>
                <w:b/>
                <w:bCs/>
                <w:color w:val="auto"/>
                <w:spacing w:val="0"/>
                <w:sz w:val="24"/>
                <w:szCs w:val="24"/>
                <w:highlight w:val="none"/>
                <w:lang w:val="en-US" w:eastAsia="zh-CN"/>
              </w:rPr>
            </w:pPr>
          </w:p>
          <w:p w14:paraId="20E9C629">
            <w:pPr>
              <w:pStyle w:val="7"/>
              <w:keepNext w:val="0"/>
              <w:keepLines w:val="0"/>
              <w:pageBreakBefore w:val="0"/>
              <w:widowControl/>
              <w:kinsoku/>
              <w:overflowPunct/>
              <w:topLinePunct w:val="0"/>
              <w:bidi w:val="0"/>
              <w:snapToGrid/>
              <w:spacing w:line="500" w:lineRule="exact"/>
              <w:ind w:left="0" w:leftChars="0" w:right="0" w:rightChars="0" w:firstLine="0" w:firstLineChars="0"/>
              <w:textAlignment w:val="auto"/>
              <w:outlineLvl w:val="9"/>
              <w:rPr>
                <w:rFonts w:hint="eastAsia"/>
                <w:color w:val="auto"/>
                <w:lang w:val="en-US" w:eastAsia="zh-CN"/>
              </w:rPr>
            </w:pPr>
          </w:p>
          <w:p w14:paraId="0DAE1252">
            <w:pPr>
              <w:pStyle w:val="7"/>
              <w:keepNext w:val="0"/>
              <w:keepLines w:val="0"/>
              <w:pageBreakBefore w:val="0"/>
              <w:widowControl/>
              <w:kinsoku/>
              <w:overflowPunct/>
              <w:topLinePunct w:val="0"/>
              <w:bidi w:val="0"/>
              <w:snapToGrid/>
              <w:spacing w:line="500" w:lineRule="exact"/>
              <w:ind w:left="0" w:leftChars="0" w:right="0" w:rightChars="0" w:firstLine="0" w:firstLineChars="0"/>
              <w:textAlignment w:val="auto"/>
              <w:outlineLvl w:val="9"/>
              <w:rPr>
                <w:rFonts w:hint="eastAsia"/>
                <w:color w:val="auto"/>
                <w:lang w:val="en-US" w:eastAsia="zh-CN"/>
              </w:rPr>
            </w:pPr>
          </w:p>
          <w:p w14:paraId="3B551918">
            <w:pPr>
              <w:keepNext w:val="0"/>
              <w:keepLines w:val="0"/>
              <w:pageBreakBefore w:val="0"/>
              <w:widowControl/>
              <w:kinsoku/>
              <w:wordWrap/>
              <w:overflowPunct/>
              <w:topLinePunct w:val="0"/>
              <w:bidi w:val="0"/>
              <w:adjustRightInd/>
              <w:snapToGrid/>
              <w:spacing w:line="500" w:lineRule="exact"/>
              <w:ind w:left="0" w:leftChars="0" w:right="0" w:rightChars="0"/>
              <w:jc w:val="left"/>
              <w:textAlignment w:val="auto"/>
              <w:outlineLvl w:val="9"/>
              <w:rPr>
                <w:rFonts w:hint="eastAsia" w:ascii="楷体_GB2312" w:hAnsi="楷体_GB2312" w:eastAsia="楷体_GB2312" w:cs="楷体_GB2312"/>
                <w:b w:val="0"/>
                <w:bCs w:val="0"/>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签字：</w:t>
            </w:r>
          </w:p>
          <w:p w14:paraId="3DB92C02">
            <w:pPr>
              <w:keepNext w:val="0"/>
              <w:keepLines w:val="0"/>
              <w:pageBreakBefore w:val="0"/>
              <w:widowControl/>
              <w:kinsoku/>
              <w:wordWrap/>
              <w:overflowPunct/>
              <w:topLinePunct w:val="0"/>
              <w:bidi w:val="0"/>
              <w:adjustRightInd/>
              <w:snapToGrid/>
              <w:spacing w:line="500" w:lineRule="exact"/>
              <w:ind w:left="0" w:leftChars="0" w:right="0" w:rightChars="0"/>
              <w:jc w:val="right"/>
              <w:textAlignment w:val="auto"/>
              <w:outlineLvl w:val="9"/>
              <w:rPr>
                <w:rFonts w:hint="eastAsia" w:ascii="宋体" w:hAnsi="宋体" w:eastAsia="宋体" w:cs="宋体"/>
                <w:b/>
                <w:bCs/>
                <w:color w:val="auto"/>
                <w:spacing w:val="0"/>
                <w:sz w:val="24"/>
                <w:szCs w:val="24"/>
                <w:highlight w:val="none"/>
              </w:rPr>
            </w:pPr>
            <w:r>
              <w:rPr>
                <w:rFonts w:hint="eastAsia" w:ascii="楷体_GB2312" w:hAnsi="楷体_GB2312" w:eastAsia="楷体_GB2312" w:cs="楷体_GB2312"/>
                <w:b w:val="0"/>
                <w:bCs w:val="0"/>
                <w:color w:val="auto"/>
                <w:spacing w:val="0"/>
                <w:sz w:val="24"/>
                <w:szCs w:val="24"/>
                <w:highlight w:val="none"/>
                <w:lang w:val="en-US" w:eastAsia="zh-CN"/>
              </w:rPr>
              <w:t xml:space="preserve">       </w:t>
            </w:r>
            <w:r>
              <w:rPr>
                <w:rFonts w:hint="eastAsia" w:ascii="楷体_GB2312" w:hAnsi="楷体_GB2312" w:eastAsia="楷体_GB2312" w:cs="楷体_GB2312"/>
                <w:b w:val="0"/>
                <w:bCs w:val="0"/>
                <w:color w:val="auto"/>
                <w:spacing w:val="0"/>
                <w:sz w:val="24"/>
                <w:szCs w:val="24"/>
                <w:highlight w:val="none"/>
                <w:lang w:eastAsia="zh-CN"/>
              </w:rPr>
              <w:t>年   月   日</w:t>
            </w:r>
          </w:p>
        </w:tc>
        <w:tc>
          <w:tcPr>
            <w:tcW w:w="2987" w:type="dxa"/>
            <w:gridSpan w:val="3"/>
            <w:noWrap w:val="0"/>
            <w:vAlign w:val="top"/>
          </w:tcPr>
          <w:p w14:paraId="4DCDA67E">
            <w:pPr>
              <w:pStyle w:val="12"/>
              <w:keepNext w:val="0"/>
              <w:keepLines w:val="0"/>
              <w:pageBreakBefore w:val="0"/>
              <w:widowControl/>
              <w:kinsoku/>
              <w:wordWrap/>
              <w:overflowPunct/>
              <w:topLinePunct w:val="0"/>
              <w:bidi w:val="0"/>
              <w:adjustRightInd/>
              <w:snapToGrid/>
              <w:spacing w:line="500" w:lineRule="exact"/>
              <w:ind w:left="0" w:leftChars="0" w:right="0" w:rightChars="0"/>
              <w:jc w:val="both"/>
              <w:textAlignment w:val="auto"/>
              <w:outlineLvl w:val="9"/>
              <w:rPr>
                <w:rFonts w:hint="default" w:ascii="宋体" w:hAnsi="宋体" w:eastAsia="宋体" w:cs="宋体"/>
                <w:b/>
                <w:bCs/>
                <w:color w:val="auto"/>
                <w:spacing w:val="0"/>
                <w:sz w:val="24"/>
                <w:szCs w:val="24"/>
                <w:highlight w:val="none"/>
                <w:lang w:val="en-US" w:eastAsia="zh-CN"/>
              </w:rPr>
            </w:pPr>
            <w:r>
              <w:rPr>
                <w:rFonts w:hint="eastAsia" w:ascii="黑体" w:hAnsi="黑体" w:eastAsia="黑体" w:cs="黑体"/>
                <w:b w:val="0"/>
                <w:bCs w:val="0"/>
                <w:color w:val="auto"/>
                <w:spacing w:val="0"/>
                <w:kern w:val="2"/>
                <w:sz w:val="24"/>
                <w:szCs w:val="24"/>
                <w:highlight w:val="none"/>
                <w:lang w:val="en-US" w:eastAsia="zh-CN" w:bidi="ar-SA"/>
              </w:rPr>
              <w:t>建设单位相关科室意见：</w:t>
            </w:r>
            <w:r>
              <w:rPr>
                <w:rFonts w:hint="eastAsia" w:ascii="宋体" w:hAnsi="宋体" w:eastAsia="宋体" w:cs="宋体"/>
                <w:b/>
                <w:bCs/>
                <w:color w:val="auto"/>
                <w:spacing w:val="0"/>
                <w:sz w:val="24"/>
                <w:szCs w:val="24"/>
                <w:highlight w:val="none"/>
                <w:lang w:val="en-US" w:eastAsia="zh-CN"/>
              </w:rPr>
              <w:t xml:space="preserve"> </w:t>
            </w:r>
          </w:p>
          <w:p w14:paraId="19DD06B5">
            <w:pPr>
              <w:keepNext w:val="0"/>
              <w:keepLines w:val="0"/>
              <w:pageBreakBefore w:val="0"/>
              <w:widowControl/>
              <w:kinsoku/>
              <w:wordWrap/>
              <w:overflowPunct/>
              <w:topLinePunct w:val="0"/>
              <w:bidi w:val="0"/>
              <w:adjustRightInd/>
              <w:snapToGrid/>
              <w:spacing w:line="500" w:lineRule="exact"/>
              <w:ind w:left="0" w:leftChars="0" w:right="0" w:rightChars="0"/>
              <w:jc w:val="both"/>
              <w:textAlignment w:val="auto"/>
              <w:outlineLvl w:val="9"/>
              <w:rPr>
                <w:rFonts w:hint="eastAsia" w:ascii="宋体" w:hAnsi="宋体" w:cs="宋体"/>
                <w:b/>
                <w:bCs/>
                <w:color w:val="auto"/>
                <w:spacing w:val="0"/>
                <w:sz w:val="24"/>
                <w:szCs w:val="24"/>
                <w:highlight w:val="none"/>
                <w:lang w:val="en-US" w:eastAsia="zh-CN"/>
              </w:rPr>
            </w:pPr>
          </w:p>
          <w:p w14:paraId="35DF4DE9">
            <w:pPr>
              <w:keepNext w:val="0"/>
              <w:keepLines w:val="0"/>
              <w:pageBreakBefore w:val="0"/>
              <w:widowControl/>
              <w:kinsoku/>
              <w:wordWrap/>
              <w:overflowPunct/>
              <w:topLinePunct w:val="0"/>
              <w:bidi w:val="0"/>
              <w:adjustRightInd/>
              <w:snapToGrid/>
              <w:spacing w:line="500" w:lineRule="exact"/>
              <w:ind w:left="0" w:leftChars="0" w:right="0" w:rightChars="0"/>
              <w:jc w:val="both"/>
              <w:textAlignment w:val="auto"/>
              <w:outlineLvl w:val="9"/>
              <w:rPr>
                <w:rFonts w:hint="eastAsia" w:ascii="宋体" w:hAnsi="宋体" w:cs="宋体"/>
                <w:b/>
                <w:bCs/>
                <w:color w:val="auto"/>
                <w:spacing w:val="0"/>
                <w:sz w:val="24"/>
                <w:szCs w:val="24"/>
                <w:highlight w:val="none"/>
                <w:lang w:val="en-US" w:eastAsia="zh-CN"/>
              </w:rPr>
            </w:pPr>
            <w:r>
              <w:rPr>
                <w:rFonts w:hint="eastAsia" w:ascii="宋体" w:hAnsi="宋体" w:cs="宋体"/>
                <w:b/>
                <w:bCs/>
                <w:color w:val="auto"/>
                <w:spacing w:val="0"/>
                <w:sz w:val="24"/>
                <w:szCs w:val="24"/>
                <w:highlight w:val="none"/>
                <w:lang w:val="en-US" w:eastAsia="zh-CN"/>
              </w:rPr>
              <w:t xml:space="preserve">              </w:t>
            </w:r>
          </w:p>
          <w:p w14:paraId="03769409">
            <w:pPr>
              <w:keepNext w:val="0"/>
              <w:keepLines w:val="0"/>
              <w:pageBreakBefore w:val="0"/>
              <w:widowControl/>
              <w:kinsoku/>
              <w:wordWrap/>
              <w:overflowPunct/>
              <w:topLinePunct w:val="0"/>
              <w:bidi w:val="0"/>
              <w:adjustRightInd/>
              <w:snapToGrid/>
              <w:spacing w:line="500" w:lineRule="exact"/>
              <w:ind w:left="0" w:leftChars="0" w:right="0" w:rightChars="0"/>
              <w:jc w:val="both"/>
              <w:textAlignment w:val="auto"/>
              <w:outlineLvl w:val="9"/>
              <w:rPr>
                <w:rFonts w:hint="eastAsia" w:ascii="宋体" w:hAnsi="宋体" w:cs="宋体"/>
                <w:b/>
                <w:bCs/>
                <w:color w:val="auto"/>
                <w:spacing w:val="0"/>
                <w:sz w:val="24"/>
                <w:szCs w:val="24"/>
                <w:highlight w:val="none"/>
                <w:lang w:val="en-US" w:eastAsia="zh-CN"/>
              </w:rPr>
            </w:pPr>
            <w:r>
              <w:rPr>
                <w:rFonts w:hint="eastAsia" w:ascii="宋体" w:hAnsi="宋体" w:cs="宋体"/>
                <w:b/>
                <w:bCs/>
                <w:color w:val="auto"/>
                <w:spacing w:val="0"/>
                <w:sz w:val="24"/>
                <w:szCs w:val="24"/>
                <w:highlight w:val="none"/>
                <w:lang w:val="en-US" w:eastAsia="zh-CN"/>
              </w:rPr>
              <w:t xml:space="preserve">          </w:t>
            </w:r>
          </w:p>
          <w:p w14:paraId="0088B743">
            <w:pPr>
              <w:keepNext w:val="0"/>
              <w:keepLines w:val="0"/>
              <w:pageBreakBefore w:val="0"/>
              <w:widowControl/>
              <w:kinsoku/>
              <w:wordWrap/>
              <w:overflowPunct/>
              <w:topLinePunct w:val="0"/>
              <w:bidi w:val="0"/>
              <w:adjustRightInd/>
              <w:snapToGrid/>
              <w:spacing w:line="500" w:lineRule="exact"/>
              <w:ind w:left="0" w:leftChars="0" w:right="0" w:rightChars="0"/>
              <w:jc w:val="left"/>
              <w:textAlignment w:val="auto"/>
              <w:outlineLvl w:val="9"/>
              <w:rPr>
                <w:rFonts w:hint="eastAsia" w:ascii="楷体_GB2312" w:hAnsi="楷体_GB2312" w:eastAsia="楷体_GB2312" w:cs="楷体_GB2312"/>
                <w:b w:val="0"/>
                <w:bCs w:val="0"/>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签字：</w:t>
            </w:r>
          </w:p>
          <w:p w14:paraId="055B4EA0">
            <w:pPr>
              <w:keepNext w:val="0"/>
              <w:keepLines w:val="0"/>
              <w:pageBreakBefore w:val="0"/>
              <w:widowControl/>
              <w:kinsoku/>
              <w:wordWrap/>
              <w:overflowPunct/>
              <w:topLinePunct w:val="0"/>
              <w:bidi w:val="0"/>
              <w:adjustRightInd/>
              <w:snapToGrid/>
              <w:spacing w:line="500" w:lineRule="exact"/>
              <w:ind w:left="0" w:leftChars="0" w:right="0" w:rightChars="0"/>
              <w:jc w:val="right"/>
              <w:textAlignment w:val="auto"/>
              <w:outlineLvl w:val="9"/>
              <w:rPr>
                <w:rFonts w:hint="eastAsia" w:ascii="宋体" w:hAnsi="宋体" w:eastAsia="宋体" w:cs="宋体"/>
                <w:b/>
                <w:bCs/>
                <w:color w:val="auto"/>
                <w:spacing w:val="0"/>
                <w:sz w:val="24"/>
                <w:szCs w:val="24"/>
                <w:highlight w:val="none"/>
              </w:rPr>
            </w:pPr>
            <w:r>
              <w:rPr>
                <w:rFonts w:hint="eastAsia" w:ascii="楷体_GB2312" w:hAnsi="楷体_GB2312" w:eastAsia="楷体_GB2312" w:cs="楷体_GB2312"/>
                <w:b w:val="0"/>
                <w:bCs w:val="0"/>
                <w:color w:val="auto"/>
                <w:spacing w:val="0"/>
                <w:sz w:val="24"/>
                <w:szCs w:val="24"/>
                <w:highlight w:val="none"/>
                <w:lang w:val="en-US" w:eastAsia="zh-CN"/>
              </w:rPr>
              <w:t>年   月   日</w:t>
            </w:r>
          </w:p>
        </w:tc>
        <w:tc>
          <w:tcPr>
            <w:tcW w:w="3769" w:type="dxa"/>
            <w:gridSpan w:val="2"/>
            <w:noWrap w:val="0"/>
            <w:vAlign w:val="top"/>
          </w:tcPr>
          <w:p w14:paraId="396F61F4">
            <w:pPr>
              <w:keepNext w:val="0"/>
              <w:keepLines w:val="0"/>
              <w:pageBreakBefore w:val="0"/>
              <w:widowControl/>
              <w:kinsoku/>
              <w:wordWrap/>
              <w:overflowPunct/>
              <w:topLinePunct w:val="0"/>
              <w:bidi w:val="0"/>
              <w:adjustRightInd/>
              <w:snapToGrid/>
              <w:spacing w:line="500" w:lineRule="exact"/>
              <w:ind w:left="0" w:leftChars="0" w:right="0" w:rightChars="0"/>
              <w:jc w:val="both"/>
              <w:textAlignment w:val="auto"/>
              <w:outlineLvl w:val="9"/>
              <w:rPr>
                <w:rFonts w:hint="eastAsia" w:ascii="宋体" w:hAnsi="宋体" w:cs="宋体"/>
                <w:b/>
                <w:bCs/>
                <w:color w:val="auto"/>
                <w:spacing w:val="0"/>
                <w:sz w:val="24"/>
                <w:szCs w:val="24"/>
                <w:highlight w:val="none"/>
                <w:lang w:val="en-US" w:eastAsia="zh-CN"/>
              </w:rPr>
            </w:pPr>
            <w:r>
              <w:rPr>
                <w:rFonts w:hint="eastAsia" w:ascii="黑体" w:hAnsi="黑体" w:eastAsia="黑体" w:cs="黑体"/>
                <w:b w:val="0"/>
                <w:bCs w:val="0"/>
                <w:color w:val="auto"/>
                <w:spacing w:val="0"/>
                <w:kern w:val="2"/>
                <w:sz w:val="24"/>
                <w:szCs w:val="24"/>
                <w:highlight w:val="none"/>
                <w:lang w:val="en-US" w:eastAsia="zh-CN" w:bidi="ar-SA"/>
              </w:rPr>
              <w:t>建设单位分管领导意见：</w:t>
            </w:r>
            <w:r>
              <w:rPr>
                <w:rFonts w:hint="eastAsia" w:ascii="宋体" w:hAnsi="宋体" w:cs="宋体"/>
                <w:b/>
                <w:bCs/>
                <w:color w:val="auto"/>
                <w:spacing w:val="0"/>
                <w:sz w:val="24"/>
                <w:szCs w:val="24"/>
                <w:highlight w:val="none"/>
                <w:lang w:val="en-US" w:eastAsia="zh-CN"/>
              </w:rPr>
              <w:t xml:space="preserve">                         </w:t>
            </w:r>
          </w:p>
          <w:p w14:paraId="662BEF4E">
            <w:pPr>
              <w:keepNext w:val="0"/>
              <w:keepLines w:val="0"/>
              <w:pageBreakBefore w:val="0"/>
              <w:widowControl/>
              <w:kinsoku/>
              <w:wordWrap/>
              <w:overflowPunct/>
              <w:topLinePunct w:val="0"/>
              <w:bidi w:val="0"/>
              <w:adjustRightInd/>
              <w:snapToGrid/>
              <w:spacing w:line="500" w:lineRule="exact"/>
              <w:ind w:left="0" w:leftChars="0" w:right="0" w:rightChars="0"/>
              <w:jc w:val="both"/>
              <w:textAlignment w:val="auto"/>
              <w:outlineLvl w:val="9"/>
              <w:rPr>
                <w:rFonts w:hint="eastAsia" w:ascii="宋体" w:hAnsi="宋体" w:cs="宋体"/>
                <w:b/>
                <w:bCs/>
                <w:color w:val="auto"/>
                <w:spacing w:val="0"/>
                <w:sz w:val="24"/>
                <w:szCs w:val="24"/>
                <w:highlight w:val="none"/>
                <w:lang w:val="en-US" w:eastAsia="zh-CN"/>
              </w:rPr>
            </w:pPr>
          </w:p>
          <w:p w14:paraId="02322753">
            <w:pPr>
              <w:pStyle w:val="7"/>
              <w:keepNext w:val="0"/>
              <w:keepLines w:val="0"/>
              <w:pageBreakBefore w:val="0"/>
              <w:widowControl/>
              <w:kinsoku/>
              <w:overflowPunct/>
              <w:topLinePunct w:val="0"/>
              <w:bidi w:val="0"/>
              <w:snapToGrid/>
              <w:ind w:left="0" w:leftChars="0" w:right="0" w:rightChars="0"/>
              <w:textAlignment w:val="auto"/>
              <w:outlineLvl w:val="9"/>
              <w:rPr>
                <w:rFonts w:hint="eastAsia"/>
                <w:color w:val="auto"/>
                <w:lang w:val="en-US" w:eastAsia="zh-CN"/>
              </w:rPr>
            </w:pPr>
          </w:p>
          <w:p w14:paraId="68703E1E">
            <w:pPr>
              <w:keepNext w:val="0"/>
              <w:keepLines w:val="0"/>
              <w:pageBreakBefore w:val="0"/>
              <w:widowControl/>
              <w:kinsoku/>
              <w:wordWrap w:val="0"/>
              <w:overflowPunct/>
              <w:topLinePunct w:val="0"/>
              <w:bidi w:val="0"/>
              <w:adjustRightInd/>
              <w:snapToGrid/>
              <w:spacing w:line="500" w:lineRule="exact"/>
              <w:ind w:left="0" w:leftChars="0" w:right="0" w:rightChars="0"/>
              <w:jc w:val="both"/>
              <w:textAlignment w:val="auto"/>
              <w:outlineLvl w:val="9"/>
              <w:rPr>
                <w:rFonts w:hint="default" w:ascii="宋体" w:hAnsi="宋体" w:cs="宋体"/>
                <w:b/>
                <w:bCs/>
                <w:color w:val="auto"/>
                <w:spacing w:val="0"/>
                <w:sz w:val="24"/>
                <w:szCs w:val="24"/>
                <w:highlight w:val="none"/>
                <w:lang w:val="en-US" w:eastAsia="zh-CN"/>
              </w:rPr>
            </w:pPr>
            <w:r>
              <w:rPr>
                <w:rFonts w:hint="eastAsia" w:ascii="宋体" w:hAnsi="宋体" w:eastAsia="宋体" w:cs="宋体"/>
                <w:b/>
                <w:bCs/>
                <w:color w:val="auto"/>
                <w:spacing w:val="0"/>
                <w:sz w:val="24"/>
                <w:szCs w:val="24"/>
                <w:highlight w:val="none"/>
                <w:lang w:val="en-US" w:eastAsia="zh-CN"/>
              </w:rPr>
              <w:t xml:space="preserve"> </w:t>
            </w:r>
          </w:p>
          <w:p w14:paraId="10F9E0C7">
            <w:pPr>
              <w:keepNext w:val="0"/>
              <w:keepLines w:val="0"/>
              <w:pageBreakBefore w:val="0"/>
              <w:widowControl/>
              <w:kinsoku/>
              <w:wordWrap/>
              <w:overflowPunct/>
              <w:topLinePunct w:val="0"/>
              <w:bidi w:val="0"/>
              <w:adjustRightInd/>
              <w:snapToGrid/>
              <w:spacing w:line="500" w:lineRule="exact"/>
              <w:ind w:left="0" w:leftChars="0" w:right="0" w:rightChars="0"/>
              <w:jc w:val="left"/>
              <w:textAlignment w:val="auto"/>
              <w:outlineLvl w:val="9"/>
              <w:rPr>
                <w:rFonts w:hint="eastAsia" w:ascii="楷体_GB2312" w:hAnsi="楷体_GB2312" w:eastAsia="楷体_GB2312" w:cs="楷体_GB2312"/>
                <w:b w:val="0"/>
                <w:bCs w:val="0"/>
                <w:color w:val="auto"/>
                <w:spacing w:val="0"/>
                <w:sz w:val="24"/>
                <w:szCs w:val="24"/>
                <w:highlight w:val="none"/>
                <w:lang w:val="en-US" w:eastAsia="zh-CN"/>
              </w:rPr>
            </w:pPr>
            <w:r>
              <w:rPr>
                <w:rFonts w:hint="eastAsia" w:ascii="楷体_GB2312" w:hAnsi="楷体_GB2312" w:eastAsia="楷体_GB2312" w:cs="楷体_GB2312"/>
                <w:b w:val="0"/>
                <w:bCs w:val="0"/>
                <w:color w:val="auto"/>
                <w:spacing w:val="0"/>
                <w:sz w:val="24"/>
                <w:szCs w:val="24"/>
                <w:highlight w:val="none"/>
                <w:lang w:val="en-US" w:eastAsia="zh-CN"/>
              </w:rPr>
              <w:t xml:space="preserve">签字 ：           （公章） </w:t>
            </w:r>
          </w:p>
          <w:p w14:paraId="301A0050">
            <w:pPr>
              <w:keepNext w:val="0"/>
              <w:keepLines w:val="0"/>
              <w:pageBreakBefore w:val="0"/>
              <w:widowControl/>
              <w:kinsoku/>
              <w:wordWrap/>
              <w:overflowPunct/>
              <w:topLinePunct w:val="0"/>
              <w:bidi w:val="0"/>
              <w:adjustRightInd/>
              <w:snapToGrid/>
              <w:spacing w:line="500" w:lineRule="exact"/>
              <w:ind w:left="0" w:leftChars="0" w:right="0" w:rightChars="0"/>
              <w:jc w:val="right"/>
              <w:textAlignment w:val="auto"/>
              <w:outlineLvl w:val="9"/>
              <w:rPr>
                <w:rFonts w:hint="eastAsia" w:ascii="宋体" w:hAnsi="宋体" w:eastAsia="宋体" w:cs="宋体"/>
                <w:b/>
                <w:bCs/>
                <w:color w:val="auto"/>
                <w:spacing w:val="0"/>
                <w:sz w:val="24"/>
                <w:szCs w:val="24"/>
                <w:highlight w:val="none"/>
              </w:rPr>
            </w:pPr>
            <w:r>
              <w:rPr>
                <w:rFonts w:hint="eastAsia" w:ascii="楷体_GB2312" w:hAnsi="楷体_GB2312" w:eastAsia="楷体_GB2312" w:cs="楷体_GB2312"/>
                <w:b w:val="0"/>
                <w:bCs w:val="0"/>
                <w:color w:val="auto"/>
                <w:spacing w:val="0"/>
                <w:sz w:val="24"/>
                <w:szCs w:val="24"/>
                <w:highlight w:val="none"/>
                <w:lang w:val="en-US" w:eastAsia="zh-CN"/>
              </w:rPr>
              <w:t>年   月   日</w:t>
            </w:r>
          </w:p>
        </w:tc>
      </w:tr>
    </w:tbl>
    <w:p w14:paraId="3CE14885">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楷体_GB2312" w:hAnsi="楷体_GB2312" w:eastAsia="楷体_GB2312" w:cs="楷体_GB2312"/>
          <w:b w:val="0"/>
          <w:bCs w:val="0"/>
          <w:color w:val="auto"/>
          <w:spacing w:val="0"/>
          <w:sz w:val="18"/>
          <w:szCs w:val="18"/>
          <w:highlight w:val="none"/>
          <w:lang w:val="en-US" w:eastAsia="zh-CN"/>
        </w:rPr>
      </w:pPr>
      <w:r>
        <w:rPr>
          <w:rFonts w:hint="eastAsia" w:ascii="楷体_GB2312" w:hAnsi="楷体_GB2312" w:eastAsia="楷体_GB2312" w:cs="楷体_GB2312"/>
          <w:b w:val="0"/>
          <w:bCs w:val="0"/>
          <w:color w:val="auto"/>
          <w:spacing w:val="0"/>
          <w:sz w:val="18"/>
          <w:szCs w:val="18"/>
          <w:highlight w:val="none"/>
          <w:lang w:val="en-US" w:eastAsia="zh-CN"/>
        </w:rPr>
        <w:t>注：1.本表由施工单位填报，并作为分项工程或总体工程结算审核资料；</w:t>
      </w:r>
    </w:p>
    <w:p w14:paraId="4F3CFA59">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楷体_GB2312" w:hAnsi="楷体_GB2312" w:eastAsia="楷体_GB2312" w:cs="楷体_GB2312"/>
          <w:b w:val="0"/>
          <w:bCs w:val="0"/>
          <w:color w:val="auto"/>
          <w:spacing w:val="0"/>
          <w:sz w:val="18"/>
          <w:szCs w:val="18"/>
          <w:highlight w:val="none"/>
          <w:lang w:val="en-US" w:eastAsia="zh-CN"/>
        </w:rPr>
      </w:pPr>
      <w:r>
        <w:rPr>
          <w:rFonts w:hint="eastAsia" w:ascii="楷体_GB2312" w:hAnsi="楷体_GB2312" w:eastAsia="楷体_GB2312" w:cs="楷体_GB2312"/>
          <w:b w:val="0"/>
          <w:bCs w:val="0"/>
          <w:color w:val="auto"/>
          <w:spacing w:val="0"/>
          <w:sz w:val="18"/>
          <w:szCs w:val="18"/>
          <w:highlight w:val="none"/>
          <w:lang w:val="en-US" w:eastAsia="zh-CN"/>
        </w:rPr>
        <w:t xml:space="preserve">    2.施工单位填报的签证内容中，必须明确表述工程量计量依据及施工做法；</w:t>
      </w:r>
    </w:p>
    <w:p w14:paraId="3F5E8BCA">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楷体_GB2312" w:hAnsi="楷体_GB2312" w:eastAsia="楷体_GB2312" w:cs="楷体_GB2312"/>
          <w:b w:val="0"/>
          <w:bCs w:val="0"/>
          <w:color w:val="auto"/>
          <w:spacing w:val="0"/>
          <w:sz w:val="18"/>
          <w:szCs w:val="18"/>
          <w:highlight w:val="none"/>
          <w:lang w:val="en-US" w:eastAsia="zh-CN"/>
        </w:rPr>
      </w:pPr>
      <w:r>
        <w:rPr>
          <w:rFonts w:hint="eastAsia" w:ascii="楷体_GB2312" w:hAnsi="楷体_GB2312" w:eastAsia="楷体_GB2312" w:cs="楷体_GB2312"/>
          <w:b w:val="0"/>
          <w:bCs w:val="0"/>
          <w:color w:val="auto"/>
          <w:spacing w:val="0"/>
          <w:sz w:val="18"/>
          <w:szCs w:val="18"/>
          <w:highlight w:val="none"/>
          <w:lang w:val="en-US" w:eastAsia="zh-CN"/>
        </w:rPr>
        <w:t xml:space="preserve">    3.表格一式四份，施工单位一份，监理单位一份，造价咨询单位一份，工程预决算科一份。</w:t>
      </w:r>
    </w:p>
    <w:p w14:paraId="4EA59D2B">
      <w:pPr>
        <w:pStyle w:val="12"/>
        <w:rPr>
          <w:rFonts w:hint="eastAsia" w:ascii="黑体" w:hAnsi="黑体" w:eastAsia="黑体" w:cs="黑体"/>
          <w:b w:val="0"/>
          <w:bCs w:val="0"/>
          <w:color w:val="auto"/>
          <w:spacing w:val="0"/>
          <w:sz w:val="32"/>
          <w:szCs w:val="32"/>
          <w:highlight w:val="none"/>
          <w:lang w:eastAsia="zh-CN"/>
        </w:rPr>
        <w:sectPr>
          <w:footerReference r:id="rId9" w:type="default"/>
          <w:pgSz w:w="11906" w:h="16838"/>
          <w:pgMar w:top="1417" w:right="1236" w:bottom="1417" w:left="1247" w:header="851" w:footer="992" w:gutter="0"/>
          <w:pgBorders>
            <w:top w:val="none" w:sz="0" w:space="0"/>
            <w:left w:val="none" w:sz="0" w:space="0"/>
            <w:bottom w:val="none" w:sz="0" w:space="0"/>
            <w:right w:val="none" w:sz="0" w:space="0"/>
          </w:pgBorders>
          <w:pgNumType w:fmt="numberInDash"/>
          <w:cols w:space="720" w:num="1"/>
          <w:rtlGutter w:val="0"/>
          <w:docGrid w:type="lines" w:linePitch="312" w:charSpace="0"/>
        </w:sectPr>
      </w:pPr>
    </w:p>
    <w:p w14:paraId="5270EE80">
      <w:pPr>
        <w:pStyle w:val="12"/>
        <w:rPr>
          <w:rFonts w:hint="eastAsia" w:ascii="黑体" w:hAnsi="黑体" w:eastAsia="黑体" w:cs="黑体"/>
          <w:b w:val="0"/>
          <w:bCs w:val="0"/>
          <w:color w:val="auto"/>
          <w:spacing w:val="0"/>
          <w:sz w:val="28"/>
          <w:szCs w:val="28"/>
          <w:highlight w:val="none"/>
          <w:lang w:eastAsia="zh-CN"/>
        </w:rPr>
      </w:pPr>
      <w:r>
        <w:rPr>
          <w:rFonts w:hint="eastAsia" w:ascii="黑体" w:hAnsi="黑体" w:eastAsia="黑体" w:cs="黑体"/>
          <w:b w:val="0"/>
          <w:bCs w:val="0"/>
          <w:color w:val="auto"/>
          <w:spacing w:val="0"/>
          <w:sz w:val="28"/>
          <w:szCs w:val="28"/>
          <w:highlight w:val="none"/>
          <w:lang w:eastAsia="zh-CN"/>
        </w:rPr>
        <w:t>附件</w:t>
      </w:r>
      <w:r>
        <w:rPr>
          <w:rFonts w:hint="eastAsia" w:ascii="黑体" w:hAnsi="黑体" w:eastAsia="黑体" w:cs="黑体"/>
          <w:b w:val="0"/>
          <w:bCs w:val="0"/>
          <w:color w:val="auto"/>
          <w:spacing w:val="0"/>
          <w:sz w:val="28"/>
          <w:szCs w:val="28"/>
          <w:highlight w:val="none"/>
          <w:lang w:val="en-US" w:eastAsia="zh-CN"/>
        </w:rPr>
        <w:t>6</w:t>
      </w:r>
    </w:p>
    <w:p w14:paraId="1D0C30E3">
      <w:pPr>
        <w:pStyle w:val="12"/>
        <w:keepNext w:val="0"/>
        <w:keepLines w:val="0"/>
        <w:pageBreakBefore w:val="0"/>
        <w:kinsoku/>
        <w:wordWrap/>
        <w:overflowPunct/>
        <w:topLinePunct w:val="0"/>
        <w:bidi w:val="0"/>
        <w:snapToGrid/>
        <w:ind w:left="0" w:leftChars="0" w:right="0" w:rightChars="0"/>
        <w:jc w:val="center"/>
        <w:rPr>
          <w:rFonts w:hint="eastAsia" w:ascii="方正小标宋简体" w:hAnsi="方正小标宋简体" w:eastAsia="方正小标宋简体" w:cs="方正小标宋简体"/>
          <w:b w:val="0"/>
          <w:bCs w:val="0"/>
          <w:i w:val="0"/>
          <w:iCs w:val="0"/>
          <w:color w:val="auto"/>
          <w:kern w:val="0"/>
          <w:sz w:val="36"/>
          <w:szCs w:val="36"/>
          <w:highlight w:val="none"/>
          <w:u w:val="none"/>
          <w:lang w:val="en-US" w:eastAsia="zh-CN" w:bidi="ar"/>
        </w:rPr>
      </w:pPr>
      <w:r>
        <w:rPr>
          <w:rFonts w:hint="eastAsia" w:ascii="方正小标宋简体" w:hAnsi="方正小标宋简体" w:eastAsia="方正小标宋简体" w:cs="方正小标宋简体"/>
          <w:b w:val="0"/>
          <w:bCs w:val="0"/>
          <w:i w:val="0"/>
          <w:iCs w:val="0"/>
          <w:color w:val="auto"/>
          <w:kern w:val="0"/>
          <w:sz w:val="36"/>
          <w:szCs w:val="36"/>
          <w:highlight w:val="none"/>
          <w:u w:val="none"/>
          <w:lang w:val="en-US" w:eastAsia="zh-CN" w:bidi="ar"/>
        </w:rPr>
        <w:t>材料(设备)认质认价单</w:t>
      </w:r>
    </w:p>
    <w:p w14:paraId="2A6BFA26">
      <w:pPr>
        <w:pStyle w:val="12"/>
        <w:keepNext w:val="0"/>
        <w:keepLines w:val="0"/>
        <w:pageBreakBefore w:val="0"/>
        <w:kinsoku/>
        <w:wordWrap/>
        <w:overflowPunct/>
        <w:topLinePunct w:val="0"/>
        <w:bidi w:val="0"/>
        <w:snapToGrid/>
        <w:ind w:left="0" w:leftChars="0" w:right="0" w:rightChars="0"/>
        <w:jc w:val="both"/>
        <w:rPr>
          <w:rStyle w:val="15"/>
          <w:b/>
          <w:bCs/>
          <w:color w:val="auto"/>
          <w:highlight w:val="none"/>
          <w:lang w:val="en-US" w:eastAsia="zh-CN" w:bidi="ar"/>
        </w:rPr>
      </w:pPr>
      <w:r>
        <w:rPr>
          <w:rStyle w:val="15"/>
          <w:b/>
          <w:bCs/>
          <w:color w:val="auto"/>
          <w:highlight w:val="none"/>
          <w:lang w:val="en-US" w:eastAsia="zh-CN" w:bidi="ar"/>
        </w:rPr>
        <w:t xml:space="preserve">  </w:t>
      </w:r>
      <w:r>
        <w:rPr>
          <w:rStyle w:val="15"/>
          <w:rFonts w:hint="eastAsia" w:ascii="黑体" w:hAnsi="黑体" w:eastAsia="黑体" w:cs="黑体"/>
          <w:b w:val="0"/>
          <w:bCs w:val="0"/>
          <w:color w:val="auto"/>
          <w:sz w:val="21"/>
          <w:szCs w:val="21"/>
          <w:highlight w:val="none"/>
          <w:lang w:val="en-US" w:eastAsia="zh-CN" w:bidi="ar"/>
        </w:rPr>
        <w:t xml:space="preserve"> 申报日期：                                                                                                   认价单编号：</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864"/>
        <w:gridCol w:w="1120"/>
        <w:gridCol w:w="296"/>
        <w:gridCol w:w="385"/>
        <w:gridCol w:w="549"/>
        <w:gridCol w:w="684"/>
        <w:gridCol w:w="592"/>
        <w:gridCol w:w="220"/>
        <w:gridCol w:w="1103"/>
        <w:gridCol w:w="1075"/>
        <w:gridCol w:w="563"/>
        <w:gridCol w:w="663"/>
        <w:gridCol w:w="1301"/>
        <w:gridCol w:w="1026"/>
        <w:gridCol w:w="2036"/>
        <w:gridCol w:w="411"/>
        <w:gridCol w:w="602"/>
      </w:tblGrid>
      <w:tr w14:paraId="24806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282" w:type="dxa"/>
            <w:gridSpan w:val="2"/>
            <w:noWrap w:val="0"/>
            <w:vAlign w:val="center"/>
          </w:tcPr>
          <w:p w14:paraId="0093A7E1">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r>
              <w:rPr>
                <w:rStyle w:val="15"/>
                <w:rFonts w:hint="eastAsia" w:ascii="黑体" w:hAnsi="黑体" w:eastAsia="黑体" w:cs="黑体"/>
                <w:b w:val="0"/>
                <w:bCs w:val="0"/>
                <w:color w:val="auto"/>
                <w:sz w:val="18"/>
                <w:szCs w:val="18"/>
                <w:highlight w:val="none"/>
                <w:vertAlign w:val="baseline"/>
                <w:lang w:val="en-US" w:eastAsia="zh-CN" w:bidi="ar"/>
              </w:rPr>
              <w:t>项目名称</w:t>
            </w:r>
          </w:p>
        </w:tc>
        <w:tc>
          <w:tcPr>
            <w:tcW w:w="8551" w:type="dxa"/>
            <w:gridSpan w:val="12"/>
            <w:noWrap w:val="0"/>
            <w:vAlign w:val="center"/>
          </w:tcPr>
          <w:p w14:paraId="0D439703">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1026" w:type="dxa"/>
            <w:noWrap w:val="0"/>
            <w:vAlign w:val="center"/>
          </w:tcPr>
          <w:p w14:paraId="1EFC3B4D">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lang w:val="en-US" w:eastAsia="zh-CN" w:bidi="ar"/>
              </w:rPr>
            </w:pPr>
            <w:r>
              <w:rPr>
                <w:rStyle w:val="15"/>
                <w:rFonts w:hint="eastAsia" w:ascii="黑体" w:hAnsi="黑体" w:eastAsia="黑体" w:cs="黑体"/>
                <w:b w:val="0"/>
                <w:bCs w:val="0"/>
                <w:color w:val="auto"/>
                <w:sz w:val="18"/>
                <w:szCs w:val="18"/>
                <w:highlight w:val="none"/>
                <w:lang w:val="en-US" w:eastAsia="zh-CN" w:bidi="ar"/>
              </w:rPr>
              <w:t>所属工程</w:t>
            </w:r>
          </w:p>
          <w:p w14:paraId="6DC577FE">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r>
              <w:rPr>
                <w:rStyle w:val="15"/>
                <w:rFonts w:hint="eastAsia" w:ascii="黑体" w:hAnsi="黑体" w:eastAsia="黑体" w:cs="黑体"/>
                <w:b w:val="0"/>
                <w:bCs w:val="0"/>
                <w:color w:val="auto"/>
                <w:sz w:val="18"/>
                <w:szCs w:val="18"/>
                <w:highlight w:val="none"/>
                <w:lang w:val="en-US" w:eastAsia="zh-CN" w:bidi="ar"/>
              </w:rPr>
              <w:t>变更编号</w:t>
            </w:r>
          </w:p>
        </w:tc>
        <w:tc>
          <w:tcPr>
            <w:tcW w:w="3049" w:type="dxa"/>
            <w:gridSpan w:val="3"/>
            <w:noWrap w:val="0"/>
            <w:vAlign w:val="center"/>
          </w:tcPr>
          <w:p w14:paraId="7867B9EC">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r>
      <w:tr w14:paraId="17A51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282" w:type="dxa"/>
            <w:gridSpan w:val="2"/>
            <w:noWrap w:val="0"/>
            <w:vAlign w:val="center"/>
          </w:tcPr>
          <w:p w14:paraId="749E6D6A">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r>
              <w:rPr>
                <w:rStyle w:val="15"/>
                <w:rFonts w:hint="eastAsia" w:ascii="黑体" w:hAnsi="黑体" w:eastAsia="黑体" w:cs="黑体"/>
                <w:b w:val="0"/>
                <w:bCs w:val="0"/>
                <w:color w:val="auto"/>
                <w:sz w:val="18"/>
                <w:szCs w:val="18"/>
                <w:highlight w:val="none"/>
                <w:vertAlign w:val="baseline"/>
                <w:lang w:val="en-US" w:eastAsia="zh-CN" w:bidi="ar"/>
              </w:rPr>
              <w:t>合同名称</w:t>
            </w:r>
          </w:p>
        </w:tc>
        <w:tc>
          <w:tcPr>
            <w:tcW w:w="8551" w:type="dxa"/>
            <w:gridSpan w:val="12"/>
            <w:noWrap w:val="0"/>
            <w:vAlign w:val="center"/>
          </w:tcPr>
          <w:p w14:paraId="03E477B5">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1026" w:type="dxa"/>
            <w:noWrap w:val="0"/>
            <w:vAlign w:val="center"/>
          </w:tcPr>
          <w:p w14:paraId="496D4C1D">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r>
              <w:rPr>
                <w:rStyle w:val="15"/>
                <w:rFonts w:hint="eastAsia" w:ascii="黑体" w:hAnsi="黑体" w:eastAsia="黑体" w:cs="黑体"/>
                <w:b w:val="0"/>
                <w:bCs w:val="0"/>
                <w:color w:val="auto"/>
                <w:sz w:val="18"/>
                <w:szCs w:val="18"/>
                <w:highlight w:val="none"/>
                <w:vertAlign w:val="baseline"/>
                <w:lang w:val="en-US" w:eastAsia="zh-CN" w:bidi="ar"/>
              </w:rPr>
              <w:t>合同编号</w:t>
            </w:r>
          </w:p>
        </w:tc>
        <w:tc>
          <w:tcPr>
            <w:tcW w:w="3049" w:type="dxa"/>
            <w:gridSpan w:val="3"/>
            <w:noWrap w:val="0"/>
            <w:vAlign w:val="center"/>
          </w:tcPr>
          <w:p w14:paraId="5754370B">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r>
      <w:tr w14:paraId="5E039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8" w:type="dxa"/>
            <w:vMerge w:val="restart"/>
            <w:noWrap w:val="0"/>
            <w:vAlign w:val="center"/>
          </w:tcPr>
          <w:p w14:paraId="550B29B1">
            <w:pPr>
              <w:keepNext w:val="0"/>
              <w:keepLines w:val="0"/>
              <w:pageBreakBefore w:val="0"/>
              <w:widowControl/>
              <w:suppressLineNumbers w:val="0"/>
              <w:kinsoku/>
              <w:wordWrap/>
              <w:overflowPunct/>
              <w:topLinePunct w:val="0"/>
              <w:bidi w:val="0"/>
              <w:snapToGrid/>
              <w:ind w:left="0" w:leftChars="0" w:right="0" w:rightChars="0"/>
              <w:jc w:val="center"/>
              <w:textAlignment w:val="center"/>
              <w:rPr>
                <w:rFonts w:hint="eastAsia" w:ascii="黑体" w:hAnsi="黑体" w:eastAsia="黑体" w:cs="黑体"/>
                <w:b w:val="0"/>
                <w:bCs w:val="0"/>
                <w:i w:val="0"/>
                <w:iCs w:val="0"/>
                <w:color w:val="auto"/>
                <w:kern w:val="0"/>
                <w:sz w:val="18"/>
                <w:szCs w:val="18"/>
                <w:highlight w:val="none"/>
                <w:u w:val="none"/>
                <w:lang w:val="en-US" w:eastAsia="zh-CN" w:bidi="ar"/>
              </w:rPr>
            </w:pPr>
            <w:r>
              <w:rPr>
                <w:rFonts w:hint="eastAsia" w:ascii="黑体" w:hAnsi="黑体" w:eastAsia="黑体" w:cs="黑体"/>
                <w:b w:val="0"/>
                <w:bCs w:val="0"/>
                <w:i w:val="0"/>
                <w:iCs w:val="0"/>
                <w:color w:val="auto"/>
                <w:kern w:val="0"/>
                <w:sz w:val="18"/>
                <w:szCs w:val="18"/>
                <w:highlight w:val="none"/>
                <w:u w:val="none"/>
                <w:lang w:val="en-US" w:eastAsia="zh-CN" w:bidi="ar"/>
              </w:rPr>
              <w:t>序</w:t>
            </w:r>
          </w:p>
          <w:p w14:paraId="05130B9E">
            <w:pPr>
              <w:keepNext w:val="0"/>
              <w:keepLines w:val="0"/>
              <w:pageBreakBefore w:val="0"/>
              <w:widowControl/>
              <w:suppressLineNumbers w:val="0"/>
              <w:kinsoku/>
              <w:wordWrap/>
              <w:overflowPunct/>
              <w:topLinePunct w:val="0"/>
              <w:bidi w:val="0"/>
              <w:snapToGrid/>
              <w:ind w:left="0" w:leftChars="0" w:right="0" w:rightChars="0"/>
              <w:jc w:val="center"/>
              <w:textAlignment w:val="center"/>
              <w:rPr>
                <w:rFonts w:hint="eastAsia" w:ascii="黑体" w:hAnsi="黑体" w:eastAsia="黑体" w:cs="黑体"/>
                <w:b w:val="0"/>
                <w:bCs w:val="0"/>
                <w:i w:val="0"/>
                <w:iCs w:val="0"/>
                <w:color w:val="auto"/>
                <w:kern w:val="0"/>
                <w:sz w:val="18"/>
                <w:szCs w:val="18"/>
                <w:highlight w:val="none"/>
                <w:u w:val="none"/>
                <w:lang w:val="en-US" w:eastAsia="zh-CN" w:bidi="ar"/>
              </w:rPr>
            </w:pPr>
          </w:p>
          <w:p w14:paraId="47D29047">
            <w:pPr>
              <w:keepNext w:val="0"/>
              <w:keepLines w:val="0"/>
              <w:pageBreakBefore w:val="0"/>
              <w:widowControl/>
              <w:suppressLineNumbers w:val="0"/>
              <w:kinsoku/>
              <w:wordWrap/>
              <w:overflowPunct/>
              <w:topLinePunct w:val="0"/>
              <w:bidi w:val="0"/>
              <w:snapToGrid/>
              <w:ind w:left="0" w:leftChars="0" w:right="0" w:rightChars="0"/>
              <w:jc w:val="center"/>
              <w:textAlignment w:val="center"/>
              <w:rPr>
                <w:rFonts w:hint="eastAsia" w:ascii="黑体" w:hAnsi="黑体" w:eastAsia="黑体" w:cs="黑体"/>
                <w:b w:val="0"/>
                <w:bCs w:val="0"/>
                <w:i w:val="0"/>
                <w:iCs w:val="0"/>
                <w:color w:val="auto"/>
                <w:kern w:val="0"/>
                <w:sz w:val="18"/>
                <w:szCs w:val="18"/>
                <w:highlight w:val="none"/>
                <w:u w:val="none"/>
                <w:lang w:val="en-US" w:eastAsia="zh-CN" w:bidi="ar"/>
              </w:rPr>
            </w:pPr>
          </w:p>
          <w:p w14:paraId="112E0677">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r>
              <w:rPr>
                <w:rFonts w:hint="eastAsia" w:ascii="黑体" w:hAnsi="黑体" w:eastAsia="黑体" w:cs="黑体"/>
                <w:b w:val="0"/>
                <w:bCs w:val="0"/>
                <w:i w:val="0"/>
                <w:iCs w:val="0"/>
                <w:color w:val="auto"/>
                <w:kern w:val="0"/>
                <w:sz w:val="18"/>
                <w:szCs w:val="18"/>
                <w:highlight w:val="none"/>
                <w:u w:val="none"/>
                <w:lang w:val="en-US" w:eastAsia="zh-CN" w:bidi="ar"/>
              </w:rPr>
              <w:t>号</w:t>
            </w:r>
          </w:p>
        </w:tc>
        <w:tc>
          <w:tcPr>
            <w:tcW w:w="4710" w:type="dxa"/>
            <w:gridSpan w:val="8"/>
            <w:noWrap w:val="0"/>
            <w:vAlign w:val="center"/>
          </w:tcPr>
          <w:p w14:paraId="411A0D17">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r>
              <w:rPr>
                <w:rStyle w:val="15"/>
                <w:rFonts w:hint="eastAsia" w:ascii="黑体" w:hAnsi="黑体" w:eastAsia="黑体" w:cs="黑体"/>
                <w:b w:val="0"/>
                <w:bCs w:val="0"/>
                <w:color w:val="auto"/>
                <w:sz w:val="18"/>
                <w:szCs w:val="18"/>
                <w:highlight w:val="none"/>
                <w:vertAlign w:val="baseline"/>
                <w:lang w:val="en-US" w:eastAsia="zh-CN" w:bidi="ar"/>
              </w:rPr>
              <w:t>申请批价的材料说明</w:t>
            </w:r>
          </w:p>
        </w:tc>
        <w:tc>
          <w:tcPr>
            <w:tcW w:w="3404" w:type="dxa"/>
            <w:gridSpan w:val="4"/>
            <w:noWrap w:val="0"/>
            <w:vAlign w:val="center"/>
          </w:tcPr>
          <w:p w14:paraId="49D89DFB">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r>
              <w:rPr>
                <w:rStyle w:val="15"/>
                <w:rFonts w:hint="eastAsia" w:ascii="黑体" w:hAnsi="黑体" w:eastAsia="黑体" w:cs="黑体"/>
                <w:b w:val="0"/>
                <w:bCs w:val="0"/>
                <w:color w:val="auto"/>
                <w:sz w:val="18"/>
                <w:szCs w:val="18"/>
                <w:highlight w:val="none"/>
                <w:vertAlign w:val="baseline"/>
                <w:lang w:val="en-US" w:eastAsia="zh-CN" w:bidi="ar"/>
              </w:rPr>
              <w:t>承包方申报情况</w:t>
            </w:r>
          </w:p>
        </w:tc>
        <w:tc>
          <w:tcPr>
            <w:tcW w:w="4363" w:type="dxa"/>
            <w:gridSpan w:val="3"/>
            <w:noWrap w:val="0"/>
            <w:vAlign w:val="center"/>
          </w:tcPr>
          <w:p w14:paraId="5206B9CB">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r>
              <w:rPr>
                <w:rStyle w:val="15"/>
                <w:rFonts w:hint="eastAsia" w:ascii="黑体" w:hAnsi="黑体" w:eastAsia="黑体" w:cs="黑体"/>
                <w:b w:val="0"/>
                <w:bCs w:val="0"/>
                <w:color w:val="auto"/>
                <w:sz w:val="18"/>
                <w:szCs w:val="18"/>
                <w:highlight w:val="none"/>
                <w:vertAlign w:val="baseline"/>
                <w:lang w:val="en-US" w:eastAsia="zh-CN" w:bidi="ar"/>
              </w:rPr>
              <w:t>价格审定情况</w:t>
            </w:r>
          </w:p>
        </w:tc>
        <w:tc>
          <w:tcPr>
            <w:tcW w:w="411" w:type="dxa"/>
            <w:vMerge w:val="restart"/>
            <w:noWrap w:val="0"/>
            <w:vAlign w:val="center"/>
          </w:tcPr>
          <w:p w14:paraId="5BB5CF86">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r>
              <w:rPr>
                <w:rStyle w:val="15"/>
                <w:rFonts w:hint="eastAsia" w:ascii="黑体" w:hAnsi="黑体" w:eastAsia="黑体" w:cs="黑体"/>
                <w:b w:val="0"/>
                <w:bCs w:val="0"/>
                <w:color w:val="auto"/>
                <w:sz w:val="18"/>
                <w:szCs w:val="18"/>
                <w:highlight w:val="none"/>
                <w:vertAlign w:val="baseline"/>
                <w:lang w:val="en-US" w:eastAsia="zh-CN" w:bidi="ar"/>
              </w:rPr>
              <w:t>是否需封样</w:t>
            </w:r>
          </w:p>
        </w:tc>
        <w:tc>
          <w:tcPr>
            <w:tcW w:w="602" w:type="dxa"/>
            <w:vMerge w:val="restart"/>
            <w:noWrap w:val="0"/>
            <w:vAlign w:val="center"/>
          </w:tcPr>
          <w:p w14:paraId="5E1D399D">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r>
              <w:rPr>
                <w:rStyle w:val="15"/>
                <w:rFonts w:hint="eastAsia" w:ascii="黑体" w:hAnsi="黑体" w:eastAsia="黑体" w:cs="黑体"/>
                <w:b w:val="0"/>
                <w:bCs w:val="0"/>
                <w:color w:val="auto"/>
                <w:sz w:val="18"/>
                <w:szCs w:val="18"/>
                <w:highlight w:val="none"/>
                <w:vertAlign w:val="baseline"/>
                <w:lang w:val="en-US" w:eastAsia="zh-CN" w:bidi="ar"/>
              </w:rPr>
              <w:t>备注</w:t>
            </w:r>
          </w:p>
        </w:tc>
      </w:tr>
      <w:tr w14:paraId="1E014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418" w:type="dxa"/>
            <w:vMerge w:val="continue"/>
            <w:noWrap w:val="0"/>
            <w:vAlign w:val="center"/>
          </w:tcPr>
          <w:p w14:paraId="4B840561">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864" w:type="dxa"/>
            <w:vMerge w:val="restart"/>
            <w:noWrap w:val="0"/>
            <w:vAlign w:val="center"/>
          </w:tcPr>
          <w:p w14:paraId="19E534AB">
            <w:pPr>
              <w:keepNext w:val="0"/>
              <w:keepLines w:val="0"/>
              <w:pageBreakBefore w:val="0"/>
              <w:widowControl/>
              <w:suppressLineNumbers w:val="0"/>
              <w:kinsoku/>
              <w:wordWrap/>
              <w:overflowPunct/>
              <w:topLinePunct w:val="0"/>
              <w:bidi w:val="0"/>
              <w:snapToGrid/>
              <w:ind w:left="0" w:leftChars="0" w:right="0" w:rightChars="0"/>
              <w:jc w:val="center"/>
              <w:textAlignment w:val="center"/>
              <w:rPr>
                <w:rFonts w:hint="eastAsia" w:ascii="黑体" w:hAnsi="黑体" w:eastAsia="黑体" w:cs="黑体"/>
                <w:b w:val="0"/>
                <w:bCs w:val="0"/>
                <w:i w:val="0"/>
                <w:iCs w:val="0"/>
                <w:color w:val="auto"/>
                <w:kern w:val="2"/>
                <w:sz w:val="18"/>
                <w:szCs w:val="18"/>
                <w:highlight w:val="none"/>
                <w:u w:val="none"/>
                <w:lang w:val="en-US" w:eastAsia="zh-CN" w:bidi="ar-SA"/>
              </w:rPr>
            </w:pPr>
            <w:r>
              <w:rPr>
                <w:rFonts w:hint="eastAsia" w:ascii="黑体" w:hAnsi="黑体" w:eastAsia="黑体" w:cs="黑体"/>
                <w:b w:val="0"/>
                <w:bCs w:val="0"/>
                <w:i w:val="0"/>
                <w:iCs w:val="0"/>
                <w:color w:val="auto"/>
                <w:kern w:val="0"/>
                <w:sz w:val="18"/>
                <w:szCs w:val="18"/>
                <w:highlight w:val="none"/>
                <w:u w:val="none"/>
                <w:lang w:val="en-US" w:eastAsia="zh-CN" w:bidi="ar"/>
              </w:rPr>
              <w:t>材料名称</w:t>
            </w:r>
          </w:p>
        </w:tc>
        <w:tc>
          <w:tcPr>
            <w:tcW w:w="1416" w:type="dxa"/>
            <w:gridSpan w:val="2"/>
            <w:vMerge w:val="restart"/>
            <w:noWrap w:val="0"/>
            <w:vAlign w:val="center"/>
          </w:tcPr>
          <w:p w14:paraId="0E310FD2">
            <w:pPr>
              <w:keepNext w:val="0"/>
              <w:keepLines w:val="0"/>
              <w:pageBreakBefore w:val="0"/>
              <w:widowControl/>
              <w:suppressLineNumbers w:val="0"/>
              <w:kinsoku/>
              <w:wordWrap/>
              <w:overflowPunct/>
              <w:topLinePunct w:val="0"/>
              <w:bidi w:val="0"/>
              <w:snapToGrid/>
              <w:ind w:left="0" w:leftChars="0" w:right="0" w:rightChars="0"/>
              <w:jc w:val="center"/>
              <w:textAlignment w:val="center"/>
              <w:rPr>
                <w:rFonts w:hint="eastAsia" w:ascii="黑体" w:hAnsi="黑体" w:eastAsia="黑体" w:cs="黑体"/>
                <w:b w:val="0"/>
                <w:bCs w:val="0"/>
                <w:i w:val="0"/>
                <w:iCs w:val="0"/>
                <w:color w:val="auto"/>
                <w:kern w:val="0"/>
                <w:sz w:val="18"/>
                <w:szCs w:val="18"/>
                <w:highlight w:val="none"/>
                <w:u w:val="none"/>
                <w:lang w:val="en-US" w:eastAsia="zh-CN" w:bidi="ar"/>
              </w:rPr>
            </w:pPr>
            <w:r>
              <w:rPr>
                <w:rFonts w:hint="eastAsia" w:ascii="黑体" w:hAnsi="黑体" w:eastAsia="黑体" w:cs="黑体"/>
                <w:b w:val="0"/>
                <w:bCs w:val="0"/>
                <w:i w:val="0"/>
                <w:iCs w:val="0"/>
                <w:color w:val="auto"/>
                <w:kern w:val="0"/>
                <w:sz w:val="18"/>
                <w:szCs w:val="18"/>
                <w:highlight w:val="none"/>
                <w:u w:val="none"/>
                <w:lang w:val="en-US" w:eastAsia="zh-CN" w:bidi="ar"/>
              </w:rPr>
              <w:t>规格</w:t>
            </w:r>
          </w:p>
          <w:p w14:paraId="69496CDC">
            <w:pPr>
              <w:keepNext w:val="0"/>
              <w:keepLines w:val="0"/>
              <w:pageBreakBefore w:val="0"/>
              <w:widowControl/>
              <w:suppressLineNumbers w:val="0"/>
              <w:kinsoku/>
              <w:wordWrap/>
              <w:overflowPunct/>
              <w:topLinePunct w:val="0"/>
              <w:bidi w:val="0"/>
              <w:snapToGrid/>
              <w:ind w:left="0" w:leftChars="0" w:right="0" w:rightChars="0"/>
              <w:jc w:val="center"/>
              <w:textAlignment w:val="center"/>
              <w:rPr>
                <w:rFonts w:hint="eastAsia" w:ascii="黑体" w:hAnsi="黑体" w:eastAsia="黑体" w:cs="黑体"/>
                <w:b w:val="0"/>
                <w:bCs w:val="0"/>
                <w:i w:val="0"/>
                <w:iCs w:val="0"/>
                <w:color w:val="auto"/>
                <w:kern w:val="2"/>
                <w:sz w:val="18"/>
                <w:szCs w:val="18"/>
                <w:highlight w:val="none"/>
                <w:u w:val="none"/>
                <w:lang w:val="en-US" w:eastAsia="zh-CN" w:bidi="ar-SA"/>
              </w:rPr>
            </w:pPr>
            <w:r>
              <w:rPr>
                <w:rFonts w:hint="eastAsia" w:ascii="黑体" w:hAnsi="黑体" w:eastAsia="黑体" w:cs="黑体"/>
                <w:b w:val="0"/>
                <w:bCs w:val="0"/>
                <w:i w:val="0"/>
                <w:iCs w:val="0"/>
                <w:color w:val="auto"/>
                <w:kern w:val="0"/>
                <w:sz w:val="18"/>
                <w:szCs w:val="18"/>
                <w:highlight w:val="none"/>
                <w:u w:val="none"/>
                <w:lang w:val="en-US" w:eastAsia="zh-CN" w:bidi="ar"/>
              </w:rPr>
              <w:t>型号及技术指标</w:t>
            </w:r>
          </w:p>
        </w:tc>
        <w:tc>
          <w:tcPr>
            <w:tcW w:w="934" w:type="dxa"/>
            <w:gridSpan w:val="2"/>
            <w:noWrap w:val="0"/>
            <w:vAlign w:val="center"/>
          </w:tcPr>
          <w:p w14:paraId="741FD0C8">
            <w:pPr>
              <w:pStyle w:val="12"/>
              <w:keepNext w:val="0"/>
              <w:keepLines w:val="0"/>
              <w:pageBreakBefore w:val="0"/>
              <w:kinsoku/>
              <w:wordWrap/>
              <w:overflowPunct/>
              <w:topLinePunct w:val="0"/>
              <w:bidi w:val="0"/>
              <w:snapToGrid/>
              <w:ind w:left="0" w:leftChars="0" w:right="0" w:rightChars="0"/>
              <w:jc w:val="center"/>
              <w:rPr>
                <w:rFonts w:hint="eastAsia" w:ascii="黑体" w:hAnsi="黑体" w:eastAsia="黑体" w:cs="黑体"/>
                <w:b w:val="0"/>
                <w:bCs w:val="0"/>
                <w:i w:val="0"/>
                <w:iCs w:val="0"/>
                <w:color w:val="auto"/>
                <w:kern w:val="0"/>
                <w:sz w:val="18"/>
                <w:szCs w:val="18"/>
                <w:highlight w:val="none"/>
                <w:u w:val="none"/>
                <w:lang w:val="en-US" w:eastAsia="zh-CN" w:bidi="ar"/>
              </w:rPr>
            </w:pPr>
            <w:r>
              <w:rPr>
                <w:rFonts w:hint="eastAsia" w:ascii="黑体" w:hAnsi="黑体" w:eastAsia="黑体" w:cs="黑体"/>
                <w:b w:val="0"/>
                <w:bCs w:val="0"/>
                <w:i w:val="0"/>
                <w:iCs w:val="0"/>
                <w:color w:val="auto"/>
                <w:kern w:val="0"/>
                <w:sz w:val="18"/>
                <w:szCs w:val="18"/>
                <w:highlight w:val="none"/>
                <w:u w:val="none"/>
                <w:lang w:val="en-US" w:eastAsia="zh-CN" w:bidi="ar"/>
              </w:rPr>
              <w:t>使用</w:t>
            </w:r>
          </w:p>
          <w:p w14:paraId="596943BC">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r>
              <w:rPr>
                <w:rFonts w:hint="eastAsia" w:ascii="黑体" w:hAnsi="黑体" w:eastAsia="黑体" w:cs="黑体"/>
                <w:b w:val="0"/>
                <w:bCs w:val="0"/>
                <w:i w:val="0"/>
                <w:iCs w:val="0"/>
                <w:color w:val="auto"/>
                <w:kern w:val="0"/>
                <w:sz w:val="18"/>
                <w:szCs w:val="18"/>
                <w:highlight w:val="none"/>
                <w:u w:val="none"/>
                <w:lang w:val="en-US" w:eastAsia="zh-CN" w:bidi="ar"/>
              </w:rPr>
              <w:t>数量</w:t>
            </w:r>
          </w:p>
        </w:tc>
        <w:tc>
          <w:tcPr>
            <w:tcW w:w="684" w:type="dxa"/>
            <w:vMerge w:val="restart"/>
            <w:noWrap w:val="0"/>
            <w:vAlign w:val="center"/>
          </w:tcPr>
          <w:p w14:paraId="0991C68C">
            <w:pPr>
              <w:keepNext w:val="0"/>
              <w:keepLines w:val="0"/>
              <w:pageBreakBefore w:val="0"/>
              <w:widowControl/>
              <w:suppressLineNumbers w:val="0"/>
              <w:kinsoku/>
              <w:wordWrap/>
              <w:overflowPunct/>
              <w:topLinePunct w:val="0"/>
              <w:bidi w:val="0"/>
              <w:snapToGrid/>
              <w:ind w:left="0" w:leftChars="0" w:right="0" w:rightChars="0"/>
              <w:jc w:val="center"/>
              <w:textAlignment w:val="center"/>
              <w:rPr>
                <w:rFonts w:hint="eastAsia" w:ascii="黑体" w:hAnsi="黑体" w:eastAsia="黑体" w:cs="黑体"/>
                <w:b w:val="0"/>
                <w:bCs w:val="0"/>
                <w:i w:val="0"/>
                <w:iCs w:val="0"/>
                <w:color w:val="auto"/>
                <w:kern w:val="0"/>
                <w:sz w:val="18"/>
                <w:szCs w:val="18"/>
                <w:highlight w:val="none"/>
                <w:u w:val="none"/>
                <w:lang w:val="en-US" w:eastAsia="zh-CN" w:bidi="ar"/>
              </w:rPr>
            </w:pPr>
            <w:r>
              <w:rPr>
                <w:rFonts w:hint="eastAsia" w:ascii="黑体" w:hAnsi="黑体" w:eastAsia="黑体" w:cs="黑体"/>
                <w:b w:val="0"/>
                <w:bCs w:val="0"/>
                <w:i w:val="0"/>
                <w:iCs w:val="0"/>
                <w:color w:val="auto"/>
                <w:kern w:val="0"/>
                <w:sz w:val="18"/>
                <w:szCs w:val="18"/>
                <w:highlight w:val="none"/>
                <w:u w:val="none"/>
                <w:lang w:val="en-US" w:eastAsia="zh-CN" w:bidi="ar"/>
              </w:rPr>
              <w:t>使用</w:t>
            </w:r>
          </w:p>
          <w:p w14:paraId="672CD70F">
            <w:pPr>
              <w:keepNext w:val="0"/>
              <w:keepLines w:val="0"/>
              <w:pageBreakBefore w:val="0"/>
              <w:widowControl/>
              <w:suppressLineNumbers w:val="0"/>
              <w:kinsoku/>
              <w:wordWrap/>
              <w:overflowPunct/>
              <w:topLinePunct w:val="0"/>
              <w:bidi w:val="0"/>
              <w:snapToGrid/>
              <w:ind w:left="0" w:leftChars="0" w:right="0" w:rightChars="0"/>
              <w:jc w:val="center"/>
              <w:textAlignment w:val="center"/>
              <w:rPr>
                <w:rFonts w:hint="eastAsia" w:ascii="黑体" w:hAnsi="黑体" w:eastAsia="黑体" w:cs="黑体"/>
                <w:b w:val="0"/>
                <w:bCs w:val="0"/>
                <w:i w:val="0"/>
                <w:iCs w:val="0"/>
                <w:color w:val="auto"/>
                <w:kern w:val="2"/>
                <w:sz w:val="18"/>
                <w:szCs w:val="18"/>
                <w:highlight w:val="none"/>
                <w:u w:val="none"/>
                <w:lang w:val="en-US" w:eastAsia="zh-CN" w:bidi="ar-SA"/>
              </w:rPr>
            </w:pPr>
            <w:r>
              <w:rPr>
                <w:rFonts w:hint="eastAsia" w:ascii="黑体" w:hAnsi="黑体" w:eastAsia="黑体" w:cs="黑体"/>
                <w:b w:val="0"/>
                <w:bCs w:val="0"/>
                <w:i w:val="0"/>
                <w:iCs w:val="0"/>
                <w:color w:val="auto"/>
                <w:kern w:val="0"/>
                <w:sz w:val="18"/>
                <w:szCs w:val="18"/>
                <w:highlight w:val="none"/>
                <w:u w:val="none"/>
                <w:lang w:val="en-US" w:eastAsia="zh-CN" w:bidi="ar"/>
              </w:rPr>
              <w:t>部位</w:t>
            </w:r>
          </w:p>
        </w:tc>
        <w:tc>
          <w:tcPr>
            <w:tcW w:w="812" w:type="dxa"/>
            <w:gridSpan w:val="2"/>
            <w:vMerge w:val="restart"/>
            <w:noWrap w:val="0"/>
            <w:vAlign w:val="center"/>
          </w:tcPr>
          <w:p w14:paraId="10FD7D3F">
            <w:pPr>
              <w:keepNext w:val="0"/>
              <w:keepLines w:val="0"/>
              <w:pageBreakBefore w:val="0"/>
              <w:widowControl/>
              <w:suppressLineNumbers w:val="0"/>
              <w:kinsoku/>
              <w:wordWrap/>
              <w:overflowPunct/>
              <w:topLinePunct w:val="0"/>
              <w:bidi w:val="0"/>
              <w:snapToGrid/>
              <w:ind w:left="0" w:leftChars="0" w:right="0" w:rightChars="0"/>
              <w:jc w:val="center"/>
              <w:textAlignment w:val="center"/>
              <w:rPr>
                <w:rFonts w:hint="eastAsia" w:ascii="黑体" w:hAnsi="黑体" w:eastAsia="黑体" w:cs="黑体"/>
                <w:b w:val="0"/>
                <w:bCs w:val="0"/>
                <w:i w:val="0"/>
                <w:iCs w:val="0"/>
                <w:color w:val="auto"/>
                <w:kern w:val="0"/>
                <w:sz w:val="18"/>
                <w:szCs w:val="18"/>
                <w:highlight w:val="none"/>
                <w:u w:val="none"/>
                <w:lang w:val="en-US" w:eastAsia="zh-CN" w:bidi="ar"/>
              </w:rPr>
            </w:pPr>
            <w:r>
              <w:rPr>
                <w:rFonts w:hint="eastAsia" w:ascii="黑体" w:hAnsi="黑体" w:eastAsia="黑体" w:cs="黑体"/>
                <w:b w:val="0"/>
                <w:bCs w:val="0"/>
                <w:i w:val="0"/>
                <w:iCs w:val="0"/>
                <w:color w:val="auto"/>
                <w:kern w:val="0"/>
                <w:sz w:val="18"/>
                <w:szCs w:val="18"/>
                <w:highlight w:val="none"/>
                <w:u w:val="none"/>
                <w:lang w:val="en-US" w:eastAsia="zh-CN" w:bidi="ar"/>
              </w:rPr>
              <w:t>使用</w:t>
            </w:r>
          </w:p>
          <w:p w14:paraId="108A48AE">
            <w:pPr>
              <w:keepNext w:val="0"/>
              <w:keepLines w:val="0"/>
              <w:pageBreakBefore w:val="0"/>
              <w:widowControl/>
              <w:suppressLineNumbers w:val="0"/>
              <w:kinsoku/>
              <w:wordWrap/>
              <w:overflowPunct/>
              <w:topLinePunct w:val="0"/>
              <w:bidi w:val="0"/>
              <w:snapToGrid/>
              <w:ind w:left="0" w:leftChars="0" w:right="0" w:rightChars="0"/>
              <w:jc w:val="center"/>
              <w:textAlignment w:val="center"/>
              <w:rPr>
                <w:rFonts w:hint="eastAsia" w:ascii="黑体" w:hAnsi="黑体" w:eastAsia="黑体" w:cs="黑体"/>
                <w:b w:val="0"/>
                <w:bCs w:val="0"/>
                <w:i w:val="0"/>
                <w:iCs w:val="0"/>
                <w:color w:val="auto"/>
                <w:kern w:val="2"/>
                <w:sz w:val="18"/>
                <w:szCs w:val="18"/>
                <w:highlight w:val="none"/>
                <w:u w:val="none"/>
                <w:lang w:val="en-US" w:eastAsia="zh-CN" w:bidi="ar-SA"/>
              </w:rPr>
            </w:pPr>
            <w:r>
              <w:rPr>
                <w:rFonts w:hint="eastAsia" w:ascii="黑体" w:hAnsi="黑体" w:eastAsia="黑体" w:cs="黑体"/>
                <w:b w:val="0"/>
                <w:bCs w:val="0"/>
                <w:i w:val="0"/>
                <w:iCs w:val="0"/>
                <w:color w:val="auto"/>
                <w:kern w:val="0"/>
                <w:sz w:val="18"/>
                <w:szCs w:val="18"/>
                <w:highlight w:val="none"/>
                <w:u w:val="none"/>
                <w:lang w:val="en-US" w:eastAsia="zh-CN" w:bidi="ar"/>
              </w:rPr>
              <w:t>时间</w:t>
            </w:r>
          </w:p>
        </w:tc>
        <w:tc>
          <w:tcPr>
            <w:tcW w:w="1103" w:type="dxa"/>
            <w:vMerge w:val="restart"/>
            <w:noWrap w:val="0"/>
            <w:vAlign w:val="center"/>
          </w:tcPr>
          <w:p w14:paraId="58353E86">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r>
              <w:rPr>
                <w:rStyle w:val="15"/>
                <w:rFonts w:hint="eastAsia" w:ascii="黑体" w:hAnsi="黑体" w:eastAsia="黑体" w:cs="黑体"/>
                <w:b w:val="0"/>
                <w:bCs w:val="0"/>
                <w:color w:val="auto"/>
                <w:sz w:val="18"/>
                <w:szCs w:val="18"/>
                <w:highlight w:val="none"/>
                <w:vertAlign w:val="baseline"/>
                <w:lang w:val="en-US" w:eastAsia="zh-CN" w:bidi="ar"/>
              </w:rPr>
              <w:t>品牌、厂家</w:t>
            </w:r>
          </w:p>
        </w:tc>
        <w:tc>
          <w:tcPr>
            <w:tcW w:w="1075" w:type="dxa"/>
            <w:vMerge w:val="restart"/>
            <w:noWrap w:val="0"/>
            <w:vAlign w:val="center"/>
          </w:tcPr>
          <w:p w14:paraId="0BCFECB9">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r>
              <w:rPr>
                <w:rStyle w:val="15"/>
                <w:rFonts w:hint="eastAsia" w:ascii="黑体" w:hAnsi="黑体" w:eastAsia="黑体" w:cs="黑体"/>
                <w:b w:val="0"/>
                <w:bCs w:val="0"/>
                <w:color w:val="auto"/>
                <w:sz w:val="18"/>
                <w:szCs w:val="18"/>
                <w:highlight w:val="none"/>
                <w:vertAlign w:val="baseline"/>
                <w:lang w:val="en-US" w:eastAsia="zh-CN" w:bidi="ar"/>
              </w:rPr>
              <w:t>联系电话</w:t>
            </w:r>
          </w:p>
        </w:tc>
        <w:tc>
          <w:tcPr>
            <w:tcW w:w="1226" w:type="dxa"/>
            <w:gridSpan w:val="2"/>
            <w:vMerge w:val="restart"/>
            <w:noWrap w:val="0"/>
            <w:vAlign w:val="center"/>
          </w:tcPr>
          <w:p w14:paraId="6D7F7E4C">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r>
              <w:rPr>
                <w:rStyle w:val="15"/>
                <w:rFonts w:hint="eastAsia" w:ascii="黑体" w:hAnsi="黑体" w:eastAsia="黑体" w:cs="黑体"/>
                <w:b w:val="0"/>
                <w:bCs w:val="0"/>
                <w:color w:val="auto"/>
                <w:sz w:val="18"/>
                <w:szCs w:val="18"/>
                <w:highlight w:val="none"/>
                <w:vertAlign w:val="baseline"/>
                <w:lang w:val="en-US" w:eastAsia="zh-CN" w:bidi="ar"/>
              </w:rPr>
              <w:t>价格</w:t>
            </w:r>
          </w:p>
        </w:tc>
        <w:tc>
          <w:tcPr>
            <w:tcW w:w="1301" w:type="dxa"/>
            <w:vMerge w:val="restart"/>
            <w:noWrap w:val="0"/>
            <w:vAlign w:val="center"/>
          </w:tcPr>
          <w:p w14:paraId="2761F53C">
            <w:pPr>
              <w:pStyle w:val="12"/>
              <w:keepNext w:val="0"/>
              <w:keepLines w:val="0"/>
              <w:pageBreakBefore w:val="0"/>
              <w:kinsoku/>
              <w:wordWrap/>
              <w:overflowPunct/>
              <w:topLinePunct w:val="0"/>
              <w:bidi w:val="0"/>
              <w:snapToGrid/>
              <w:ind w:left="0" w:leftChars="0" w:right="0" w:rightChars="0"/>
              <w:jc w:val="center"/>
              <w:rPr>
                <w:rFonts w:hint="eastAsia" w:ascii="黑体" w:hAnsi="黑体" w:eastAsia="黑体" w:cs="黑体"/>
                <w:b w:val="0"/>
                <w:bCs w:val="0"/>
                <w:color w:val="auto"/>
                <w:sz w:val="18"/>
                <w:szCs w:val="18"/>
                <w:highlight w:val="none"/>
                <w:u w:val="none"/>
                <w:vertAlign w:val="baseline"/>
                <w:lang w:val="en-US" w:eastAsia="zh-CN" w:bidi="ar"/>
              </w:rPr>
            </w:pPr>
            <w:r>
              <w:rPr>
                <w:rStyle w:val="15"/>
                <w:rFonts w:hint="eastAsia" w:ascii="黑体" w:hAnsi="黑体" w:eastAsia="黑体" w:cs="黑体"/>
                <w:b w:val="0"/>
                <w:bCs w:val="0"/>
                <w:color w:val="auto"/>
                <w:sz w:val="18"/>
                <w:szCs w:val="18"/>
                <w:highlight w:val="none"/>
                <w:vertAlign w:val="baseline"/>
                <w:lang w:val="en-US" w:eastAsia="zh-CN" w:bidi="ar"/>
              </w:rPr>
              <w:t>品牌、厂家</w:t>
            </w:r>
          </w:p>
        </w:tc>
        <w:tc>
          <w:tcPr>
            <w:tcW w:w="3062" w:type="dxa"/>
            <w:gridSpan w:val="2"/>
            <w:noWrap w:val="0"/>
            <w:vAlign w:val="center"/>
          </w:tcPr>
          <w:p w14:paraId="6C1F360B">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r>
              <w:rPr>
                <w:rStyle w:val="15"/>
                <w:rFonts w:hint="eastAsia" w:ascii="黑体" w:hAnsi="黑体" w:eastAsia="黑体" w:cs="黑体"/>
                <w:b w:val="0"/>
                <w:bCs w:val="0"/>
                <w:color w:val="auto"/>
                <w:sz w:val="18"/>
                <w:szCs w:val="18"/>
                <w:highlight w:val="none"/>
                <w:vertAlign w:val="baseline"/>
                <w:lang w:val="en-US" w:eastAsia="zh-CN" w:bidi="ar"/>
              </w:rPr>
              <w:t>审定价格</w:t>
            </w:r>
          </w:p>
        </w:tc>
        <w:tc>
          <w:tcPr>
            <w:tcW w:w="411" w:type="dxa"/>
            <w:vMerge w:val="continue"/>
            <w:noWrap w:val="0"/>
            <w:vAlign w:val="center"/>
          </w:tcPr>
          <w:p w14:paraId="45268363">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602" w:type="dxa"/>
            <w:vMerge w:val="continue"/>
            <w:noWrap w:val="0"/>
            <w:vAlign w:val="center"/>
          </w:tcPr>
          <w:p w14:paraId="1BE98A9A">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r>
      <w:tr w14:paraId="6B083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8" w:type="dxa"/>
            <w:vMerge w:val="continue"/>
            <w:noWrap w:val="0"/>
            <w:vAlign w:val="center"/>
          </w:tcPr>
          <w:p w14:paraId="080BD5E8">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864" w:type="dxa"/>
            <w:vMerge w:val="continue"/>
            <w:noWrap w:val="0"/>
            <w:vAlign w:val="center"/>
          </w:tcPr>
          <w:p w14:paraId="1AC0E189">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1416" w:type="dxa"/>
            <w:gridSpan w:val="2"/>
            <w:vMerge w:val="continue"/>
            <w:noWrap w:val="0"/>
            <w:vAlign w:val="center"/>
          </w:tcPr>
          <w:p w14:paraId="4C2BD1C7">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385" w:type="dxa"/>
            <w:noWrap w:val="0"/>
            <w:vAlign w:val="center"/>
          </w:tcPr>
          <w:p w14:paraId="3B87CE00">
            <w:pPr>
              <w:keepNext w:val="0"/>
              <w:keepLines w:val="0"/>
              <w:pageBreakBefore w:val="0"/>
              <w:widowControl/>
              <w:suppressLineNumbers w:val="0"/>
              <w:kinsoku/>
              <w:wordWrap/>
              <w:overflowPunct/>
              <w:topLinePunct w:val="0"/>
              <w:bidi w:val="0"/>
              <w:snapToGrid/>
              <w:ind w:left="0" w:leftChars="0" w:right="0" w:rightChars="0"/>
              <w:jc w:val="center"/>
              <w:textAlignment w:val="center"/>
              <w:rPr>
                <w:rFonts w:hint="eastAsia" w:ascii="黑体" w:hAnsi="黑体" w:eastAsia="黑体" w:cs="黑体"/>
                <w:b w:val="0"/>
                <w:bCs w:val="0"/>
                <w:i w:val="0"/>
                <w:iCs w:val="0"/>
                <w:color w:val="auto"/>
                <w:kern w:val="2"/>
                <w:sz w:val="18"/>
                <w:szCs w:val="18"/>
                <w:highlight w:val="none"/>
                <w:u w:val="none"/>
                <w:lang w:val="en-US" w:eastAsia="zh-CN" w:bidi="ar-SA"/>
              </w:rPr>
            </w:pPr>
            <w:r>
              <w:rPr>
                <w:rFonts w:hint="eastAsia" w:ascii="黑体" w:hAnsi="黑体" w:eastAsia="黑体" w:cs="黑体"/>
                <w:b w:val="0"/>
                <w:bCs w:val="0"/>
                <w:i w:val="0"/>
                <w:iCs w:val="0"/>
                <w:color w:val="auto"/>
                <w:kern w:val="0"/>
                <w:sz w:val="18"/>
                <w:szCs w:val="18"/>
                <w:highlight w:val="none"/>
                <w:u w:val="none"/>
                <w:lang w:val="en-US" w:eastAsia="zh-CN" w:bidi="ar"/>
              </w:rPr>
              <w:t>单位</w:t>
            </w:r>
          </w:p>
        </w:tc>
        <w:tc>
          <w:tcPr>
            <w:tcW w:w="549" w:type="dxa"/>
            <w:noWrap w:val="0"/>
            <w:vAlign w:val="center"/>
          </w:tcPr>
          <w:p w14:paraId="5AE23EA5">
            <w:pPr>
              <w:keepNext w:val="0"/>
              <w:keepLines w:val="0"/>
              <w:pageBreakBefore w:val="0"/>
              <w:widowControl/>
              <w:suppressLineNumbers w:val="0"/>
              <w:kinsoku/>
              <w:wordWrap/>
              <w:overflowPunct/>
              <w:topLinePunct w:val="0"/>
              <w:bidi w:val="0"/>
              <w:snapToGrid/>
              <w:ind w:left="0" w:leftChars="0" w:right="0" w:rightChars="0"/>
              <w:jc w:val="center"/>
              <w:textAlignment w:val="center"/>
              <w:rPr>
                <w:rFonts w:hint="eastAsia" w:ascii="黑体" w:hAnsi="黑体" w:eastAsia="黑体" w:cs="黑体"/>
                <w:b w:val="0"/>
                <w:bCs w:val="0"/>
                <w:i w:val="0"/>
                <w:iCs w:val="0"/>
                <w:color w:val="auto"/>
                <w:kern w:val="2"/>
                <w:sz w:val="18"/>
                <w:szCs w:val="18"/>
                <w:highlight w:val="none"/>
                <w:u w:val="none"/>
                <w:lang w:val="en-US" w:eastAsia="zh-CN" w:bidi="ar-SA"/>
              </w:rPr>
            </w:pPr>
            <w:r>
              <w:rPr>
                <w:rFonts w:hint="eastAsia" w:ascii="黑体" w:hAnsi="黑体" w:eastAsia="黑体" w:cs="黑体"/>
                <w:b w:val="0"/>
                <w:bCs w:val="0"/>
                <w:i w:val="0"/>
                <w:iCs w:val="0"/>
                <w:color w:val="auto"/>
                <w:kern w:val="0"/>
                <w:sz w:val="18"/>
                <w:szCs w:val="18"/>
                <w:highlight w:val="none"/>
                <w:u w:val="none"/>
                <w:lang w:val="en-US" w:eastAsia="zh-CN" w:bidi="ar"/>
              </w:rPr>
              <w:t>数量</w:t>
            </w:r>
          </w:p>
        </w:tc>
        <w:tc>
          <w:tcPr>
            <w:tcW w:w="684" w:type="dxa"/>
            <w:vMerge w:val="continue"/>
            <w:noWrap w:val="0"/>
            <w:vAlign w:val="center"/>
          </w:tcPr>
          <w:p w14:paraId="67C62E93">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812" w:type="dxa"/>
            <w:gridSpan w:val="2"/>
            <w:vMerge w:val="continue"/>
            <w:noWrap w:val="0"/>
            <w:vAlign w:val="center"/>
          </w:tcPr>
          <w:p w14:paraId="7DC79920">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1103" w:type="dxa"/>
            <w:vMerge w:val="continue"/>
            <w:noWrap w:val="0"/>
            <w:vAlign w:val="center"/>
          </w:tcPr>
          <w:p w14:paraId="728FE47A">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1075" w:type="dxa"/>
            <w:vMerge w:val="continue"/>
            <w:noWrap w:val="0"/>
            <w:vAlign w:val="center"/>
          </w:tcPr>
          <w:p w14:paraId="71A6EF0C">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1226" w:type="dxa"/>
            <w:gridSpan w:val="2"/>
            <w:vMerge w:val="continue"/>
            <w:noWrap w:val="0"/>
            <w:vAlign w:val="center"/>
          </w:tcPr>
          <w:p w14:paraId="01821BD7">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1301" w:type="dxa"/>
            <w:vMerge w:val="continue"/>
            <w:noWrap w:val="0"/>
            <w:vAlign w:val="center"/>
          </w:tcPr>
          <w:p w14:paraId="2C3D39DD">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1026" w:type="dxa"/>
            <w:noWrap w:val="0"/>
            <w:vAlign w:val="center"/>
          </w:tcPr>
          <w:p w14:paraId="564EE94A">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r>
              <w:rPr>
                <w:rStyle w:val="15"/>
                <w:rFonts w:hint="eastAsia" w:ascii="黑体" w:hAnsi="黑体" w:eastAsia="黑体" w:cs="黑体"/>
                <w:b w:val="0"/>
                <w:bCs w:val="0"/>
                <w:color w:val="auto"/>
                <w:sz w:val="18"/>
                <w:szCs w:val="18"/>
                <w:highlight w:val="none"/>
                <w:vertAlign w:val="baseline"/>
                <w:lang w:val="en-US" w:eastAsia="zh-CN" w:bidi="ar"/>
              </w:rPr>
              <w:t>小写</w:t>
            </w:r>
          </w:p>
        </w:tc>
        <w:tc>
          <w:tcPr>
            <w:tcW w:w="2036" w:type="dxa"/>
            <w:noWrap w:val="0"/>
            <w:vAlign w:val="center"/>
          </w:tcPr>
          <w:p w14:paraId="24BD87F9">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r>
              <w:rPr>
                <w:rStyle w:val="15"/>
                <w:rFonts w:hint="eastAsia" w:ascii="黑体" w:hAnsi="黑体" w:eastAsia="黑体" w:cs="黑体"/>
                <w:b w:val="0"/>
                <w:bCs w:val="0"/>
                <w:color w:val="auto"/>
                <w:sz w:val="18"/>
                <w:szCs w:val="18"/>
                <w:highlight w:val="none"/>
                <w:vertAlign w:val="baseline"/>
                <w:lang w:val="en-US" w:eastAsia="zh-CN" w:bidi="ar"/>
              </w:rPr>
              <w:t>大写</w:t>
            </w:r>
          </w:p>
        </w:tc>
        <w:tc>
          <w:tcPr>
            <w:tcW w:w="411" w:type="dxa"/>
            <w:vMerge w:val="continue"/>
            <w:noWrap w:val="0"/>
            <w:vAlign w:val="center"/>
          </w:tcPr>
          <w:p w14:paraId="685DD47B">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602" w:type="dxa"/>
            <w:vMerge w:val="continue"/>
            <w:noWrap w:val="0"/>
            <w:vAlign w:val="center"/>
          </w:tcPr>
          <w:p w14:paraId="5DAE223A">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r>
      <w:tr w14:paraId="333FA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8" w:type="dxa"/>
            <w:noWrap w:val="0"/>
            <w:vAlign w:val="center"/>
          </w:tcPr>
          <w:p w14:paraId="7F27FD37">
            <w:pPr>
              <w:pStyle w:val="12"/>
              <w:keepNext w:val="0"/>
              <w:keepLines w:val="0"/>
              <w:pageBreakBefore w:val="0"/>
              <w:kinsoku/>
              <w:wordWrap/>
              <w:overflowPunct/>
              <w:topLinePunct w:val="0"/>
              <w:bidi w:val="0"/>
              <w:snapToGrid/>
              <w:ind w:left="0" w:leftChars="0" w:right="0" w:rightChars="0"/>
              <w:jc w:val="center"/>
              <w:rPr>
                <w:rStyle w:val="15"/>
                <w:rFonts w:hint="eastAsia" w:ascii="楷体_GB2312" w:hAnsi="楷体_GB2312" w:eastAsia="楷体_GB2312" w:cs="楷体_GB2312"/>
                <w:b w:val="0"/>
                <w:bCs w:val="0"/>
                <w:color w:val="auto"/>
                <w:sz w:val="18"/>
                <w:szCs w:val="18"/>
                <w:highlight w:val="none"/>
                <w:vertAlign w:val="baseline"/>
                <w:lang w:val="en-US" w:eastAsia="zh-CN" w:bidi="ar"/>
              </w:rPr>
            </w:pPr>
            <w:r>
              <w:rPr>
                <w:rStyle w:val="15"/>
                <w:rFonts w:hint="eastAsia" w:ascii="楷体_GB2312" w:hAnsi="楷体_GB2312" w:eastAsia="楷体_GB2312" w:cs="楷体_GB2312"/>
                <w:b w:val="0"/>
                <w:bCs w:val="0"/>
                <w:color w:val="auto"/>
                <w:sz w:val="18"/>
                <w:szCs w:val="18"/>
                <w:highlight w:val="none"/>
                <w:vertAlign w:val="baseline"/>
                <w:lang w:val="en-US" w:eastAsia="zh-CN" w:bidi="ar"/>
              </w:rPr>
              <w:t>1</w:t>
            </w:r>
          </w:p>
        </w:tc>
        <w:tc>
          <w:tcPr>
            <w:tcW w:w="864" w:type="dxa"/>
            <w:noWrap w:val="0"/>
            <w:vAlign w:val="center"/>
          </w:tcPr>
          <w:p w14:paraId="1E523B56">
            <w:pPr>
              <w:pStyle w:val="12"/>
              <w:keepNext w:val="0"/>
              <w:keepLines w:val="0"/>
              <w:pageBreakBefore w:val="0"/>
              <w:kinsoku/>
              <w:wordWrap/>
              <w:overflowPunct/>
              <w:topLinePunct w:val="0"/>
              <w:bidi w:val="0"/>
              <w:snapToGrid/>
              <w:ind w:left="0" w:leftChars="0" w:right="0" w:rightChars="0"/>
              <w:jc w:val="center"/>
              <w:rPr>
                <w:rStyle w:val="15"/>
                <w:rFonts w:hint="eastAsia" w:ascii="楷体_GB2312" w:hAnsi="楷体_GB2312" w:eastAsia="楷体_GB2312" w:cs="楷体_GB2312"/>
                <w:b w:val="0"/>
                <w:bCs w:val="0"/>
                <w:color w:val="auto"/>
                <w:sz w:val="18"/>
                <w:szCs w:val="18"/>
                <w:highlight w:val="none"/>
                <w:vertAlign w:val="baseline"/>
                <w:lang w:val="en-US" w:eastAsia="zh-CN" w:bidi="ar"/>
              </w:rPr>
            </w:pPr>
          </w:p>
        </w:tc>
        <w:tc>
          <w:tcPr>
            <w:tcW w:w="1416" w:type="dxa"/>
            <w:gridSpan w:val="2"/>
            <w:noWrap w:val="0"/>
            <w:vAlign w:val="center"/>
          </w:tcPr>
          <w:p w14:paraId="2E945D3F">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385" w:type="dxa"/>
            <w:noWrap w:val="0"/>
            <w:vAlign w:val="center"/>
          </w:tcPr>
          <w:p w14:paraId="119D1C24">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549" w:type="dxa"/>
            <w:noWrap w:val="0"/>
            <w:vAlign w:val="center"/>
          </w:tcPr>
          <w:p w14:paraId="5F22248A">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684" w:type="dxa"/>
            <w:noWrap w:val="0"/>
            <w:vAlign w:val="center"/>
          </w:tcPr>
          <w:p w14:paraId="087C52A6">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812" w:type="dxa"/>
            <w:gridSpan w:val="2"/>
            <w:noWrap w:val="0"/>
            <w:vAlign w:val="center"/>
          </w:tcPr>
          <w:p w14:paraId="4B6905A9">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1103" w:type="dxa"/>
            <w:noWrap w:val="0"/>
            <w:vAlign w:val="center"/>
          </w:tcPr>
          <w:p w14:paraId="340F8361">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1075" w:type="dxa"/>
            <w:noWrap w:val="0"/>
            <w:vAlign w:val="center"/>
          </w:tcPr>
          <w:p w14:paraId="57ED18A9">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1226" w:type="dxa"/>
            <w:gridSpan w:val="2"/>
            <w:noWrap w:val="0"/>
            <w:vAlign w:val="center"/>
          </w:tcPr>
          <w:p w14:paraId="1387C891">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1301" w:type="dxa"/>
            <w:noWrap w:val="0"/>
            <w:vAlign w:val="center"/>
          </w:tcPr>
          <w:p w14:paraId="18D6E134">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1026" w:type="dxa"/>
            <w:noWrap w:val="0"/>
            <w:vAlign w:val="center"/>
          </w:tcPr>
          <w:p w14:paraId="181D8628">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2036" w:type="dxa"/>
            <w:noWrap w:val="0"/>
            <w:vAlign w:val="center"/>
          </w:tcPr>
          <w:p w14:paraId="07D88D64">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411" w:type="dxa"/>
            <w:noWrap w:val="0"/>
            <w:vAlign w:val="center"/>
          </w:tcPr>
          <w:p w14:paraId="35C7056E">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c>
          <w:tcPr>
            <w:tcW w:w="602" w:type="dxa"/>
            <w:noWrap w:val="0"/>
            <w:vAlign w:val="center"/>
          </w:tcPr>
          <w:p w14:paraId="2277F80D">
            <w:pPr>
              <w:pStyle w:val="12"/>
              <w:keepNext w:val="0"/>
              <w:keepLines w:val="0"/>
              <w:pageBreakBefore w:val="0"/>
              <w:kinsoku/>
              <w:wordWrap/>
              <w:overflowPunct/>
              <w:topLinePunct w:val="0"/>
              <w:bidi w:val="0"/>
              <w:snapToGrid/>
              <w:ind w:left="0" w:leftChars="0" w:right="0" w:rightChars="0"/>
              <w:jc w:val="center"/>
              <w:rPr>
                <w:rStyle w:val="15"/>
                <w:rFonts w:hint="eastAsia" w:ascii="黑体" w:hAnsi="黑体" w:eastAsia="黑体" w:cs="黑体"/>
                <w:b w:val="0"/>
                <w:bCs w:val="0"/>
                <w:color w:val="auto"/>
                <w:sz w:val="18"/>
                <w:szCs w:val="18"/>
                <w:highlight w:val="none"/>
                <w:vertAlign w:val="baseline"/>
                <w:lang w:val="en-US" w:eastAsia="zh-CN" w:bidi="ar"/>
              </w:rPr>
            </w:pPr>
          </w:p>
        </w:tc>
      </w:tr>
      <w:tr w14:paraId="128DE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8" w:type="dxa"/>
            <w:noWrap w:val="0"/>
            <w:vAlign w:val="center"/>
          </w:tcPr>
          <w:p w14:paraId="79DFE1D4">
            <w:pPr>
              <w:pStyle w:val="12"/>
              <w:keepNext w:val="0"/>
              <w:keepLines w:val="0"/>
              <w:pageBreakBefore w:val="0"/>
              <w:kinsoku/>
              <w:wordWrap/>
              <w:overflowPunct/>
              <w:topLinePunct w:val="0"/>
              <w:bidi w:val="0"/>
              <w:snapToGrid/>
              <w:ind w:left="0" w:leftChars="0" w:right="0" w:rightChars="0"/>
              <w:jc w:val="center"/>
              <w:rPr>
                <w:rStyle w:val="15"/>
                <w:rFonts w:hint="eastAsia" w:ascii="楷体_GB2312" w:hAnsi="楷体_GB2312" w:eastAsia="楷体_GB2312" w:cs="楷体_GB2312"/>
                <w:b w:val="0"/>
                <w:bCs w:val="0"/>
                <w:color w:val="auto"/>
                <w:sz w:val="18"/>
                <w:szCs w:val="18"/>
                <w:highlight w:val="none"/>
                <w:vertAlign w:val="baseline"/>
                <w:lang w:val="en-US" w:eastAsia="zh-CN" w:bidi="ar"/>
              </w:rPr>
            </w:pPr>
            <w:r>
              <w:rPr>
                <w:rStyle w:val="15"/>
                <w:rFonts w:hint="eastAsia" w:ascii="楷体_GB2312" w:hAnsi="楷体_GB2312" w:eastAsia="楷体_GB2312" w:cs="楷体_GB2312"/>
                <w:b w:val="0"/>
                <w:bCs w:val="0"/>
                <w:color w:val="auto"/>
                <w:sz w:val="18"/>
                <w:szCs w:val="18"/>
                <w:highlight w:val="none"/>
                <w:vertAlign w:val="baseline"/>
                <w:lang w:val="en-US" w:eastAsia="zh-CN" w:bidi="ar"/>
              </w:rPr>
              <w:t>2</w:t>
            </w:r>
          </w:p>
        </w:tc>
        <w:tc>
          <w:tcPr>
            <w:tcW w:w="864" w:type="dxa"/>
            <w:noWrap w:val="0"/>
            <w:vAlign w:val="center"/>
          </w:tcPr>
          <w:p w14:paraId="2B396B89">
            <w:pPr>
              <w:pStyle w:val="12"/>
              <w:keepNext w:val="0"/>
              <w:keepLines w:val="0"/>
              <w:pageBreakBefore w:val="0"/>
              <w:kinsoku/>
              <w:wordWrap/>
              <w:overflowPunct/>
              <w:topLinePunct w:val="0"/>
              <w:bidi w:val="0"/>
              <w:snapToGrid/>
              <w:ind w:left="0" w:leftChars="0" w:right="0" w:rightChars="0"/>
              <w:jc w:val="center"/>
              <w:rPr>
                <w:rStyle w:val="15"/>
                <w:rFonts w:hint="eastAsia" w:ascii="楷体_GB2312" w:hAnsi="楷体_GB2312" w:eastAsia="楷体_GB2312" w:cs="楷体_GB2312"/>
                <w:b w:val="0"/>
                <w:bCs w:val="0"/>
                <w:color w:val="auto"/>
                <w:sz w:val="18"/>
                <w:szCs w:val="18"/>
                <w:highlight w:val="none"/>
                <w:vertAlign w:val="baseline"/>
                <w:lang w:val="en-US" w:eastAsia="zh-CN" w:bidi="ar"/>
              </w:rPr>
            </w:pPr>
          </w:p>
        </w:tc>
        <w:tc>
          <w:tcPr>
            <w:tcW w:w="1416" w:type="dxa"/>
            <w:gridSpan w:val="2"/>
            <w:noWrap w:val="0"/>
            <w:vAlign w:val="center"/>
          </w:tcPr>
          <w:p w14:paraId="1C3E11D8">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385" w:type="dxa"/>
            <w:noWrap w:val="0"/>
            <w:vAlign w:val="center"/>
          </w:tcPr>
          <w:p w14:paraId="49E454F7">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549" w:type="dxa"/>
            <w:noWrap w:val="0"/>
            <w:vAlign w:val="center"/>
          </w:tcPr>
          <w:p w14:paraId="205F6F25">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684" w:type="dxa"/>
            <w:noWrap w:val="0"/>
            <w:vAlign w:val="center"/>
          </w:tcPr>
          <w:p w14:paraId="58F6608C">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812" w:type="dxa"/>
            <w:gridSpan w:val="2"/>
            <w:noWrap w:val="0"/>
            <w:vAlign w:val="center"/>
          </w:tcPr>
          <w:p w14:paraId="2222A7AE">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1103" w:type="dxa"/>
            <w:noWrap w:val="0"/>
            <w:vAlign w:val="center"/>
          </w:tcPr>
          <w:p w14:paraId="3FA37A56">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1075" w:type="dxa"/>
            <w:noWrap w:val="0"/>
            <w:vAlign w:val="center"/>
          </w:tcPr>
          <w:p w14:paraId="32FDE8D3">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1226" w:type="dxa"/>
            <w:gridSpan w:val="2"/>
            <w:noWrap w:val="0"/>
            <w:vAlign w:val="center"/>
          </w:tcPr>
          <w:p w14:paraId="2BA184C3">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1301" w:type="dxa"/>
            <w:noWrap w:val="0"/>
            <w:vAlign w:val="center"/>
          </w:tcPr>
          <w:p w14:paraId="1C46B7E7">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1026" w:type="dxa"/>
            <w:noWrap w:val="0"/>
            <w:vAlign w:val="center"/>
          </w:tcPr>
          <w:p w14:paraId="62B3C9EB">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2036" w:type="dxa"/>
            <w:noWrap w:val="0"/>
            <w:vAlign w:val="center"/>
          </w:tcPr>
          <w:p w14:paraId="67D8553F">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411" w:type="dxa"/>
            <w:noWrap w:val="0"/>
            <w:vAlign w:val="center"/>
          </w:tcPr>
          <w:p w14:paraId="4692F164">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602" w:type="dxa"/>
            <w:noWrap w:val="0"/>
            <w:vAlign w:val="center"/>
          </w:tcPr>
          <w:p w14:paraId="22C0FB1A">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r>
      <w:tr w14:paraId="42978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418" w:type="dxa"/>
            <w:noWrap w:val="0"/>
            <w:vAlign w:val="center"/>
          </w:tcPr>
          <w:p w14:paraId="180613C6">
            <w:pPr>
              <w:pStyle w:val="12"/>
              <w:keepNext w:val="0"/>
              <w:keepLines w:val="0"/>
              <w:pageBreakBefore w:val="0"/>
              <w:kinsoku/>
              <w:wordWrap/>
              <w:overflowPunct/>
              <w:topLinePunct w:val="0"/>
              <w:bidi w:val="0"/>
              <w:snapToGrid/>
              <w:ind w:left="0" w:leftChars="0" w:right="0" w:rightChars="0"/>
              <w:jc w:val="center"/>
              <w:rPr>
                <w:rStyle w:val="15"/>
                <w:rFonts w:hint="eastAsia" w:ascii="楷体_GB2312" w:hAnsi="楷体_GB2312" w:eastAsia="楷体_GB2312" w:cs="楷体_GB2312"/>
                <w:b w:val="0"/>
                <w:bCs w:val="0"/>
                <w:color w:val="auto"/>
                <w:sz w:val="18"/>
                <w:szCs w:val="18"/>
                <w:highlight w:val="none"/>
                <w:vertAlign w:val="baseline"/>
                <w:lang w:val="en-US" w:eastAsia="zh-CN" w:bidi="ar"/>
              </w:rPr>
            </w:pPr>
            <w:r>
              <w:rPr>
                <w:rStyle w:val="15"/>
                <w:rFonts w:hint="eastAsia" w:ascii="楷体_GB2312" w:hAnsi="楷体_GB2312" w:eastAsia="楷体_GB2312" w:cs="楷体_GB2312"/>
                <w:b w:val="0"/>
                <w:bCs w:val="0"/>
                <w:color w:val="auto"/>
                <w:sz w:val="18"/>
                <w:szCs w:val="18"/>
                <w:highlight w:val="none"/>
                <w:vertAlign w:val="baseline"/>
                <w:lang w:val="en-US" w:eastAsia="zh-CN" w:bidi="ar"/>
              </w:rPr>
              <w:t>3</w:t>
            </w:r>
          </w:p>
        </w:tc>
        <w:tc>
          <w:tcPr>
            <w:tcW w:w="864" w:type="dxa"/>
            <w:noWrap w:val="0"/>
            <w:vAlign w:val="center"/>
          </w:tcPr>
          <w:p w14:paraId="0B9A7BBA">
            <w:pPr>
              <w:pStyle w:val="12"/>
              <w:keepNext w:val="0"/>
              <w:keepLines w:val="0"/>
              <w:pageBreakBefore w:val="0"/>
              <w:kinsoku/>
              <w:wordWrap/>
              <w:overflowPunct/>
              <w:topLinePunct w:val="0"/>
              <w:bidi w:val="0"/>
              <w:snapToGrid/>
              <w:ind w:left="0" w:leftChars="0" w:right="0" w:rightChars="0"/>
              <w:jc w:val="center"/>
              <w:rPr>
                <w:rStyle w:val="15"/>
                <w:rFonts w:hint="eastAsia" w:ascii="楷体_GB2312" w:hAnsi="楷体_GB2312" w:eastAsia="楷体_GB2312" w:cs="楷体_GB2312"/>
                <w:b w:val="0"/>
                <w:bCs w:val="0"/>
                <w:color w:val="auto"/>
                <w:sz w:val="18"/>
                <w:szCs w:val="18"/>
                <w:highlight w:val="none"/>
                <w:vertAlign w:val="baseline"/>
                <w:lang w:val="en-US" w:eastAsia="zh-CN" w:bidi="ar"/>
              </w:rPr>
            </w:pPr>
          </w:p>
        </w:tc>
        <w:tc>
          <w:tcPr>
            <w:tcW w:w="1416" w:type="dxa"/>
            <w:gridSpan w:val="2"/>
            <w:noWrap w:val="0"/>
            <w:vAlign w:val="center"/>
          </w:tcPr>
          <w:p w14:paraId="37E7DBB1">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385" w:type="dxa"/>
            <w:noWrap w:val="0"/>
            <w:vAlign w:val="center"/>
          </w:tcPr>
          <w:p w14:paraId="5D1DE7C4">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549" w:type="dxa"/>
            <w:noWrap w:val="0"/>
            <w:vAlign w:val="center"/>
          </w:tcPr>
          <w:p w14:paraId="73B361C6">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684" w:type="dxa"/>
            <w:noWrap w:val="0"/>
            <w:vAlign w:val="center"/>
          </w:tcPr>
          <w:p w14:paraId="3CC01ED4">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812" w:type="dxa"/>
            <w:gridSpan w:val="2"/>
            <w:noWrap w:val="0"/>
            <w:vAlign w:val="center"/>
          </w:tcPr>
          <w:p w14:paraId="05BFFA59">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1103" w:type="dxa"/>
            <w:noWrap w:val="0"/>
            <w:vAlign w:val="center"/>
          </w:tcPr>
          <w:p w14:paraId="347ACA22">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1075" w:type="dxa"/>
            <w:noWrap w:val="0"/>
            <w:vAlign w:val="center"/>
          </w:tcPr>
          <w:p w14:paraId="088FB5D8">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1226" w:type="dxa"/>
            <w:gridSpan w:val="2"/>
            <w:noWrap w:val="0"/>
            <w:vAlign w:val="center"/>
          </w:tcPr>
          <w:p w14:paraId="583109C8">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1301" w:type="dxa"/>
            <w:noWrap w:val="0"/>
            <w:vAlign w:val="center"/>
          </w:tcPr>
          <w:p w14:paraId="4DE4AC1C">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1026" w:type="dxa"/>
            <w:noWrap w:val="0"/>
            <w:vAlign w:val="center"/>
          </w:tcPr>
          <w:p w14:paraId="6B0010F9">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2036" w:type="dxa"/>
            <w:noWrap w:val="0"/>
            <w:vAlign w:val="center"/>
          </w:tcPr>
          <w:p w14:paraId="0AF78B86">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411" w:type="dxa"/>
            <w:noWrap w:val="0"/>
            <w:vAlign w:val="center"/>
          </w:tcPr>
          <w:p w14:paraId="55327303">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602" w:type="dxa"/>
            <w:noWrap w:val="0"/>
            <w:vAlign w:val="center"/>
          </w:tcPr>
          <w:p w14:paraId="4944551E">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r>
      <w:tr w14:paraId="238DD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418" w:type="dxa"/>
            <w:noWrap w:val="0"/>
            <w:vAlign w:val="center"/>
          </w:tcPr>
          <w:p w14:paraId="686F0068">
            <w:pPr>
              <w:pStyle w:val="12"/>
              <w:keepNext w:val="0"/>
              <w:keepLines w:val="0"/>
              <w:pageBreakBefore w:val="0"/>
              <w:kinsoku/>
              <w:wordWrap/>
              <w:overflowPunct/>
              <w:topLinePunct w:val="0"/>
              <w:bidi w:val="0"/>
              <w:snapToGrid/>
              <w:ind w:left="0" w:leftChars="0" w:right="0" w:rightChars="0"/>
              <w:jc w:val="center"/>
              <w:rPr>
                <w:rStyle w:val="15"/>
                <w:rFonts w:hint="eastAsia" w:ascii="楷体_GB2312" w:hAnsi="楷体_GB2312" w:eastAsia="楷体_GB2312" w:cs="楷体_GB2312"/>
                <w:b w:val="0"/>
                <w:bCs w:val="0"/>
                <w:color w:val="auto"/>
                <w:sz w:val="18"/>
                <w:szCs w:val="18"/>
                <w:highlight w:val="none"/>
                <w:vertAlign w:val="baseline"/>
                <w:lang w:val="en-US" w:eastAsia="zh-CN" w:bidi="ar"/>
              </w:rPr>
            </w:pPr>
            <w:r>
              <w:rPr>
                <w:rStyle w:val="15"/>
                <w:rFonts w:hint="eastAsia" w:ascii="楷体_GB2312" w:hAnsi="楷体_GB2312" w:eastAsia="楷体_GB2312" w:cs="楷体_GB2312"/>
                <w:b w:val="0"/>
                <w:bCs w:val="0"/>
                <w:color w:val="auto"/>
                <w:sz w:val="18"/>
                <w:szCs w:val="18"/>
                <w:highlight w:val="none"/>
                <w:vertAlign w:val="baseline"/>
                <w:lang w:val="en-US" w:eastAsia="zh-CN" w:bidi="ar"/>
              </w:rPr>
              <w:t>…</w:t>
            </w:r>
          </w:p>
        </w:tc>
        <w:tc>
          <w:tcPr>
            <w:tcW w:w="864" w:type="dxa"/>
            <w:noWrap w:val="0"/>
            <w:vAlign w:val="center"/>
          </w:tcPr>
          <w:p w14:paraId="42B72FBE">
            <w:pPr>
              <w:pStyle w:val="12"/>
              <w:keepNext w:val="0"/>
              <w:keepLines w:val="0"/>
              <w:pageBreakBefore w:val="0"/>
              <w:kinsoku/>
              <w:wordWrap/>
              <w:overflowPunct/>
              <w:topLinePunct w:val="0"/>
              <w:bidi w:val="0"/>
              <w:snapToGrid/>
              <w:ind w:left="0" w:leftChars="0" w:right="0" w:rightChars="0"/>
              <w:jc w:val="center"/>
              <w:rPr>
                <w:rStyle w:val="15"/>
                <w:rFonts w:hint="eastAsia" w:ascii="楷体_GB2312" w:hAnsi="楷体_GB2312" w:eastAsia="楷体_GB2312" w:cs="楷体_GB2312"/>
                <w:b w:val="0"/>
                <w:bCs w:val="0"/>
                <w:color w:val="auto"/>
                <w:sz w:val="18"/>
                <w:szCs w:val="18"/>
                <w:highlight w:val="none"/>
                <w:vertAlign w:val="baseline"/>
                <w:lang w:val="en-US" w:eastAsia="zh-CN" w:bidi="ar"/>
              </w:rPr>
            </w:pPr>
          </w:p>
        </w:tc>
        <w:tc>
          <w:tcPr>
            <w:tcW w:w="1416" w:type="dxa"/>
            <w:gridSpan w:val="2"/>
            <w:noWrap w:val="0"/>
            <w:vAlign w:val="center"/>
          </w:tcPr>
          <w:p w14:paraId="55CD6DE3">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385" w:type="dxa"/>
            <w:noWrap w:val="0"/>
            <w:vAlign w:val="center"/>
          </w:tcPr>
          <w:p w14:paraId="05A44598">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549" w:type="dxa"/>
            <w:noWrap w:val="0"/>
            <w:vAlign w:val="center"/>
          </w:tcPr>
          <w:p w14:paraId="6DB186EA">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684" w:type="dxa"/>
            <w:noWrap w:val="0"/>
            <w:vAlign w:val="center"/>
          </w:tcPr>
          <w:p w14:paraId="2620C415">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812" w:type="dxa"/>
            <w:gridSpan w:val="2"/>
            <w:noWrap w:val="0"/>
            <w:vAlign w:val="center"/>
          </w:tcPr>
          <w:p w14:paraId="614C8E60">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1103" w:type="dxa"/>
            <w:noWrap w:val="0"/>
            <w:vAlign w:val="center"/>
          </w:tcPr>
          <w:p w14:paraId="2EB857A8">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1075" w:type="dxa"/>
            <w:noWrap w:val="0"/>
            <w:vAlign w:val="center"/>
          </w:tcPr>
          <w:p w14:paraId="75B3B634">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1226" w:type="dxa"/>
            <w:gridSpan w:val="2"/>
            <w:noWrap w:val="0"/>
            <w:vAlign w:val="center"/>
          </w:tcPr>
          <w:p w14:paraId="4B325C8A">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1301" w:type="dxa"/>
            <w:noWrap w:val="0"/>
            <w:vAlign w:val="center"/>
          </w:tcPr>
          <w:p w14:paraId="5C0C690C">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1026" w:type="dxa"/>
            <w:noWrap w:val="0"/>
            <w:vAlign w:val="center"/>
          </w:tcPr>
          <w:p w14:paraId="6A41A23E">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2036" w:type="dxa"/>
            <w:noWrap w:val="0"/>
            <w:vAlign w:val="center"/>
          </w:tcPr>
          <w:p w14:paraId="2666C9E1">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411" w:type="dxa"/>
            <w:noWrap w:val="0"/>
            <w:vAlign w:val="center"/>
          </w:tcPr>
          <w:p w14:paraId="60EDA0F0">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c>
          <w:tcPr>
            <w:tcW w:w="602" w:type="dxa"/>
            <w:noWrap w:val="0"/>
            <w:vAlign w:val="center"/>
          </w:tcPr>
          <w:p w14:paraId="617C6199">
            <w:pPr>
              <w:pStyle w:val="12"/>
              <w:keepNext w:val="0"/>
              <w:keepLines w:val="0"/>
              <w:pageBreakBefore w:val="0"/>
              <w:kinsoku/>
              <w:wordWrap/>
              <w:overflowPunct/>
              <w:topLinePunct w:val="0"/>
              <w:bidi w:val="0"/>
              <w:snapToGrid/>
              <w:ind w:left="0" w:leftChars="0" w:right="0" w:rightChars="0"/>
              <w:jc w:val="center"/>
              <w:rPr>
                <w:rStyle w:val="15"/>
                <w:b/>
                <w:bCs/>
                <w:color w:val="auto"/>
                <w:sz w:val="18"/>
                <w:szCs w:val="18"/>
                <w:highlight w:val="none"/>
                <w:vertAlign w:val="baseline"/>
                <w:lang w:val="en-US" w:eastAsia="zh-CN" w:bidi="ar"/>
              </w:rPr>
            </w:pPr>
          </w:p>
        </w:tc>
      </w:tr>
      <w:tr w14:paraId="1ED97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08" w:type="dxa"/>
            <w:gridSpan w:val="18"/>
            <w:noWrap w:val="0"/>
            <w:vAlign w:val="center"/>
          </w:tcPr>
          <w:p w14:paraId="67F048D4">
            <w:pPr>
              <w:pStyle w:val="12"/>
              <w:keepNext w:val="0"/>
              <w:keepLines w:val="0"/>
              <w:pageBreakBefore w:val="0"/>
              <w:kinsoku/>
              <w:wordWrap/>
              <w:overflowPunct/>
              <w:topLinePunct w:val="0"/>
              <w:bidi w:val="0"/>
              <w:snapToGrid/>
              <w:ind w:left="0" w:leftChars="0" w:right="0" w:rightChars="0"/>
              <w:jc w:val="left"/>
              <w:rPr>
                <w:rStyle w:val="15"/>
                <w:b/>
                <w:bCs/>
                <w:color w:val="auto"/>
                <w:sz w:val="18"/>
                <w:szCs w:val="18"/>
                <w:highlight w:val="none"/>
                <w:vertAlign w:val="baseline"/>
                <w:lang w:val="en-US" w:eastAsia="zh-CN" w:bidi="ar"/>
              </w:rPr>
            </w:pPr>
            <w:r>
              <w:rPr>
                <w:rFonts w:hint="eastAsia" w:ascii="仿宋_GB2312" w:hAnsi="仿宋_GB2312" w:eastAsia="仿宋_GB2312" w:cs="仿宋_GB2312"/>
                <w:b/>
                <w:bCs/>
                <w:i w:val="0"/>
                <w:iCs w:val="0"/>
                <w:color w:val="auto"/>
                <w:kern w:val="0"/>
                <w:sz w:val="18"/>
                <w:szCs w:val="18"/>
                <w:highlight w:val="none"/>
                <w:u w:val="none"/>
                <w:lang w:val="en-US" w:eastAsia="zh-CN" w:bidi="ar"/>
              </w:rPr>
              <w:t>注：以上材料、设备价格为含到场运费不含税的供应价。</w:t>
            </w:r>
          </w:p>
        </w:tc>
      </w:tr>
      <w:tr w14:paraId="6C23D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jc w:val="center"/>
        </w:trPr>
        <w:tc>
          <w:tcPr>
            <w:tcW w:w="2402" w:type="dxa"/>
            <w:gridSpan w:val="3"/>
            <w:noWrap w:val="0"/>
            <w:vAlign w:val="top"/>
          </w:tcPr>
          <w:p w14:paraId="39F5E385">
            <w:pPr>
              <w:pStyle w:val="12"/>
              <w:keepNext w:val="0"/>
              <w:keepLines w:val="0"/>
              <w:pageBreakBefore w:val="0"/>
              <w:kinsoku/>
              <w:wordWrap/>
              <w:overflowPunct/>
              <w:topLinePunct w:val="0"/>
              <w:bidi w:val="0"/>
              <w:snapToGrid/>
              <w:ind w:left="0" w:leftChars="0" w:right="0" w:rightChars="0"/>
              <w:jc w:val="both"/>
              <w:rPr>
                <w:rStyle w:val="15"/>
                <w:rFonts w:hint="eastAsia" w:ascii="楷体_GB2312" w:hAnsi="楷体_GB2312" w:eastAsia="楷体_GB2312" w:cs="楷体_GB2312"/>
                <w:b w:val="0"/>
                <w:bCs w:val="0"/>
                <w:color w:val="auto"/>
                <w:sz w:val="18"/>
                <w:szCs w:val="18"/>
                <w:highlight w:val="none"/>
                <w:vertAlign w:val="baseline"/>
                <w:lang w:val="en-US" w:eastAsia="zh-CN" w:bidi="ar"/>
              </w:rPr>
            </w:pPr>
            <w:r>
              <w:rPr>
                <w:rStyle w:val="15"/>
                <w:rFonts w:hint="eastAsia" w:ascii="楷体_GB2312" w:hAnsi="楷体_GB2312" w:eastAsia="楷体_GB2312" w:cs="楷体_GB2312"/>
                <w:b w:val="0"/>
                <w:bCs w:val="0"/>
                <w:color w:val="auto"/>
                <w:sz w:val="18"/>
                <w:szCs w:val="18"/>
                <w:highlight w:val="none"/>
                <w:vertAlign w:val="baseline"/>
                <w:lang w:val="en-US" w:eastAsia="zh-CN" w:bidi="ar"/>
              </w:rPr>
              <w:t>施工单位签字：</w:t>
            </w:r>
          </w:p>
          <w:p w14:paraId="3A1D7390">
            <w:pPr>
              <w:pStyle w:val="12"/>
              <w:keepNext w:val="0"/>
              <w:keepLines w:val="0"/>
              <w:pageBreakBefore w:val="0"/>
              <w:kinsoku/>
              <w:wordWrap/>
              <w:overflowPunct/>
              <w:topLinePunct w:val="0"/>
              <w:bidi w:val="0"/>
              <w:snapToGrid/>
              <w:ind w:left="0" w:leftChars="0" w:right="0" w:rightChars="0"/>
              <w:jc w:val="both"/>
              <w:rPr>
                <w:rStyle w:val="15"/>
                <w:rFonts w:hint="eastAsia" w:ascii="楷体_GB2312" w:hAnsi="楷体_GB2312" w:eastAsia="楷体_GB2312" w:cs="楷体_GB2312"/>
                <w:b w:val="0"/>
                <w:bCs w:val="0"/>
                <w:color w:val="auto"/>
                <w:sz w:val="18"/>
                <w:szCs w:val="18"/>
                <w:highlight w:val="none"/>
                <w:vertAlign w:val="baseline"/>
                <w:lang w:val="en-US" w:eastAsia="zh-CN" w:bidi="ar"/>
              </w:rPr>
            </w:pPr>
            <w:r>
              <w:rPr>
                <w:rStyle w:val="15"/>
                <w:rFonts w:hint="eastAsia" w:ascii="楷体_GB2312" w:hAnsi="楷体_GB2312" w:eastAsia="楷体_GB2312" w:cs="楷体_GB2312"/>
                <w:b w:val="0"/>
                <w:bCs w:val="0"/>
                <w:color w:val="auto"/>
                <w:sz w:val="18"/>
                <w:szCs w:val="18"/>
                <w:highlight w:val="none"/>
                <w:vertAlign w:val="baseline"/>
                <w:lang w:val="en-US" w:eastAsia="zh-CN" w:bidi="ar"/>
              </w:rPr>
              <w:t>（公章）</w:t>
            </w:r>
          </w:p>
        </w:tc>
        <w:tc>
          <w:tcPr>
            <w:tcW w:w="2506" w:type="dxa"/>
            <w:gridSpan w:val="5"/>
            <w:noWrap w:val="0"/>
            <w:vAlign w:val="top"/>
          </w:tcPr>
          <w:p w14:paraId="65D4B53E">
            <w:pPr>
              <w:pStyle w:val="12"/>
              <w:keepNext w:val="0"/>
              <w:keepLines w:val="0"/>
              <w:pageBreakBefore w:val="0"/>
              <w:kinsoku/>
              <w:wordWrap/>
              <w:overflowPunct/>
              <w:topLinePunct w:val="0"/>
              <w:bidi w:val="0"/>
              <w:snapToGrid/>
              <w:ind w:left="0" w:leftChars="0" w:right="0" w:rightChars="0"/>
              <w:jc w:val="both"/>
              <w:rPr>
                <w:rStyle w:val="15"/>
                <w:rFonts w:hint="eastAsia" w:ascii="楷体_GB2312" w:hAnsi="楷体_GB2312" w:eastAsia="楷体_GB2312" w:cs="楷体_GB2312"/>
                <w:b w:val="0"/>
                <w:bCs w:val="0"/>
                <w:color w:val="auto"/>
                <w:sz w:val="18"/>
                <w:szCs w:val="18"/>
                <w:highlight w:val="none"/>
                <w:vertAlign w:val="baseline"/>
                <w:lang w:val="en-US" w:eastAsia="zh-CN" w:bidi="ar"/>
              </w:rPr>
            </w:pPr>
            <w:r>
              <w:rPr>
                <w:rStyle w:val="15"/>
                <w:rFonts w:hint="eastAsia" w:ascii="楷体_GB2312" w:hAnsi="楷体_GB2312" w:eastAsia="楷体_GB2312" w:cs="楷体_GB2312"/>
                <w:b w:val="0"/>
                <w:bCs w:val="0"/>
                <w:color w:val="auto"/>
                <w:sz w:val="18"/>
                <w:szCs w:val="18"/>
                <w:highlight w:val="none"/>
                <w:vertAlign w:val="baseline"/>
                <w:lang w:val="en-US" w:eastAsia="zh-CN" w:bidi="ar"/>
              </w:rPr>
              <w:t>监理单位签字：</w:t>
            </w:r>
          </w:p>
          <w:p w14:paraId="24179C88">
            <w:pPr>
              <w:pStyle w:val="12"/>
              <w:keepNext w:val="0"/>
              <w:keepLines w:val="0"/>
              <w:pageBreakBefore w:val="0"/>
              <w:kinsoku/>
              <w:wordWrap/>
              <w:overflowPunct/>
              <w:topLinePunct w:val="0"/>
              <w:bidi w:val="0"/>
              <w:snapToGrid/>
              <w:ind w:left="0" w:leftChars="0" w:right="0" w:rightChars="0"/>
              <w:jc w:val="both"/>
              <w:rPr>
                <w:rStyle w:val="15"/>
                <w:rFonts w:hint="eastAsia" w:ascii="楷体_GB2312" w:hAnsi="楷体_GB2312" w:eastAsia="楷体_GB2312" w:cs="楷体_GB2312"/>
                <w:b w:val="0"/>
                <w:bCs w:val="0"/>
                <w:color w:val="auto"/>
                <w:sz w:val="18"/>
                <w:szCs w:val="18"/>
                <w:highlight w:val="none"/>
                <w:vertAlign w:val="baseline"/>
                <w:lang w:val="en-US" w:eastAsia="zh-CN" w:bidi="ar"/>
              </w:rPr>
            </w:pPr>
            <w:r>
              <w:rPr>
                <w:rStyle w:val="15"/>
                <w:rFonts w:hint="eastAsia" w:ascii="楷体_GB2312" w:hAnsi="楷体_GB2312" w:eastAsia="楷体_GB2312" w:cs="楷体_GB2312"/>
                <w:b w:val="0"/>
                <w:bCs w:val="0"/>
                <w:color w:val="auto"/>
                <w:sz w:val="18"/>
                <w:szCs w:val="18"/>
                <w:highlight w:val="none"/>
                <w:vertAlign w:val="baseline"/>
                <w:lang w:val="en-US" w:eastAsia="zh-CN" w:bidi="ar"/>
              </w:rPr>
              <w:t>（公章）</w:t>
            </w:r>
          </w:p>
        </w:tc>
        <w:tc>
          <w:tcPr>
            <w:tcW w:w="2961" w:type="dxa"/>
            <w:gridSpan w:val="4"/>
            <w:noWrap w:val="0"/>
            <w:vAlign w:val="top"/>
          </w:tcPr>
          <w:p w14:paraId="2D09511C">
            <w:pPr>
              <w:pStyle w:val="12"/>
              <w:keepNext w:val="0"/>
              <w:keepLines w:val="0"/>
              <w:pageBreakBefore w:val="0"/>
              <w:kinsoku/>
              <w:wordWrap/>
              <w:overflowPunct/>
              <w:topLinePunct w:val="0"/>
              <w:bidi w:val="0"/>
              <w:snapToGrid/>
              <w:ind w:left="0" w:leftChars="0" w:right="0" w:rightChars="0"/>
              <w:jc w:val="both"/>
              <w:rPr>
                <w:rStyle w:val="15"/>
                <w:rFonts w:hint="eastAsia" w:ascii="楷体_GB2312" w:hAnsi="楷体_GB2312" w:eastAsia="楷体_GB2312" w:cs="楷体_GB2312"/>
                <w:b w:val="0"/>
                <w:bCs w:val="0"/>
                <w:color w:val="auto"/>
                <w:sz w:val="18"/>
                <w:szCs w:val="18"/>
                <w:highlight w:val="none"/>
                <w:vertAlign w:val="baseline"/>
                <w:lang w:val="en-US" w:eastAsia="zh-CN" w:bidi="ar"/>
              </w:rPr>
            </w:pPr>
            <w:r>
              <w:rPr>
                <w:rStyle w:val="15"/>
                <w:rFonts w:hint="eastAsia" w:ascii="楷体_GB2312" w:hAnsi="楷体_GB2312" w:eastAsia="楷体_GB2312" w:cs="楷体_GB2312"/>
                <w:b w:val="0"/>
                <w:bCs w:val="0"/>
                <w:color w:val="auto"/>
                <w:sz w:val="18"/>
                <w:szCs w:val="18"/>
                <w:highlight w:val="none"/>
                <w:vertAlign w:val="baseline"/>
                <w:lang w:val="en-US" w:eastAsia="zh-CN" w:bidi="ar"/>
              </w:rPr>
              <w:t>造价咨询单位签字：</w:t>
            </w:r>
          </w:p>
          <w:p w14:paraId="19BF9951">
            <w:pPr>
              <w:pStyle w:val="12"/>
              <w:keepNext w:val="0"/>
              <w:keepLines w:val="0"/>
              <w:pageBreakBefore w:val="0"/>
              <w:kinsoku/>
              <w:wordWrap/>
              <w:overflowPunct/>
              <w:topLinePunct w:val="0"/>
              <w:bidi w:val="0"/>
              <w:snapToGrid/>
              <w:ind w:left="0" w:leftChars="0" w:right="0" w:rightChars="0"/>
              <w:jc w:val="both"/>
              <w:rPr>
                <w:rStyle w:val="15"/>
                <w:rFonts w:hint="eastAsia" w:ascii="楷体_GB2312" w:hAnsi="楷体_GB2312" w:eastAsia="楷体_GB2312" w:cs="楷体_GB2312"/>
                <w:b w:val="0"/>
                <w:bCs w:val="0"/>
                <w:color w:val="auto"/>
                <w:sz w:val="18"/>
                <w:szCs w:val="18"/>
                <w:highlight w:val="none"/>
                <w:vertAlign w:val="baseline"/>
                <w:lang w:val="en-US" w:eastAsia="zh-CN" w:bidi="ar"/>
              </w:rPr>
            </w:pPr>
            <w:r>
              <w:rPr>
                <w:rStyle w:val="15"/>
                <w:rFonts w:hint="eastAsia" w:ascii="楷体_GB2312" w:hAnsi="楷体_GB2312" w:eastAsia="楷体_GB2312" w:cs="楷体_GB2312"/>
                <w:b w:val="0"/>
                <w:bCs w:val="0"/>
                <w:color w:val="auto"/>
                <w:sz w:val="18"/>
                <w:szCs w:val="18"/>
                <w:highlight w:val="none"/>
                <w:vertAlign w:val="baseline"/>
                <w:lang w:val="en-US" w:eastAsia="zh-CN" w:bidi="ar"/>
              </w:rPr>
              <w:t>（公章）</w:t>
            </w:r>
          </w:p>
        </w:tc>
        <w:tc>
          <w:tcPr>
            <w:tcW w:w="2990" w:type="dxa"/>
            <w:gridSpan w:val="3"/>
            <w:noWrap w:val="0"/>
            <w:vAlign w:val="top"/>
          </w:tcPr>
          <w:p w14:paraId="1A2162F3">
            <w:pPr>
              <w:pStyle w:val="12"/>
              <w:keepNext w:val="0"/>
              <w:keepLines w:val="0"/>
              <w:pageBreakBefore w:val="0"/>
              <w:kinsoku/>
              <w:wordWrap/>
              <w:overflowPunct/>
              <w:topLinePunct w:val="0"/>
              <w:bidi w:val="0"/>
              <w:snapToGrid/>
              <w:ind w:left="0" w:leftChars="0" w:right="0" w:rightChars="0"/>
              <w:jc w:val="both"/>
              <w:rPr>
                <w:rStyle w:val="15"/>
                <w:rFonts w:hint="eastAsia" w:ascii="楷体_GB2312" w:hAnsi="楷体_GB2312" w:eastAsia="楷体_GB2312" w:cs="楷体_GB2312"/>
                <w:b w:val="0"/>
                <w:bCs w:val="0"/>
                <w:color w:val="auto"/>
                <w:sz w:val="18"/>
                <w:szCs w:val="18"/>
                <w:highlight w:val="none"/>
                <w:vertAlign w:val="baseline"/>
                <w:lang w:val="en-US" w:eastAsia="zh-CN" w:bidi="ar"/>
              </w:rPr>
            </w:pPr>
            <w:r>
              <w:rPr>
                <w:rStyle w:val="15"/>
                <w:rFonts w:hint="eastAsia" w:ascii="楷体_GB2312" w:hAnsi="楷体_GB2312" w:eastAsia="楷体_GB2312" w:cs="楷体_GB2312"/>
                <w:b w:val="0"/>
                <w:bCs w:val="0"/>
                <w:color w:val="auto"/>
                <w:sz w:val="18"/>
                <w:szCs w:val="18"/>
                <w:highlight w:val="none"/>
                <w:vertAlign w:val="baseline"/>
                <w:lang w:val="en-US" w:eastAsia="zh-CN" w:bidi="ar"/>
              </w:rPr>
              <w:t>建设单位工程技术科或设备安装与维护管理科签字：</w:t>
            </w:r>
          </w:p>
        </w:tc>
        <w:tc>
          <w:tcPr>
            <w:tcW w:w="3049" w:type="dxa"/>
            <w:gridSpan w:val="3"/>
            <w:noWrap w:val="0"/>
            <w:vAlign w:val="top"/>
          </w:tcPr>
          <w:p w14:paraId="4988A510">
            <w:pPr>
              <w:pStyle w:val="12"/>
              <w:keepNext w:val="0"/>
              <w:keepLines w:val="0"/>
              <w:pageBreakBefore w:val="0"/>
              <w:kinsoku/>
              <w:wordWrap/>
              <w:overflowPunct/>
              <w:topLinePunct w:val="0"/>
              <w:bidi w:val="0"/>
              <w:snapToGrid/>
              <w:ind w:left="0" w:leftChars="0" w:right="0" w:rightChars="0"/>
              <w:jc w:val="both"/>
              <w:rPr>
                <w:rStyle w:val="15"/>
                <w:rFonts w:hint="eastAsia" w:ascii="楷体_GB2312" w:hAnsi="楷体_GB2312" w:eastAsia="楷体_GB2312" w:cs="楷体_GB2312"/>
                <w:b w:val="0"/>
                <w:bCs w:val="0"/>
                <w:color w:val="auto"/>
                <w:sz w:val="18"/>
                <w:szCs w:val="18"/>
                <w:highlight w:val="none"/>
                <w:vertAlign w:val="baseline"/>
                <w:lang w:val="en-US" w:eastAsia="zh-CN" w:bidi="ar"/>
              </w:rPr>
            </w:pPr>
            <w:r>
              <w:rPr>
                <w:rStyle w:val="15"/>
                <w:rFonts w:hint="eastAsia" w:ascii="楷体_GB2312" w:hAnsi="楷体_GB2312" w:eastAsia="楷体_GB2312" w:cs="楷体_GB2312"/>
                <w:b w:val="0"/>
                <w:bCs w:val="0"/>
                <w:color w:val="auto"/>
                <w:sz w:val="18"/>
                <w:szCs w:val="18"/>
                <w:highlight w:val="none"/>
                <w:vertAlign w:val="baseline"/>
                <w:lang w:val="en-US" w:eastAsia="zh-CN" w:bidi="ar"/>
              </w:rPr>
              <w:t>建设单位工程预决算科签字：</w:t>
            </w:r>
          </w:p>
          <w:p w14:paraId="7C527290">
            <w:pPr>
              <w:pStyle w:val="12"/>
              <w:keepNext w:val="0"/>
              <w:keepLines w:val="0"/>
              <w:pageBreakBefore w:val="0"/>
              <w:kinsoku/>
              <w:wordWrap/>
              <w:overflowPunct/>
              <w:topLinePunct w:val="0"/>
              <w:bidi w:val="0"/>
              <w:snapToGrid/>
              <w:ind w:left="0" w:leftChars="0" w:right="0" w:rightChars="0"/>
              <w:jc w:val="both"/>
              <w:rPr>
                <w:rStyle w:val="15"/>
                <w:rFonts w:hint="eastAsia" w:ascii="楷体_GB2312" w:hAnsi="楷体_GB2312" w:eastAsia="楷体_GB2312" w:cs="楷体_GB2312"/>
                <w:b w:val="0"/>
                <w:bCs w:val="0"/>
                <w:color w:val="auto"/>
                <w:sz w:val="18"/>
                <w:szCs w:val="18"/>
                <w:highlight w:val="none"/>
                <w:vertAlign w:val="baseline"/>
                <w:lang w:val="en-US" w:eastAsia="zh-CN" w:bidi="ar"/>
              </w:rPr>
            </w:pPr>
          </w:p>
          <w:p w14:paraId="20BDBEC9">
            <w:pPr>
              <w:pStyle w:val="12"/>
              <w:keepNext w:val="0"/>
              <w:keepLines w:val="0"/>
              <w:pageBreakBefore w:val="0"/>
              <w:kinsoku/>
              <w:wordWrap/>
              <w:overflowPunct/>
              <w:topLinePunct w:val="0"/>
              <w:bidi w:val="0"/>
              <w:snapToGrid/>
              <w:ind w:left="0" w:leftChars="0" w:right="0" w:rightChars="0"/>
              <w:jc w:val="both"/>
              <w:rPr>
                <w:rStyle w:val="15"/>
                <w:rFonts w:hint="eastAsia" w:ascii="楷体_GB2312" w:hAnsi="楷体_GB2312" w:eastAsia="楷体_GB2312" w:cs="楷体_GB2312"/>
                <w:b w:val="0"/>
                <w:bCs w:val="0"/>
                <w:color w:val="auto"/>
                <w:sz w:val="18"/>
                <w:szCs w:val="18"/>
                <w:highlight w:val="none"/>
                <w:vertAlign w:val="baseline"/>
                <w:lang w:val="en-US" w:eastAsia="zh-CN" w:bidi="ar"/>
              </w:rPr>
            </w:pPr>
          </w:p>
          <w:p w14:paraId="440B82C1">
            <w:pPr>
              <w:pStyle w:val="12"/>
              <w:keepNext w:val="0"/>
              <w:keepLines w:val="0"/>
              <w:pageBreakBefore w:val="0"/>
              <w:kinsoku/>
              <w:wordWrap/>
              <w:overflowPunct/>
              <w:topLinePunct w:val="0"/>
              <w:bidi w:val="0"/>
              <w:snapToGrid/>
              <w:ind w:left="0" w:leftChars="0" w:right="0" w:rightChars="0"/>
              <w:jc w:val="both"/>
              <w:rPr>
                <w:rStyle w:val="15"/>
                <w:rFonts w:hint="eastAsia" w:ascii="楷体_GB2312" w:hAnsi="楷体_GB2312" w:eastAsia="楷体_GB2312" w:cs="楷体_GB2312"/>
                <w:b w:val="0"/>
                <w:bCs w:val="0"/>
                <w:color w:val="auto"/>
                <w:sz w:val="18"/>
                <w:szCs w:val="18"/>
                <w:highlight w:val="none"/>
                <w:vertAlign w:val="baseline"/>
                <w:lang w:val="en-US" w:eastAsia="zh-CN" w:bidi="ar"/>
              </w:rPr>
            </w:pPr>
            <w:r>
              <w:rPr>
                <w:rStyle w:val="15"/>
                <w:rFonts w:hint="eastAsia" w:ascii="楷体_GB2312" w:hAnsi="楷体_GB2312" w:eastAsia="楷体_GB2312" w:cs="楷体_GB2312"/>
                <w:b w:val="0"/>
                <w:bCs w:val="0"/>
                <w:color w:val="auto"/>
                <w:sz w:val="18"/>
                <w:szCs w:val="18"/>
                <w:highlight w:val="none"/>
                <w:vertAlign w:val="baseline"/>
                <w:lang w:val="en-US" w:eastAsia="zh-CN" w:bidi="ar"/>
              </w:rPr>
              <w:t>分管领导签字：         （公章）</w:t>
            </w:r>
          </w:p>
        </w:tc>
      </w:tr>
    </w:tbl>
    <w:p w14:paraId="3271BEA1">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楷体_GB2312" w:hAnsi="楷体_GB2312" w:eastAsia="楷体_GB2312" w:cs="楷体_GB2312"/>
          <w:b w:val="0"/>
          <w:bCs w:val="0"/>
          <w:color w:val="auto"/>
          <w:spacing w:val="0"/>
          <w:sz w:val="18"/>
          <w:szCs w:val="18"/>
          <w:highlight w:val="none"/>
          <w:lang w:val="en-US" w:eastAsia="zh-CN"/>
        </w:rPr>
      </w:pPr>
      <w:r>
        <w:rPr>
          <w:rFonts w:hint="eastAsia" w:ascii="楷体_GB2312" w:hAnsi="楷体_GB2312" w:eastAsia="楷体_GB2312" w:cs="楷体_GB2312"/>
          <w:b w:val="0"/>
          <w:bCs w:val="0"/>
          <w:color w:val="auto"/>
          <w:spacing w:val="0"/>
          <w:sz w:val="18"/>
          <w:szCs w:val="18"/>
          <w:highlight w:val="none"/>
          <w:lang w:val="en-US" w:eastAsia="zh-CN"/>
        </w:rPr>
        <w:t xml:space="preserve">注：1.本表一式三份，由施工单位填写申请批价材料说明和承包方申报情况，将推荐材料供应商的报价单、资审文件等作为附件；编制完成后提交监理单位、建设单位工程技术科 </w:t>
      </w:r>
    </w:p>
    <w:p w14:paraId="0E354AD4">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楷体_GB2312" w:hAnsi="楷体_GB2312" w:eastAsia="楷体_GB2312" w:cs="楷体_GB2312"/>
          <w:b w:val="0"/>
          <w:bCs w:val="0"/>
          <w:color w:val="auto"/>
          <w:spacing w:val="0"/>
          <w:sz w:val="18"/>
          <w:szCs w:val="18"/>
          <w:highlight w:val="none"/>
          <w:lang w:val="en-US" w:eastAsia="zh-CN"/>
        </w:rPr>
      </w:pPr>
      <w:r>
        <w:rPr>
          <w:rFonts w:hint="eastAsia" w:ascii="楷体_GB2312" w:hAnsi="楷体_GB2312" w:eastAsia="楷体_GB2312" w:cs="楷体_GB2312"/>
          <w:b w:val="0"/>
          <w:bCs w:val="0"/>
          <w:color w:val="auto"/>
          <w:spacing w:val="0"/>
          <w:sz w:val="18"/>
          <w:szCs w:val="18"/>
          <w:highlight w:val="none"/>
          <w:lang w:val="en-US" w:eastAsia="zh-CN"/>
        </w:rPr>
        <w:t xml:space="preserve">      或设备安装与维护管理科对规格型号、技术标准、参数等进行复核确认;</w:t>
      </w:r>
    </w:p>
    <w:p w14:paraId="766918DE">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楷体_GB2312" w:hAnsi="楷体_GB2312" w:eastAsia="楷体_GB2312" w:cs="楷体_GB2312"/>
          <w:b w:val="0"/>
          <w:bCs w:val="0"/>
          <w:color w:val="auto"/>
          <w:spacing w:val="0"/>
          <w:sz w:val="18"/>
          <w:szCs w:val="18"/>
          <w:highlight w:val="none"/>
          <w:lang w:val="en-US" w:eastAsia="zh-CN"/>
        </w:rPr>
      </w:pPr>
      <w:r>
        <w:rPr>
          <w:rFonts w:hint="eastAsia" w:ascii="楷体_GB2312" w:hAnsi="楷体_GB2312" w:eastAsia="楷体_GB2312" w:cs="楷体_GB2312"/>
          <w:b w:val="0"/>
          <w:bCs w:val="0"/>
          <w:color w:val="auto"/>
          <w:spacing w:val="0"/>
          <w:sz w:val="18"/>
          <w:szCs w:val="18"/>
          <w:highlight w:val="none"/>
          <w:lang w:val="en-US" w:eastAsia="zh-CN"/>
        </w:rPr>
        <w:t xml:space="preserve">    2.本表中审定情况由代建中心工程预决算科在材料设备确定后，形成初步价格后填写，认质认价完成后返施工单位二份；</w:t>
      </w:r>
    </w:p>
    <w:p w14:paraId="6A623FCB">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360" w:firstLineChars="0"/>
        <w:jc w:val="both"/>
        <w:textAlignment w:val="auto"/>
        <w:outlineLvl w:val="9"/>
        <w:rPr>
          <w:rFonts w:hint="eastAsia" w:ascii="楷体_GB2312" w:hAnsi="楷体_GB2312" w:eastAsia="楷体_GB2312" w:cs="楷体_GB2312"/>
          <w:b w:val="0"/>
          <w:bCs w:val="0"/>
          <w:color w:val="auto"/>
          <w:spacing w:val="0"/>
          <w:sz w:val="18"/>
          <w:szCs w:val="18"/>
          <w:highlight w:val="none"/>
          <w:lang w:val="en-US" w:eastAsia="zh-CN"/>
        </w:rPr>
      </w:pPr>
      <w:r>
        <w:rPr>
          <w:rFonts w:hint="eastAsia" w:ascii="楷体_GB2312" w:hAnsi="楷体_GB2312" w:eastAsia="楷体_GB2312" w:cs="楷体_GB2312"/>
          <w:b w:val="0"/>
          <w:bCs w:val="0"/>
          <w:color w:val="auto"/>
          <w:spacing w:val="0"/>
          <w:sz w:val="18"/>
          <w:szCs w:val="18"/>
          <w:highlight w:val="none"/>
          <w:lang w:val="en-US" w:eastAsia="zh-CN"/>
        </w:rPr>
        <w:t>3.本表中材料数量仅供参考，不作为结算依据;</w:t>
      </w:r>
    </w:p>
    <w:p w14:paraId="019894D4">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360" w:firstLineChars="0"/>
        <w:jc w:val="both"/>
        <w:textAlignment w:val="auto"/>
        <w:outlineLvl w:val="9"/>
        <w:rPr>
          <w:rStyle w:val="15"/>
          <w:b/>
          <w:bCs/>
          <w:color w:val="auto"/>
          <w:highlight w:val="none"/>
          <w:lang w:val="en-US" w:eastAsia="zh-CN" w:bidi="ar"/>
        </w:rPr>
      </w:pPr>
      <w:r>
        <w:rPr>
          <w:rFonts w:hint="eastAsia" w:ascii="楷体_GB2312" w:hAnsi="楷体_GB2312" w:eastAsia="楷体_GB2312" w:cs="楷体_GB2312"/>
          <w:b w:val="0"/>
          <w:bCs w:val="0"/>
          <w:color w:val="auto"/>
          <w:spacing w:val="0"/>
          <w:sz w:val="18"/>
          <w:szCs w:val="18"/>
          <w:highlight w:val="none"/>
          <w:lang w:val="en-US" w:eastAsia="zh-CN"/>
        </w:rPr>
        <w:t>4.本表中审定价格作为结算依据。</w:t>
      </w:r>
    </w:p>
    <w:p w14:paraId="43DFF5FB">
      <w:pPr>
        <w:pStyle w:val="12"/>
        <w:jc w:val="center"/>
        <w:rPr>
          <w:rStyle w:val="15"/>
          <w:b/>
          <w:bCs/>
          <w:color w:val="auto"/>
          <w:highlight w:val="none"/>
          <w:lang w:val="en-US" w:eastAsia="zh-CN" w:bidi="ar"/>
        </w:rPr>
        <w:sectPr>
          <w:pgSz w:w="16838" w:h="11906" w:orient="landscape"/>
          <w:pgMar w:top="1417" w:right="1440" w:bottom="1417" w:left="1440" w:header="851" w:footer="992" w:gutter="0"/>
          <w:pgBorders>
            <w:top w:val="none" w:sz="0" w:space="0"/>
            <w:left w:val="none" w:sz="0" w:space="0"/>
            <w:bottom w:val="none" w:sz="0" w:space="0"/>
            <w:right w:val="none" w:sz="0" w:space="0"/>
          </w:pgBorders>
          <w:pgNumType w:fmt="numberInDash"/>
          <w:cols w:space="720" w:num="1"/>
          <w:rtlGutter w:val="0"/>
          <w:docGrid w:type="lines" w:linePitch="312" w:charSpace="0"/>
        </w:sectPr>
      </w:pPr>
    </w:p>
    <w:p w14:paraId="60FF7E8B">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黑体" w:hAnsi="黑体" w:eastAsia="黑体" w:cs="黑体"/>
          <w:b w:val="0"/>
          <w:bCs w:val="0"/>
          <w:color w:val="auto"/>
          <w:spacing w:val="0"/>
          <w:sz w:val="28"/>
          <w:szCs w:val="28"/>
          <w:highlight w:val="none"/>
          <w:lang w:eastAsia="zh-CN"/>
        </w:rPr>
      </w:pPr>
      <w:r>
        <w:rPr>
          <w:rFonts w:hint="eastAsia" w:ascii="黑体" w:hAnsi="黑体" w:eastAsia="黑体" w:cs="黑体"/>
          <w:b w:val="0"/>
          <w:bCs w:val="0"/>
          <w:color w:val="auto"/>
          <w:spacing w:val="0"/>
          <w:sz w:val="28"/>
          <w:szCs w:val="28"/>
          <w:highlight w:val="none"/>
          <w:lang w:eastAsia="zh-CN"/>
        </w:rPr>
        <w:t>附件</w:t>
      </w:r>
      <w:r>
        <w:rPr>
          <w:rFonts w:hint="eastAsia" w:ascii="黑体" w:hAnsi="黑体" w:eastAsia="黑体" w:cs="黑体"/>
          <w:b w:val="0"/>
          <w:bCs w:val="0"/>
          <w:color w:val="auto"/>
          <w:spacing w:val="0"/>
          <w:sz w:val="28"/>
          <w:szCs w:val="28"/>
          <w:highlight w:val="none"/>
          <w:lang w:val="en-US" w:eastAsia="zh-CN"/>
        </w:rPr>
        <w:t>7</w:t>
      </w:r>
    </w:p>
    <w:p w14:paraId="59D44959">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 w:val="0"/>
          <w:bCs w:val="0"/>
          <w:color w:val="auto"/>
          <w:spacing w:val="0"/>
          <w:sz w:val="36"/>
          <w:szCs w:val="36"/>
          <w:highlight w:val="none"/>
          <w:lang w:eastAsia="zh-CN"/>
        </w:rPr>
      </w:pPr>
      <w:r>
        <w:rPr>
          <w:rFonts w:hint="eastAsia" w:ascii="方正小标宋简体" w:hAnsi="方正小标宋简体" w:eastAsia="方正小标宋简体" w:cs="方正小标宋简体"/>
          <w:b w:val="0"/>
          <w:bCs w:val="0"/>
          <w:color w:val="auto"/>
          <w:spacing w:val="0"/>
          <w:sz w:val="36"/>
          <w:szCs w:val="36"/>
          <w:highlight w:val="none"/>
          <w:lang w:eastAsia="zh-CN"/>
        </w:rPr>
        <w:t>工程变更估算审核意见单</w:t>
      </w:r>
    </w:p>
    <w:p w14:paraId="5B1D0A18">
      <w:pPr>
        <w:pStyle w:val="12"/>
        <w:jc w:val="right"/>
        <w:rPr>
          <w:rStyle w:val="15"/>
          <w:rFonts w:hint="eastAsia" w:ascii="楷体_GB2312" w:hAnsi="楷体_GB2312" w:eastAsia="楷体_GB2312" w:cs="楷体_GB2312"/>
          <w:b w:val="0"/>
          <w:bCs w:val="0"/>
          <w:color w:val="auto"/>
          <w:highlight w:val="none"/>
          <w:lang w:val="en-US" w:eastAsia="zh-CN" w:bidi="ar"/>
        </w:rPr>
      </w:pPr>
      <w:r>
        <w:rPr>
          <w:rFonts w:hint="eastAsia" w:ascii="楷体_GB2312" w:hAnsi="楷体_GB2312" w:eastAsia="楷体_GB2312" w:cs="楷体_GB2312"/>
          <w:b w:val="0"/>
          <w:bCs w:val="0"/>
          <w:color w:val="auto"/>
          <w:spacing w:val="0"/>
          <w:highlight w:val="none"/>
        </w:rPr>
        <w:t>第     页（共   页）</w:t>
      </w:r>
    </w:p>
    <w:tbl>
      <w:tblPr>
        <w:tblStyle w:val="8"/>
        <w:tblW w:w="0" w:type="auto"/>
        <w:jc w:val="center"/>
        <w:tblLayout w:type="fixed"/>
        <w:tblCellMar>
          <w:top w:w="0" w:type="dxa"/>
          <w:left w:w="0" w:type="dxa"/>
          <w:bottom w:w="0" w:type="dxa"/>
          <w:right w:w="0" w:type="dxa"/>
        </w:tblCellMar>
      </w:tblPr>
      <w:tblGrid>
        <w:gridCol w:w="1176"/>
        <w:gridCol w:w="2148"/>
        <w:gridCol w:w="1841"/>
        <w:gridCol w:w="1968"/>
        <w:gridCol w:w="2300"/>
      </w:tblGrid>
      <w:tr w14:paraId="3CEAE3E6">
        <w:tblPrEx>
          <w:tblCellMar>
            <w:top w:w="0" w:type="dxa"/>
            <w:left w:w="0" w:type="dxa"/>
            <w:bottom w:w="0" w:type="dxa"/>
            <w:right w:w="0" w:type="dxa"/>
          </w:tblCellMar>
        </w:tblPrEx>
        <w:trPr>
          <w:trHeight w:val="481" w:hRule="atLeast"/>
          <w:jc w:val="center"/>
        </w:trPr>
        <w:tc>
          <w:tcPr>
            <w:tcW w:w="117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3195D0E">
            <w:pPr>
              <w:widowControl/>
              <w:jc w:val="center"/>
              <w:textAlignment w:val="center"/>
              <w:rPr>
                <w:rFonts w:hint="eastAsia" w:ascii="黑体" w:hAnsi="黑体" w:eastAsia="黑体" w:cs="黑体"/>
                <w:b w:val="0"/>
                <w:bCs w:val="0"/>
                <w:color w:val="auto"/>
                <w:sz w:val="24"/>
                <w:szCs w:val="24"/>
                <w:highlight w:val="none"/>
              </w:rPr>
            </w:pPr>
            <w:r>
              <w:rPr>
                <w:rFonts w:hint="eastAsia" w:ascii="黑体" w:hAnsi="黑体" w:eastAsia="黑体" w:cs="黑体"/>
                <w:b w:val="0"/>
                <w:bCs w:val="0"/>
                <w:color w:val="auto"/>
                <w:kern w:val="0"/>
                <w:sz w:val="24"/>
                <w:szCs w:val="24"/>
                <w:highlight w:val="none"/>
                <w:lang w:bidi="ar"/>
              </w:rPr>
              <w:t>工程名称</w:t>
            </w:r>
          </w:p>
        </w:tc>
        <w:tc>
          <w:tcPr>
            <w:tcW w:w="8257"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F4484DB">
            <w:pPr>
              <w:widowControl/>
              <w:jc w:val="center"/>
              <w:textAlignment w:val="center"/>
              <w:rPr>
                <w:rFonts w:hint="default" w:ascii="宋体" w:hAnsi="宋体" w:eastAsia="宋体" w:cs="宋体"/>
                <w:color w:val="auto"/>
                <w:sz w:val="24"/>
                <w:szCs w:val="24"/>
                <w:highlight w:val="none"/>
                <w:lang w:val="en-US" w:eastAsia="zh-CN"/>
              </w:rPr>
            </w:pPr>
          </w:p>
        </w:tc>
      </w:tr>
      <w:tr w14:paraId="19EAA37A">
        <w:tblPrEx>
          <w:tblCellMar>
            <w:top w:w="0" w:type="dxa"/>
            <w:left w:w="0" w:type="dxa"/>
            <w:bottom w:w="0" w:type="dxa"/>
            <w:right w:w="0" w:type="dxa"/>
          </w:tblCellMar>
        </w:tblPrEx>
        <w:trPr>
          <w:trHeight w:val="393" w:hRule="atLeast"/>
          <w:jc w:val="center"/>
        </w:trPr>
        <w:tc>
          <w:tcPr>
            <w:tcW w:w="117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A45BF63">
            <w:pPr>
              <w:widowControl/>
              <w:jc w:val="center"/>
              <w:textAlignment w:val="center"/>
              <w:rPr>
                <w:rFonts w:hint="eastAsia" w:ascii="黑体" w:hAnsi="黑体" w:eastAsia="黑体" w:cs="黑体"/>
                <w:b w:val="0"/>
                <w:bCs w:val="0"/>
                <w:color w:val="auto"/>
                <w:sz w:val="24"/>
                <w:szCs w:val="24"/>
                <w:highlight w:val="none"/>
              </w:rPr>
            </w:pPr>
            <w:r>
              <w:rPr>
                <w:rFonts w:hint="eastAsia" w:ascii="黑体" w:hAnsi="黑体" w:eastAsia="黑体" w:cs="黑体"/>
                <w:b w:val="0"/>
                <w:bCs w:val="0"/>
                <w:color w:val="auto"/>
                <w:kern w:val="0"/>
                <w:sz w:val="24"/>
                <w:szCs w:val="24"/>
                <w:highlight w:val="none"/>
                <w:lang w:eastAsia="zh-CN" w:bidi="ar"/>
              </w:rPr>
              <w:t>变更</w:t>
            </w:r>
            <w:r>
              <w:rPr>
                <w:rFonts w:hint="eastAsia" w:ascii="黑体" w:hAnsi="黑体" w:eastAsia="黑体" w:cs="黑体"/>
                <w:b w:val="0"/>
                <w:bCs w:val="0"/>
                <w:color w:val="auto"/>
                <w:kern w:val="0"/>
                <w:sz w:val="24"/>
                <w:szCs w:val="24"/>
                <w:highlight w:val="none"/>
                <w:lang w:bidi="ar"/>
              </w:rPr>
              <w:t>编号</w:t>
            </w:r>
          </w:p>
        </w:tc>
        <w:tc>
          <w:tcPr>
            <w:tcW w:w="8257"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0B5E1EF">
            <w:pPr>
              <w:widowControl/>
              <w:jc w:val="center"/>
              <w:textAlignment w:val="center"/>
              <w:rPr>
                <w:rFonts w:hint="default" w:ascii="宋体" w:hAnsi="宋体" w:eastAsia="宋体" w:cs="宋体"/>
                <w:color w:val="auto"/>
                <w:sz w:val="24"/>
                <w:szCs w:val="24"/>
                <w:highlight w:val="none"/>
                <w:lang w:val="en-US" w:eastAsia="zh-CN"/>
              </w:rPr>
            </w:pPr>
          </w:p>
        </w:tc>
      </w:tr>
      <w:tr w14:paraId="657FF41B">
        <w:tblPrEx>
          <w:tblCellMar>
            <w:top w:w="0" w:type="dxa"/>
            <w:left w:w="0" w:type="dxa"/>
            <w:bottom w:w="0" w:type="dxa"/>
            <w:right w:w="0" w:type="dxa"/>
          </w:tblCellMar>
        </w:tblPrEx>
        <w:trPr>
          <w:trHeight w:val="4941" w:hRule="atLeast"/>
          <w:jc w:val="center"/>
        </w:trPr>
        <w:tc>
          <w:tcPr>
            <w:tcW w:w="117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C13D996">
            <w:pPr>
              <w:jc w:val="center"/>
              <w:rPr>
                <w:rFonts w:hint="eastAsia" w:ascii="黑体" w:hAnsi="黑体" w:eastAsia="黑体" w:cs="黑体"/>
                <w:b w:val="0"/>
                <w:bCs w:val="0"/>
                <w:color w:val="auto"/>
                <w:sz w:val="24"/>
                <w:szCs w:val="24"/>
                <w:highlight w:val="none"/>
                <w:lang w:eastAsia="zh-CN"/>
              </w:rPr>
            </w:pPr>
            <w:r>
              <w:rPr>
                <w:rFonts w:hint="eastAsia" w:ascii="黑体" w:hAnsi="黑体" w:eastAsia="黑体" w:cs="黑体"/>
                <w:b w:val="0"/>
                <w:bCs w:val="0"/>
                <w:color w:val="auto"/>
                <w:sz w:val="24"/>
                <w:szCs w:val="24"/>
                <w:highlight w:val="none"/>
                <w:lang w:eastAsia="zh-CN"/>
              </w:rPr>
              <w:t>造价咨询</w:t>
            </w:r>
          </w:p>
          <w:p w14:paraId="78CE29A8">
            <w:pPr>
              <w:jc w:val="center"/>
              <w:rPr>
                <w:rFonts w:hint="eastAsia" w:ascii="黑体" w:hAnsi="黑体" w:eastAsia="黑体" w:cs="黑体"/>
                <w:b w:val="0"/>
                <w:bCs w:val="0"/>
                <w:color w:val="auto"/>
                <w:sz w:val="24"/>
                <w:szCs w:val="24"/>
                <w:highlight w:val="none"/>
              </w:rPr>
            </w:pPr>
            <w:r>
              <w:rPr>
                <w:rFonts w:hint="eastAsia" w:ascii="黑体" w:hAnsi="黑体" w:eastAsia="黑体" w:cs="黑体"/>
                <w:b w:val="0"/>
                <w:bCs w:val="0"/>
                <w:color w:val="auto"/>
                <w:sz w:val="24"/>
                <w:szCs w:val="24"/>
                <w:highlight w:val="none"/>
                <w:lang w:eastAsia="zh-CN"/>
              </w:rPr>
              <w:t>单位估算</w:t>
            </w:r>
            <w:r>
              <w:rPr>
                <w:rFonts w:hint="eastAsia" w:ascii="黑体" w:hAnsi="黑体" w:eastAsia="黑体" w:cs="黑体"/>
                <w:b w:val="0"/>
                <w:bCs w:val="0"/>
                <w:color w:val="auto"/>
                <w:sz w:val="24"/>
                <w:szCs w:val="24"/>
                <w:highlight w:val="none"/>
              </w:rPr>
              <w:t>意见</w:t>
            </w:r>
          </w:p>
          <w:p w14:paraId="3D5E2259">
            <w:pPr>
              <w:widowControl/>
              <w:jc w:val="center"/>
              <w:textAlignment w:val="top"/>
              <w:rPr>
                <w:rFonts w:hint="eastAsia" w:ascii="黑体" w:hAnsi="黑体" w:eastAsia="黑体" w:cs="黑体"/>
                <w:b w:val="0"/>
                <w:bCs w:val="0"/>
                <w:color w:val="auto"/>
                <w:sz w:val="24"/>
                <w:szCs w:val="24"/>
                <w:highlight w:val="none"/>
                <w:lang w:eastAsia="zh-CN"/>
              </w:rPr>
            </w:pPr>
          </w:p>
        </w:tc>
        <w:tc>
          <w:tcPr>
            <w:tcW w:w="8257"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331347B">
            <w:pPr>
              <w:pStyle w:val="2"/>
              <w:keepNext w:val="0"/>
              <w:keepLines w:val="0"/>
              <w:widowControl/>
              <w:suppressLineNumbers w:val="0"/>
              <w:spacing w:before="0" w:beforeAutospacing="0" w:after="0" w:afterAutospacing="0"/>
              <w:ind w:left="1050" w:leftChars="200" w:right="0" w:hanging="630" w:hangingChars="300"/>
              <w:rPr>
                <w:rFonts w:hint="eastAsia" w:ascii="宋体" w:hAnsi="宋体" w:cs="宋体"/>
                <w:color w:val="auto"/>
                <w:sz w:val="21"/>
                <w:szCs w:val="21"/>
                <w:highlight w:val="none"/>
                <w:lang w:val="en-US" w:eastAsia="zh-CN"/>
              </w:rPr>
            </w:pPr>
          </w:p>
          <w:p w14:paraId="1CD7D8E0">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一、根据</w:t>
            </w:r>
            <w:r>
              <w:rPr>
                <w:rFonts w:hint="eastAsia" w:ascii="仿宋_GB2312" w:hAnsi="仿宋_GB2312" w:eastAsia="仿宋_GB2312" w:cs="仿宋_GB2312"/>
                <w:color w:val="auto"/>
                <w:sz w:val="24"/>
                <w:szCs w:val="24"/>
                <w:highlight w:val="none"/>
                <w:u w:val="none"/>
                <w:lang w:val="en-US" w:eastAsia="zh-CN"/>
              </w:rPr>
              <w:t>（</w:t>
            </w:r>
            <w:r>
              <w:rPr>
                <w:rFonts w:hint="eastAsia" w:ascii="仿宋_GB2312" w:hAnsi="仿宋_GB2312" w:eastAsia="仿宋_GB2312" w:cs="仿宋_GB2312"/>
                <w:color w:val="auto"/>
                <w:sz w:val="24"/>
                <w:szCs w:val="24"/>
                <w:highlight w:val="none"/>
                <w:lang w:val="en-US" w:eastAsia="zh-CN"/>
              </w:rPr>
              <w:t>施工合同条款</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none"/>
                <w:lang w:val="en-US" w:eastAsia="zh-CN"/>
              </w:rPr>
              <w:t xml:space="preserve"> 条的约定/***规范规定），该工程变更中第</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none"/>
                <w:lang w:val="en-US" w:eastAsia="zh-CN"/>
              </w:rPr>
              <w:t>条不涉及</w:t>
            </w:r>
            <w:r>
              <w:rPr>
                <w:rFonts w:hint="eastAsia" w:ascii="仿宋_GB2312" w:hAnsi="仿宋_GB2312" w:eastAsia="仿宋_GB2312" w:cs="仿宋_GB2312"/>
                <w:color w:val="auto"/>
                <w:sz w:val="24"/>
                <w:szCs w:val="24"/>
                <w:highlight w:val="none"/>
                <w:lang w:val="en-US" w:eastAsia="zh-CN"/>
              </w:rPr>
              <w:t>造价调整。</w:t>
            </w:r>
          </w:p>
          <w:p w14:paraId="7F546967">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二、根据</w:t>
            </w:r>
            <w:r>
              <w:rPr>
                <w:rFonts w:hint="eastAsia" w:ascii="仿宋_GB2312" w:hAnsi="仿宋_GB2312" w:eastAsia="仿宋_GB2312" w:cs="仿宋_GB2312"/>
                <w:color w:val="auto"/>
                <w:sz w:val="24"/>
                <w:szCs w:val="24"/>
                <w:highlight w:val="none"/>
                <w:u w:val="none"/>
                <w:lang w:val="en-US" w:eastAsia="zh-CN"/>
              </w:rPr>
              <w:t>（</w:t>
            </w:r>
            <w:r>
              <w:rPr>
                <w:rFonts w:hint="eastAsia" w:ascii="仿宋_GB2312" w:hAnsi="仿宋_GB2312" w:eastAsia="仿宋_GB2312" w:cs="仿宋_GB2312"/>
                <w:color w:val="auto"/>
                <w:sz w:val="24"/>
                <w:szCs w:val="24"/>
                <w:highlight w:val="none"/>
                <w:lang w:val="en-US" w:eastAsia="zh-CN"/>
              </w:rPr>
              <w:t>施工合同条款</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none"/>
                <w:lang w:val="en-US" w:eastAsia="zh-CN"/>
              </w:rPr>
              <w:t xml:space="preserve"> 条的约定/***规范规定），该工程变更涉及</w:t>
            </w:r>
            <w:r>
              <w:rPr>
                <w:rFonts w:hint="eastAsia" w:ascii="仿宋_GB2312" w:hAnsi="仿宋_GB2312" w:eastAsia="仿宋_GB2312" w:cs="仿宋_GB2312"/>
                <w:color w:val="auto"/>
                <w:sz w:val="24"/>
                <w:szCs w:val="24"/>
                <w:highlight w:val="none"/>
                <w:lang w:val="en-US" w:eastAsia="zh-CN"/>
              </w:rPr>
              <w:t>造价调整。</w:t>
            </w:r>
          </w:p>
          <w:p w14:paraId="1BBCA6E1">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u w:val="none"/>
                <w:lang w:val="en-US" w:eastAsia="zh-CN"/>
              </w:rPr>
              <w:t>本工程变更的施工做法及工程量</w:t>
            </w:r>
            <w:r>
              <w:rPr>
                <w:rFonts w:hint="eastAsia" w:ascii="仿宋_GB2312" w:hAnsi="仿宋_GB2312" w:eastAsia="仿宋_GB2312" w:cs="仿宋_GB2312"/>
                <w:color w:val="auto"/>
                <w:sz w:val="24"/>
                <w:szCs w:val="24"/>
                <w:highlight w:val="none"/>
                <w:lang w:val="en-US" w:eastAsia="zh-CN"/>
              </w:rPr>
              <w:t>明确，按照施工合同条款</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none"/>
                <w:lang w:val="en-US" w:eastAsia="zh-CN"/>
              </w:rPr>
              <w:t xml:space="preserve"> 条的约定（估价原则）</w:t>
            </w:r>
            <w:r>
              <w:rPr>
                <w:rFonts w:hint="eastAsia" w:ascii="仿宋_GB2312" w:hAnsi="仿宋_GB2312" w:eastAsia="仿宋_GB2312" w:cs="仿宋_GB2312"/>
                <w:color w:val="auto"/>
                <w:sz w:val="24"/>
                <w:szCs w:val="24"/>
                <w:highlight w:val="none"/>
                <w:lang w:val="en-US" w:eastAsia="zh-CN"/>
              </w:rPr>
              <w:t>，对变更发生的造价估算为</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lang w:val="en-US" w:eastAsia="zh-CN"/>
              </w:rPr>
              <w:t>元，具体意见如下：。</w:t>
            </w:r>
          </w:p>
          <w:p w14:paraId="5BEEF56E">
            <w:pPr>
              <w:widowControl/>
              <w:numPr>
                <w:ilvl w:val="0"/>
                <w:numId w:val="0"/>
              </w:numPr>
              <w:ind w:firstLine="480" w:firstLineChars="200"/>
              <w:jc w:val="left"/>
              <w:textAlignment w:val="top"/>
              <w:rPr>
                <w:rFonts w:hint="eastAsia" w:ascii="仿宋_GB2312" w:hAnsi="仿宋_GB2312" w:eastAsia="仿宋_GB2312" w:cs="仿宋_GB2312"/>
                <w:color w:val="auto"/>
                <w:kern w:val="0"/>
                <w:sz w:val="24"/>
                <w:szCs w:val="24"/>
                <w:highlight w:val="none"/>
                <w:lang w:val="en-US" w:eastAsia="zh-CN"/>
              </w:rPr>
            </w:pPr>
            <w:r>
              <w:rPr>
                <w:rFonts w:hint="eastAsia" w:ascii="仿宋_GB2312" w:hAnsi="仿宋_GB2312" w:eastAsia="仿宋_GB2312" w:cs="仿宋_GB2312"/>
                <w:color w:val="auto"/>
                <w:kern w:val="0"/>
                <w:sz w:val="24"/>
                <w:szCs w:val="24"/>
                <w:highlight w:val="none"/>
                <w:lang w:val="en-US" w:eastAsia="zh-CN"/>
              </w:rPr>
              <w:t>1.</w:t>
            </w:r>
          </w:p>
          <w:p w14:paraId="701CAAC2">
            <w:pPr>
              <w:pStyle w:val="7"/>
              <w:ind w:left="0" w:leftChars="0" w:firstLine="480" w:firstLineChars="200"/>
              <w:rPr>
                <w:rFonts w:hint="eastAsia" w:ascii="仿宋_GB2312" w:hAnsi="仿宋_GB2312" w:eastAsia="仿宋_GB2312" w:cs="仿宋_GB2312"/>
                <w:color w:val="auto"/>
                <w:kern w:val="0"/>
                <w:sz w:val="24"/>
                <w:szCs w:val="24"/>
                <w:highlight w:val="none"/>
                <w:lang w:val="en-US" w:eastAsia="zh-CN"/>
              </w:rPr>
            </w:pPr>
            <w:r>
              <w:rPr>
                <w:rFonts w:hint="eastAsia" w:ascii="仿宋_GB2312" w:hAnsi="仿宋_GB2312" w:eastAsia="仿宋_GB2312" w:cs="仿宋_GB2312"/>
                <w:color w:val="auto"/>
                <w:kern w:val="0"/>
                <w:sz w:val="24"/>
                <w:szCs w:val="24"/>
                <w:highlight w:val="none"/>
                <w:lang w:val="en-US" w:eastAsia="zh-CN"/>
              </w:rPr>
              <w:t>2.</w:t>
            </w:r>
          </w:p>
          <w:p w14:paraId="0A1630AF">
            <w:pPr>
              <w:pStyle w:val="7"/>
              <w:rPr>
                <w:rFonts w:hint="eastAsia" w:ascii="仿宋_GB2312" w:hAnsi="仿宋_GB2312" w:eastAsia="仿宋_GB2312" w:cs="仿宋_GB2312"/>
                <w:color w:val="auto"/>
                <w:kern w:val="0"/>
                <w:sz w:val="24"/>
                <w:szCs w:val="24"/>
                <w:highlight w:val="none"/>
                <w:lang w:val="en-US" w:eastAsia="zh-CN"/>
              </w:rPr>
            </w:pPr>
            <w:r>
              <w:rPr>
                <w:rFonts w:hint="eastAsia" w:ascii="仿宋_GB2312" w:hAnsi="仿宋_GB2312" w:eastAsia="仿宋_GB2312" w:cs="仿宋_GB2312"/>
                <w:color w:val="auto"/>
                <w:kern w:val="0"/>
                <w:sz w:val="24"/>
                <w:szCs w:val="24"/>
                <w:highlight w:val="none"/>
                <w:lang w:val="en-US" w:eastAsia="zh-CN"/>
              </w:rPr>
              <w:t>……</w:t>
            </w:r>
          </w:p>
          <w:p w14:paraId="42A19706">
            <w:pPr>
              <w:widowControl/>
              <w:numPr>
                <w:ilvl w:val="0"/>
                <w:numId w:val="0"/>
              </w:numPr>
              <w:ind w:firstLine="240" w:firstLineChars="100"/>
              <w:jc w:val="left"/>
              <w:textAlignment w:val="top"/>
              <w:rPr>
                <w:rFonts w:hint="eastAsia" w:ascii="仿宋_GB2312" w:hAnsi="仿宋_GB2312" w:eastAsia="仿宋_GB2312" w:cs="仿宋_GB2312"/>
                <w:color w:val="auto"/>
                <w:kern w:val="0"/>
                <w:sz w:val="24"/>
                <w:szCs w:val="24"/>
                <w:highlight w:val="none"/>
                <w:lang w:val="en-US" w:eastAsia="zh-CN"/>
              </w:rPr>
            </w:pPr>
          </w:p>
          <w:p w14:paraId="268890DA">
            <w:pPr>
              <w:widowControl/>
              <w:numPr>
                <w:ilvl w:val="0"/>
                <w:numId w:val="0"/>
              </w:numPr>
              <w:ind w:firstLine="240" w:firstLineChars="100"/>
              <w:jc w:val="left"/>
              <w:textAlignment w:val="top"/>
              <w:rPr>
                <w:rFonts w:hint="eastAsia" w:ascii="仿宋_GB2312" w:hAnsi="仿宋_GB2312" w:eastAsia="仿宋_GB2312" w:cs="仿宋_GB2312"/>
                <w:color w:val="auto"/>
                <w:kern w:val="0"/>
                <w:sz w:val="24"/>
                <w:szCs w:val="24"/>
                <w:highlight w:val="none"/>
                <w:lang w:val="en-US" w:eastAsia="zh-CN"/>
              </w:rPr>
            </w:pPr>
            <w:r>
              <w:rPr>
                <w:rFonts w:hint="eastAsia" w:ascii="仿宋_GB2312" w:hAnsi="仿宋_GB2312" w:eastAsia="仿宋_GB2312" w:cs="仿宋_GB2312"/>
                <w:color w:val="auto"/>
                <w:kern w:val="0"/>
                <w:sz w:val="24"/>
                <w:szCs w:val="24"/>
                <w:highlight w:val="none"/>
                <w:lang w:val="en-US" w:eastAsia="zh-CN"/>
              </w:rPr>
              <w:t>附件：估算明细表</w:t>
            </w:r>
          </w:p>
          <w:p w14:paraId="40FE8D99">
            <w:pPr>
              <w:pStyle w:val="7"/>
              <w:rPr>
                <w:rFonts w:hint="eastAsia" w:ascii="仿宋_GB2312" w:hAnsi="仿宋_GB2312" w:eastAsia="仿宋_GB2312" w:cs="仿宋_GB2312"/>
                <w:color w:val="auto"/>
                <w:kern w:val="0"/>
                <w:sz w:val="24"/>
                <w:szCs w:val="24"/>
                <w:highlight w:val="none"/>
                <w:lang w:val="en-US" w:eastAsia="zh-CN"/>
              </w:rPr>
            </w:pPr>
          </w:p>
          <w:p w14:paraId="7A7F130C">
            <w:pPr>
              <w:widowControl/>
              <w:numPr>
                <w:ilvl w:val="0"/>
                <w:numId w:val="0"/>
              </w:numPr>
              <w:ind w:firstLine="240" w:firstLineChars="100"/>
              <w:jc w:val="left"/>
              <w:textAlignment w:val="top"/>
              <w:rPr>
                <w:rFonts w:hint="eastAsia" w:ascii="仿宋_GB2312" w:hAnsi="仿宋_GB2312" w:eastAsia="仿宋_GB2312" w:cs="仿宋_GB2312"/>
                <w:b w:val="0"/>
                <w:bCs w:val="0"/>
                <w:color w:val="auto"/>
                <w:kern w:val="0"/>
                <w:sz w:val="24"/>
                <w:szCs w:val="24"/>
                <w:highlight w:val="none"/>
                <w:lang w:val="en-US" w:eastAsia="zh-CN"/>
              </w:rPr>
            </w:pPr>
            <w:r>
              <w:rPr>
                <w:rFonts w:hint="eastAsia" w:ascii="仿宋_GB2312" w:hAnsi="仿宋_GB2312" w:eastAsia="仿宋_GB2312" w:cs="仿宋_GB2312"/>
                <w:color w:val="auto"/>
                <w:kern w:val="0"/>
                <w:sz w:val="24"/>
                <w:szCs w:val="24"/>
                <w:highlight w:val="none"/>
                <w:lang w:val="en-US" w:eastAsia="zh-CN"/>
              </w:rPr>
              <w:t>注：竣工结算时需附实际工程量核定单</w:t>
            </w:r>
            <w:r>
              <w:rPr>
                <w:rFonts w:hint="eastAsia" w:ascii="仿宋_GB2312" w:hAnsi="仿宋_GB2312" w:eastAsia="仿宋_GB2312" w:cs="仿宋_GB2312"/>
                <w:b w:val="0"/>
                <w:bCs w:val="0"/>
                <w:color w:val="auto"/>
                <w:kern w:val="0"/>
                <w:sz w:val="24"/>
                <w:szCs w:val="24"/>
                <w:highlight w:val="none"/>
                <w:lang w:val="en-US" w:eastAsia="zh-CN"/>
              </w:rPr>
              <w:t>（</w:t>
            </w:r>
            <w:r>
              <w:rPr>
                <w:rFonts w:hint="eastAsia" w:ascii="仿宋_GB2312" w:hAnsi="仿宋_GB2312" w:eastAsia="仿宋_GB2312" w:cs="仿宋_GB2312"/>
                <w:b w:val="0"/>
                <w:bCs w:val="0"/>
                <w:color w:val="auto"/>
                <w:spacing w:val="0"/>
                <w:sz w:val="24"/>
                <w:szCs w:val="24"/>
                <w:highlight w:val="none"/>
                <w:u w:val="none"/>
                <w:lang w:val="en-US" w:eastAsia="zh-CN"/>
              </w:rPr>
              <w:t>□ 是  □ 否</w:t>
            </w:r>
            <w:r>
              <w:rPr>
                <w:rFonts w:hint="eastAsia" w:ascii="仿宋_GB2312" w:hAnsi="仿宋_GB2312" w:eastAsia="仿宋_GB2312" w:cs="仿宋_GB2312"/>
                <w:b w:val="0"/>
                <w:bCs w:val="0"/>
                <w:color w:val="auto"/>
                <w:kern w:val="0"/>
                <w:sz w:val="24"/>
                <w:szCs w:val="24"/>
                <w:highlight w:val="none"/>
                <w:lang w:val="en-US" w:eastAsia="zh-CN"/>
              </w:rPr>
              <w:t>）</w:t>
            </w:r>
          </w:p>
          <w:p w14:paraId="326FC3B6">
            <w:pPr>
              <w:widowControl/>
              <w:numPr>
                <w:ilvl w:val="0"/>
                <w:numId w:val="0"/>
              </w:numPr>
              <w:ind w:firstLine="720" w:firstLineChars="300"/>
              <w:jc w:val="left"/>
              <w:textAlignment w:val="top"/>
              <w:rPr>
                <w:rFonts w:hint="eastAsia" w:ascii="仿宋_GB2312" w:hAnsi="仿宋_GB2312" w:eastAsia="仿宋_GB2312" w:cs="仿宋_GB2312"/>
                <w:b w:val="0"/>
                <w:bCs w:val="0"/>
                <w:color w:val="auto"/>
                <w:kern w:val="0"/>
                <w:sz w:val="24"/>
                <w:szCs w:val="24"/>
                <w:highlight w:val="none"/>
                <w:lang w:val="en-US" w:eastAsia="zh-CN"/>
              </w:rPr>
            </w:pPr>
            <w:r>
              <w:rPr>
                <w:rFonts w:hint="eastAsia" w:ascii="仿宋_GB2312" w:hAnsi="仿宋_GB2312" w:eastAsia="仿宋_GB2312" w:cs="仿宋_GB2312"/>
                <w:b w:val="0"/>
                <w:bCs w:val="0"/>
                <w:color w:val="auto"/>
                <w:kern w:val="0"/>
                <w:sz w:val="24"/>
                <w:szCs w:val="24"/>
                <w:highlight w:val="none"/>
                <w:lang w:val="en-US" w:eastAsia="zh-CN"/>
              </w:rPr>
              <w:t>竣工结算时需附材料认质认价单  （</w:t>
            </w:r>
            <w:r>
              <w:rPr>
                <w:rFonts w:hint="eastAsia" w:ascii="仿宋_GB2312" w:hAnsi="仿宋_GB2312" w:eastAsia="仿宋_GB2312" w:cs="仿宋_GB2312"/>
                <w:b w:val="0"/>
                <w:bCs w:val="0"/>
                <w:color w:val="auto"/>
                <w:spacing w:val="0"/>
                <w:sz w:val="24"/>
                <w:szCs w:val="24"/>
                <w:highlight w:val="none"/>
                <w:u w:val="none"/>
                <w:lang w:val="en-US" w:eastAsia="zh-CN"/>
              </w:rPr>
              <w:t>□ 是  □ 否</w:t>
            </w:r>
            <w:r>
              <w:rPr>
                <w:rFonts w:hint="eastAsia" w:ascii="仿宋_GB2312" w:hAnsi="仿宋_GB2312" w:eastAsia="仿宋_GB2312" w:cs="仿宋_GB2312"/>
                <w:b w:val="0"/>
                <w:bCs w:val="0"/>
                <w:color w:val="auto"/>
                <w:kern w:val="0"/>
                <w:sz w:val="24"/>
                <w:szCs w:val="24"/>
                <w:highlight w:val="none"/>
                <w:lang w:val="en-US" w:eastAsia="zh-CN"/>
              </w:rPr>
              <w:t>）</w:t>
            </w:r>
          </w:p>
          <w:p w14:paraId="5FC598C1">
            <w:pPr>
              <w:widowControl/>
              <w:numPr>
                <w:ilvl w:val="0"/>
                <w:numId w:val="0"/>
              </w:numPr>
              <w:ind w:firstLine="200" w:firstLineChars="100"/>
              <w:jc w:val="left"/>
              <w:textAlignment w:val="top"/>
              <w:rPr>
                <w:rFonts w:hint="eastAsia" w:ascii="宋体" w:hAnsi="宋体" w:eastAsia="宋体" w:cs="宋体"/>
                <w:color w:val="auto"/>
                <w:kern w:val="0"/>
                <w:sz w:val="20"/>
                <w:szCs w:val="20"/>
                <w:highlight w:val="none"/>
                <w:lang w:val="en-US" w:eastAsia="zh-CN"/>
              </w:rPr>
            </w:pPr>
          </w:p>
          <w:p w14:paraId="0E5D6FCD">
            <w:pPr>
              <w:widowControl/>
              <w:numPr>
                <w:ilvl w:val="0"/>
                <w:numId w:val="0"/>
              </w:numPr>
              <w:ind w:firstLine="240" w:firstLineChars="100"/>
              <w:jc w:val="left"/>
              <w:textAlignment w:val="top"/>
              <w:rPr>
                <w:rFonts w:hint="eastAsia" w:ascii="楷体_GB2312" w:hAnsi="楷体_GB2312" w:eastAsia="楷体_GB2312" w:cs="楷体_GB2312"/>
                <w:b w:val="0"/>
                <w:bCs w:val="0"/>
                <w:color w:val="auto"/>
                <w:kern w:val="0"/>
                <w:sz w:val="24"/>
                <w:szCs w:val="24"/>
                <w:highlight w:val="none"/>
                <w:lang w:val="en-US" w:eastAsia="zh-CN" w:bidi="ar"/>
              </w:rPr>
            </w:pPr>
            <w:r>
              <w:rPr>
                <w:rFonts w:hint="eastAsia" w:ascii="楷体_GB2312" w:hAnsi="楷体_GB2312" w:eastAsia="楷体_GB2312" w:cs="楷体_GB2312"/>
                <w:b w:val="0"/>
                <w:bCs w:val="0"/>
                <w:color w:val="auto"/>
                <w:kern w:val="0"/>
                <w:sz w:val="24"/>
                <w:szCs w:val="24"/>
                <w:highlight w:val="none"/>
                <w:lang w:val="en-US" w:eastAsia="zh-CN"/>
              </w:rPr>
              <w:t>编制人：              审核人（</w:t>
            </w:r>
            <w:r>
              <w:rPr>
                <w:rFonts w:hint="eastAsia" w:ascii="楷体_GB2312" w:hAnsi="楷体_GB2312" w:eastAsia="楷体_GB2312" w:cs="楷体_GB2312"/>
                <w:b w:val="0"/>
                <w:bCs w:val="0"/>
                <w:color w:val="auto"/>
                <w:spacing w:val="0"/>
                <w:sz w:val="24"/>
                <w:szCs w:val="24"/>
                <w:highlight w:val="none"/>
                <w:lang w:eastAsia="zh-CN"/>
              </w:rPr>
              <w:t>一级注册造价工程师</w:t>
            </w:r>
            <w:r>
              <w:rPr>
                <w:rFonts w:hint="eastAsia" w:ascii="楷体_GB2312" w:hAnsi="楷体_GB2312" w:eastAsia="楷体_GB2312" w:cs="楷体_GB2312"/>
                <w:b w:val="0"/>
                <w:bCs w:val="0"/>
                <w:color w:val="auto"/>
                <w:kern w:val="0"/>
                <w:sz w:val="24"/>
                <w:szCs w:val="24"/>
                <w:highlight w:val="none"/>
                <w:lang w:val="en-US" w:eastAsia="zh-CN"/>
              </w:rPr>
              <w:t>）</w:t>
            </w:r>
            <w:r>
              <w:rPr>
                <w:rFonts w:hint="eastAsia" w:ascii="楷体_GB2312" w:hAnsi="楷体_GB2312" w:eastAsia="楷体_GB2312" w:cs="楷体_GB2312"/>
                <w:b w:val="0"/>
                <w:bCs w:val="0"/>
                <w:color w:val="auto"/>
                <w:kern w:val="0"/>
                <w:sz w:val="24"/>
                <w:szCs w:val="24"/>
                <w:highlight w:val="none"/>
                <w:lang w:eastAsia="zh-CN" w:bidi="ar"/>
              </w:rPr>
              <w:t>：</w:t>
            </w:r>
            <w:r>
              <w:rPr>
                <w:rFonts w:hint="eastAsia" w:ascii="楷体_GB2312" w:hAnsi="楷体_GB2312" w:eastAsia="楷体_GB2312" w:cs="楷体_GB2312"/>
                <w:b w:val="0"/>
                <w:bCs w:val="0"/>
                <w:color w:val="auto"/>
                <w:kern w:val="0"/>
                <w:sz w:val="24"/>
                <w:szCs w:val="24"/>
                <w:highlight w:val="none"/>
                <w:lang w:val="en-US" w:eastAsia="zh-CN" w:bidi="ar"/>
              </w:rPr>
              <w:t xml:space="preserve">            </w:t>
            </w:r>
          </w:p>
          <w:p w14:paraId="1DA77795">
            <w:pPr>
              <w:jc w:val="center"/>
              <w:rPr>
                <w:rFonts w:hint="eastAsia" w:ascii="宋体" w:hAnsi="宋体" w:eastAsia="宋体" w:cs="宋体"/>
                <w:color w:val="auto"/>
                <w:kern w:val="0"/>
                <w:sz w:val="20"/>
                <w:szCs w:val="20"/>
                <w:highlight w:val="none"/>
                <w:lang w:bidi="ar"/>
              </w:rPr>
            </w:pPr>
            <w:r>
              <w:rPr>
                <w:rFonts w:hint="eastAsia" w:ascii="楷体_GB2312" w:hAnsi="楷体_GB2312" w:eastAsia="楷体_GB2312" w:cs="楷体_GB2312"/>
                <w:b w:val="0"/>
                <w:bCs w:val="0"/>
                <w:color w:val="auto"/>
                <w:kern w:val="0"/>
                <w:sz w:val="24"/>
                <w:szCs w:val="24"/>
                <w:highlight w:val="none"/>
                <w:lang w:val="en-US" w:eastAsia="zh-CN" w:bidi="ar"/>
              </w:rPr>
              <w:t xml:space="preserve">                     </w:t>
            </w:r>
            <w:r>
              <w:rPr>
                <w:rFonts w:hint="eastAsia" w:ascii="楷体_GB2312" w:hAnsi="楷体_GB2312" w:eastAsia="楷体_GB2312" w:cs="楷体_GB2312"/>
                <w:b w:val="0"/>
                <w:bCs w:val="0"/>
                <w:color w:val="auto"/>
                <w:kern w:val="0"/>
                <w:sz w:val="24"/>
                <w:szCs w:val="24"/>
                <w:highlight w:val="none"/>
                <w:lang w:eastAsia="zh-CN" w:bidi="ar"/>
              </w:rPr>
              <w:tab/>
            </w:r>
            <w:r>
              <w:rPr>
                <w:rFonts w:hint="eastAsia" w:ascii="楷体_GB2312" w:hAnsi="楷体_GB2312" w:eastAsia="楷体_GB2312" w:cs="楷体_GB2312"/>
                <w:b w:val="0"/>
                <w:bCs w:val="0"/>
                <w:color w:val="auto"/>
                <w:kern w:val="0"/>
                <w:sz w:val="24"/>
                <w:szCs w:val="24"/>
                <w:highlight w:val="none"/>
                <w:lang w:val="en-US" w:eastAsia="zh-CN" w:bidi="ar"/>
              </w:rPr>
              <w:t xml:space="preserve">                       </w:t>
            </w:r>
            <w:r>
              <w:rPr>
                <w:rFonts w:hint="eastAsia" w:ascii="楷体_GB2312" w:hAnsi="楷体_GB2312" w:eastAsia="楷体_GB2312" w:cs="楷体_GB2312"/>
                <w:b w:val="0"/>
                <w:bCs w:val="0"/>
                <w:color w:val="auto"/>
                <w:kern w:val="0"/>
                <w:sz w:val="24"/>
                <w:szCs w:val="24"/>
                <w:highlight w:val="none"/>
                <w:lang w:bidi="ar"/>
              </w:rPr>
              <w:t xml:space="preserve"> 年</w:t>
            </w:r>
            <w:r>
              <w:rPr>
                <w:rFonts w:hint="eastAsia" w:ascii="楷体_GB2312" w:hAnsi="楷体_GB2312" w:eastAsia="楷体_GB2312" w:cs="楷体_GB2312"/>
                <w:b w:val="0"/>
                <w:bCs w:val="0"/>
                <w:color w:val="auto"/>
                <w:kern w:val="0"/>
                <w:sz w:val="24"/>
                <w:szCs w:val="24"/>
                <w:highlight w:val="none"/>
                <w:lang w:val="en-US" w:eastAsia="zh-CN" w:bidi="ar"/>
              </w:rPr>
              <w:t xml:space="preserve">    </w:t>
            </w:r>
            <w:r>
              <w:rPr>
                <w:rFonts w:hint="eastAsia" w:ascii="楷体_GB2312" w:hAnsi="楷体_GB2312" w:eastAsia="楷体_GB2312" w:cs="楷体_GB2312"/>
                <w:b w:val="0"/>
                <w:bCs w:val="0"/>
                <w:color w:val="auto"/>
                <w:kern w:val="0"/>
                <w:sz w:val="24"/>
                <w:szCs w:val="24"/>
                <w:highlight w:val="none"/>
                <w:lang w:bidi="ar"/>
              </w:rPr>
              <w:t>月</w:t>
            </w:r>
            <w:r>
              <w:rPr>
                <w:rFonts w:hint="eastAsia" w:ascii="楷体_GB2312" w:hAnsi="楷体_GB2312" w:eastAsia="楷体_GB2312" w:cs="楷体_GB2312"/>
                <w:b w:val="0"/>
                <w:bCs w:val="0"/>
                <w:color w:val="auto"/>
                <w:kern w:val="0"/>
                <w:sz w:val="24"/>
                <w:szCs w:val="24"/>
                <w:highlight w:val="none"/>
                <w:lang w:val="en-US" w:eastAsia="zh-CN" w:bidi="ar"/>
              </w:rPr>
              <w:t xml:space="preserve">    </w:t>
            </w:r>
            <w:r>
              <w:rPr>
                <w:rFonts w:hint="eastAsia" w:ascii="楷体_GB2312" w:hAnsi="楷体_GB2312" w:eastAsia="楷体_GB2312" w:cs="楷体_GB2312"/>
                <w:b w:val="0"/>
                <w:bCs w:val="0"/>
                <w:color w:val="auto"/>
                <w:kern w:val="0"/>
                <w:sz w:val="24"/>
                <w:szCs w:val="24"/>
                <w:highlight w:val="none"/>
                <w:lang w:bidi="ar"/>
              </w:rPr>
              <w:t>日</w:t>
            </w:r>
            <w:r>
              <w:rPr>
                <w:rFonts w:hint="eastAsia" w:ascii="楷体_GB2312" w:hAnsi="楷体_GB2312" w:eastAsia="楷体_GB2312" w:cs="楷体_GB2312"/>
                <w:b w:val="0"/>
                <w:bCs w:val="0"/>
                <w:color w:val="auto"/>
                <w:kern w:val="0"/>
                <w:sz w:val="24"/>
                <w:szCs w:val="24"/>
                <w:highlight w:val="none"/>
                <w:lang w:val="en-US" w:eastAsia="zh-CN" w:bidi="ar"/>
              </w:rPr>
              <w:t xml:space="preserve">  </w:t>
            </w:r>
            <w:r>
              <w:rPr>
                <w:rFonts w:hint="eastAsia" w:ascii="宋体" w:hAnsi="宋体" w:eastAsia="宋体" w:cs="宋体"/>
                <w:b/>
                <w:bCs/>
                <w:color w:val="auto"/>
                <w:kern w:val="0"/>
                <w:sz w:val="24"/>
                <w:szCs w:val="24"/>
                <w:highlight w:val="none"/>
                <w:lang w:val="en-US" w:eastAsia="zh-CN" w:bidi="ar"/>
              </w:rPr>
              <w:t xml:space="preserve">  </w:t>
            </w:r>
          </w:p>
        </w:tc>
      </w:tr>
      <w:tr w14:paraId="2C9C192B">
        <w:tblPrEx>
          <w:tblCellMar>
            <w:top w:w="0" w:type="dxa"/>
            <w:left w:w="0" w:type="dxa"/>
            <w:bottom w:w="0" w:type="dxa"/>
            <w:right w:w="0" w:type="dxa"/>
          </w:tblCellMar>
        </w:tblPrEx>
        <w:trPr>
          <w:trHeight w:val="714" w:hRule="atLeast"/>
          <w:jc w:val="center"/>
        </w:trPr>
        <w:tc>
          <w:tcPr>
            <w:tcW w:w="117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1EADEB0">
            <w:pPr>
              <w:widowControl/>
              <w:jc w:val="center"/>
              <w:textAlignment w:val="center"/>
              <w:rPr>
                <w:rFonts w:hint="eastAsia" w:ascii="黑体" w:hAnsi="黑体" w:eastAsia="黑体" w:cs="黑体"/>
                <w:b w:val="0"/>
                <w:bCs w:val="0"/>
                <w:color w:val="auto"/>
                <w:kern w:val="0"/>
                <w:sz w:val="24"/>
                <w:szCs w:val="24"/>
                <w:highlight w:val="none"/>
                <w:lang w:bidi="ar"/>
              </w:rPr>
            </w:pPr>
            <w:r>
              <w:rPr>
                <w:rFonts w:hint="eastAsia" w:ascii="黑体" w:hAnsi="黑体" w:eastAsia="黑体" w:cs="黑体"/>
                <w:b w:val="0"/>
                <w:bCs w:val="0"/>
                <w:color w:val="auto"/>
                <w:kern w:val="0"/>
                <w:sz w:val="24"/>
                <w:szCs w:val="24"/>
                <w:highlight w:val="none"/>
                <w:lang w:bidi="ar"/>
              </w:rPr>
              <w:t>投资控制</w:t>
            </w:r>
          </w:p>
          <w:p w14:paraId="487E0DD7">
            <w:pPr>
              <w:widowControl/>
              <w:jc w:val="center"/>
              <w:textAlignment w:val="center"/>
              <w:rPr>
                <w:rFonts w:hint="eastAsia" w:ascii="宋体" w:hAnsi="宋体" w:eastAsia="宋体" w:cs="宋体"/>
                <w:color w:val="auto"/>
                <w:sz w:val="24"/>
                <w:szCs w:val="24"/>
                <w:highlight w:val="none"/>
              </w:rPr>
            </w:pPr>
            <w:r>
              <w:rPr>
                <w:rFonts w:hint="eastAsia" w:ascii="黑体" w:hAnsi="黑体" w:eastAsia="黑体" w:cs="黑体"/>
                <w:b w:val="0"/>
                <w:bCs w:val="0"/>
                <w:color w:val="auto"/>
                <w:kern w:val="0"/>
                <w:sz w:val="24"/>
                <w:szCs w:val="24"/>
                <w:highlight w:val="none"/>
                <w:lang w:bidi="ar"/>
              </w:rPr>
              <w:t>情况</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994AA70">
            <w:pPr>
              <w:widowControl/>
              <w:jc w:val="center"/>
              <w:textAlignment w:val="center"/>
              <w:rPr>
                <w:rFonts w:hint="eastAsia" w:ascii="宋体" w:hAnsi="宋体" w:eastAsia="宋体" w:cs="宋体"/>
                <w:color w:val="auto"/>
                <w:sz w:val="24"/>
                <w:szCs w:val="24"/>
                <w:highlight w:val="none"/>
                <w:lang w:val="en-US" w:eastAsia="zh-CN"/>
              </w:rPr>
            </w:pPr>
            <w:r>
              <w:rPr>
                <w:rFonts w:hint="eastAsia" w:ascii="黑体" w:hAnsi="黑体" w:eastAsia="黑体" w:cs="黑体"/>
                <w:b w:val="0"/>
                <w:bCs w:val="0"/>
                <w:color w:val="auto"/>
                <w:kern w:val="0"/>
                <w:sz w:val="24"/>
                <w:szCs w:val="24"/>
                <w:highlight w:val="none"/>
                <w:lang w:eastAsia="zh-CN" w:bidi="ar"/>
              </w:rPr>
              <w:t>本次估算</w:t>
            </w:r>
            <w:r>
              <w:rPr>
                <w:rFonts w:hint="eastAsia" w:ascii="黑体" w:hAnsi="黑体" w:eastAsia="黑体" w:cs="黑体"/>
                <w:b w:val="0"/>
                <w:bCs w:val="0"/>
                <w:color w:val="auto"/>
                <w:kern w:val="0"/>
                <w:sz w:val="24"/>
                <w:szCs w:val="24"/>
                <w:highlight w:val="none"/>
                <w:lang w:bidi="ar"/>
              </w:rPr>
              <w:t>费用</w:t>
            </w:r>
          </w:p>
        </w:tc>
        <w:tc>
          <w:tcPr>
            <w:tcW w:w="18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C9A8B1D">
            <w:pPr>
              <w:jc w:val="center"/>
              <w:rPr>
                <w:rFonts w:hint="default"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 xml:space="preserve">       </w:t>
            </w:r>
            <w:r>
              <w:rPr>
                <w:rFonts w:hint="eastAsia" w:ascii="楷体_GB2312" w:hAnsi="楷体_GB2312" w:eastAsia="楷体_GB2312" w:cs="楷体_GB2312"/>
                <w:b w:val="0"/>
                <w:bCs w:val="0"/>
                <w:color w:val="auto"/>
                <w:kern w:val="0"/>
                <w:sz w:val="24"/>
                <w:szCs w:val="24"/>
                <w:highlight w:val="none"/>
                <w:lang w:val="en-US" w:eastAsia="zh-CN" w:bidi="ar"/>
              </w:rPr>
              <w:t xml:space="preserve"> 元</w:t>
            </w:r>
          </w:p>
        </w:tc>
        <w:tc>
          <w:tcPr>
            <w:tcW w:w="19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E79E4EE">
            <w:pPr>
              <w:widowControl/>
              <w:jc w:val="center"/>
              <w:textAlignment w:val="center"/>
              <w:rPr>
                <w:rFonts w:hint="eastAsia" w:ascii="黑体" w:hAnsi="黑体" w:eastAsia="黑体" w:cs="黑体"/>
                <w:b w:val="0"/>
                <w:bCs w:val="0"/>
                <w:color w:val="auto"/>
                <w:kern w:val="0"/>
                <w:sz w:val="24"/>
                <w:szCs w:val="24"/>
                <w:highlight w:val="none"/>
                <w:lang w:bidi="ar"/>
              </w:rPr>
            </w:pPr>
            <w:r>
              <w:rPr>
                <w:rFonts w:hint="eastAsia" w:ascii="黑体" w:hAnsi="黑体" w:eastAsia="黑体" w:cs="黑体"/>
                <w:b w:val="0"/>
                <w:bCs w:val="0"/>
                <w:color w:val="auto"/>
                <w:kern w:val="0"/>
                <w:sz w:val="24"/>
                <w:szCs w:val="24"/>
                <w:highlight w:val="none"/>
                <w:lang w:bidi="ar"/>
              </w:rPr>
              <w:t>累计</w:t>
            </w:r>
            <w:r>
              <w:rPr>
                <w:rFonts w:hint="eastAsia" w:ascii="黑体" w:hAnsi="黑体" w:eastAsia="黑体" w:cs="黑体"/>
                <w:b w:val="0"/>
                <w:bCs w:val="0"/>
                <w:color w:val="auto"/>
                <w:kern w:val="0"/>
                <w:sz w:val="24"/>
                <w:szCs w:val="24"/>
                <w:highlight w:val="none"/>
                <w:lang w:eastAsia="zh-CN" w:bidi="ar"/>
              </w:rPr>
              <w:t>已</w:t>
            </w:r>
            <w:r>
              <w:rPr>
                <w:rFonts w:hint="eastAsia" w:ascii="黑体" w:hAnsi="黑体" w:eastAsia="黑体" w:cs="黑体"/>
                <w:b w:val="0"/>
                <w:bCs w:val="0"/>
                <w:color w:val="auto"/>
                <w:kern w:val="0"/>
                <w:sz w:val="24"/>
                <w:szCs w:val="24"/>
                <w:highlight w:val="none"/>
                <w:lang w:bidi="ar"/>
              </w:rPr>
              <w:t>发生费用</w:t>
            </w:r>
          </w:p>
          <w:p w14:paraId="51452931">
            <w:pPr>
              <w:widowControl/>
              <w:jc w:val="center"/>
              <w:textAlignment w:val="center"/>
              <w:rPr>
                <w:rFonts w:hint="eastAsia" w:ascii="宋体" w:hAnsi="宋体" w:eastAsia="宋体" w:cs="宋体"/>
                <w:b/>
                <w:bCs/>
                <w:color w:val="auto"/>
                <w:kern w:val="0"/>
                <w:sz w:val="24"/>
                <w:szCs w:val="24"/>
                <w:highlight w:val="none"/>
                <w:lang w:eastAsia="zh-CN" w:bidi="ar"/>
              </w:rPr>
            </w:pPr>
            <w:r>
              <w:rPr>
                <w:rFonts w:hint="eastAsia" w:ascii="黑体" w:hAnsi="黑体" w:eastAsia="黑体" w:cs="黑体"/>
                <w:b w:val="0"/>
                <w:bCs w:val="0"/>
                <w:color w:val="auto"/>
                <w:kern w:val="0"/>
                <w:sz w:val="24"/>
                <w:szCs w:val="24"/>
                <w:highlight w:val="none"/>
                <w:lang w:eastAsia="zh-CN" w:bidi="ar"/>
              </w:rPr>
              <w:t>（继</w:t>
            </w:r>
            <w:r>
              <w:rPr>
                <w:rFonts w:hint="eastAsia" w:ascii="黑体" w:hAnsi="黑体" w:eastAsia="黑体" w:cs="黑体"/>
                <w:b w:val="0"/>
                <w:bCs w:val="0"/>
                <w:color w:val="auto"/>
                <w:kern w:val="0"/>
                <w:sz w:val="24"/>
                <w:szCs w:val="24"/>
                <w:highlight w:val="none"/>
                <w:lang w:val="en-US" w:eastAsia="zh-CN" w:bidi="ar"/>
              </w:rPr>
              <w:t xml:space="preserve">    号后</w:t>
            </w:r>
            <w:r>
              <w:rPr>
                <w:rFonts w:hint="eastAsia" w:ascii="黑体" w:hAnsi="黑体" w:eastAsia="黑体" w:cs="黑体"/>
                <w:b w:val="0"/>
                <w:bCs w:val="0"/>
                <w:color w:val="auto"/>
                <w:kern w:val="0"/>
                <w:sz w:val="24"/>
                <w:szCs w:val="24"/>
                <w:highlight w:val="none"/>
                <w:lang w:eastAsia="zh-CN" w:bidi="ar"/>
              </w:rPr>
              <w:t>）</w:t>
            </w:r>
          </w:p>
        </w:tc>
        <w:tc>
          <w:tcPr>
            <w:tcW w:w="23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AC3948">
            <w:pPr>
              <w:widowControl/>
              <w:jc w:val="center"/>
              <w:textAlignment w:val="center"/>
              <w:rPr>
                <w:rFonts w:hint="default"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 xml:space="preserve">    </w:t>
            </w:r>
            <w:r>
              <w:rPr>
                <w:rFonts w:hint="eastAsia" w:ascii="楷体_GB2312" w:hAnsi="楷体_GB2312" w:eastAsia="楷体_GB2312" w:cs="楷体_GB2312"/>
                <w:b w:val="0"/>
                <w:bCs w:val="0"/>
                <w:color w:val="auto"/>
                <w:kern w:val="0"/>
                <w:sz w:val="24"/>
                <w:szCs w:val="24"/>
                <w:highlight w:val="none"/>
                <w:lang w:val="en-US" w:eastAsia="zh-CN" w:bidi="ar"/>
              </w:rPr>
              <w:t xml:space="preserve">  元</w:t>
            </w:r>
          </w:p>
        </w:tc>
      </w:tr>
      <w:tr w14:paraId="64FD2495">
        <w:tblPrEx>
          <w:tblCellMar>
            <w:top w:w="0" w:type="dxa"/>
            <w:left w:w="0" w:type="dxa"/>
            <w:bottom w:w="0" w:type="dxa"/>
            <w:right w:w="0" w:type="dxa"/>
          </w:tblCellMar>
        </w:tblPrEx>
        <w:trPr>
          <w:trHeight w:val="983" w:hRule="atLeast"/>
          <w:jc w:val="center"/>
        </w:trPr>
        <w:tc>
          <w:tcPr>
            <w:tcW w:w="1176"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14:paraId="4AF447B0">
            <w:pPr>
              <w:widowControl/>
              <w:jc w:val="center"/>
              <w:textAlignment w:val="center"/>
              <w:rPr>
                <w:rFonts w:hint="eastAsia" w:ascii="宋体" w:hAnsi="宋体" w:eastAsia="宋体" w:cs="宋体"/>
                <w:b/>
                <w:bCs/>
                <w:color w:val="auto"/>
                <w:sz w:val="24"/>
                <w:szCs w:val="24"/>
                <w:highlight w:val="none"/>
              </w:rPr>
            </w:pPr>
            <w:r>
              <w:rPr>
                <w:rFonts w:hint="eastAsia" w:ascii="黑体" w:hAnsi="黑体" w:eastAsia="黑体" w:cs="黑体"/>
                <w:b w:val="0"/>
                <w:bCs w:val="0"/>
                <w:color w:val="auto"/>
                <w:kern w:val="0"/>
                <w:sz w:val="24"/>
                <w:szCs w:val="24"/>
                <w:highlight w:val="none"/>
                <w:lang w:eastAsia="zh-CN" w:bidi="ar"/>
              </w:rPr>
              <w:t>工程预决算科审核</w:t>
            </w:r>
            <w:r>
              <w:rPr>
                <w:rFonts w:hint="eastAsia" w:ascii="黑体" w:hAnsi="黑体" w:eastAsia="黑体" w:cs="黑体"/>
                <w:b w:val="0"/>
                <w:bCs w:val="0"/>
                <w:color w:val="auto"/>
                <w:kern w:val="0"/>
                <w:sz w:val="24"/>
                <w:szCs w:val="24"/>
                <w:highlight w:val="none"/>
                <w:lang w:bidi="ar"/>
              </w:rPr>
              <w:t>意见</w:t>
            </w:r>
          </w:p>
        </w:tc>
        <w:tc>
          <w:tcPr>
            <w:tcW w:w="8257"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07467EA">
            <w:pPr>
              <w:pStyle w:val="12"/>
              <w:rPr>
                <w:rFonts w:hint="eastAsia" w:ascii="楷体_GB2312" w:hAnsi="楷体_GB2312" w:eastAsia="楷体_GB2312" w:cs="楷体_GB2312"/>
                <w:b w:val="0"/>
                <w:bCs w:val="0"/>
                <w:color w:val="auto"/>
                <w:kern w:val="0"/>
                <w:sz w:val="24"/>
                <w:szCs w:val="24"/>
                <w:highlight w:val="none"/>
                <w:lang w:eastAsia="zh-CN" w:bidi="ar"/>
              </w:rPr>
            </w:pPr>
            <w:r>
              <w:rPr>
                <w:rFonts w:hint="eastAsia" w:ascii="楷体_GB2312" w:hAnsi="楷体_GB2312" w:eastAsia="楷体_GB2312" w:cs="楷体_GB2312"/>
                <w:b w:val="0"/>
                <w:bCs w:val="0"/>
                <w:color w:val="auto"/>
                <w:kern w:val="0"/>
                <w:sz w:val="24"/>
                <w:szCs w:val="24"/>
                <w:highlight w:val="none"/>
                <w:lang w:eastAsia="zh-CN" w:bidi="ar"/>
              </w:rPr>
              <w:t>科室项目代表：</w:t>
            </w:r>
          </w:p>
          <w:p w14:paraId="1510DB05">
            <w:pPr>
              <w:jc w:val="center"/>
              <w:rPr>
                <w:rFonts w:hint="eastAsia" w:ascii="楷体_GB2312" w:hAnsi="楷体_GB2312" w:eastAsia="楷体_GB2312" w:cs="楷体_GB2312"/>
                <w:b w:val="0"/>
                <w:bCs w:val="0"/>
                <w:color w:val="auto"/>
                <w:kern w:val="0"/>
                <w:sz w:val="20"/>
                <w:szCs w:val="20"/>
                <w:highlight w:val="none"/>
                <w:lang w:val="en-US" w:eastAsia="zh-CN" w:bidi="ar"/>
              </w:rPr>
            </w:pPr>
            <w:r>
              <w:rPr>
                <w:rFonts w:hint="eastAsia" w:ascii="楷体_GB2312" w:hAnsi="楷体_GB2312" w:eastAsia="楷体_GB2312" w:cs="楷体_GB2312"/>
                <w:b w:val="0"/>
                <w:bCs w:val="0"/>
                <w:color w:val="auto"/>
                <w:kern w:val="0"/>
                <w:sz w:val="20"/>
                <w:szCs w:val="20"/>
                <w:highlight w:val="none"/>
                <w:lang w:val="en-US" w:eastAsia="zh-CN" w:bidi="ar"/>
              </w:rPr>
              <w:t xml:space="preserve">                   </w:t>
            </w:r>
          </w:p>
          <w:p w14:paraId="228D6139">
            <w:pPr>
              <w:jc w:val="center"/>
              <w:rPr>
                <w:rFonts w:hint="eastAsia" w:ascii="宋体" w:hAnsi="宋体" w:eastAsia="宋体" w:cs="宋体"/>
                <w:color w:val="auto"/>
                <w:sz w:val="24"/>
                <w:szCs w:val="24"/>
                <w:highlight w:val="none"/>
              </w:rPr>
            </w:pPr>
            <w:r>
              <w:rPr>
                <w:rFonts w:hint="eastAsia" w:ascii="楷体_GB2312" w:hAnsi="楷体_GB2312" w:eastAsia="楷体_GB2312" w:cs="楷体_GB2312"/>
                <w:b w:val="0"/>
                <w:bCs w:val="0"/>
                <w:color w:val="auto"/>
                <w:kern w:val="0"/>
                <w:sz w:val="20"/>
                <w:szCs w:val="20"/>
                <w:highlight w:val="none"/>
                <w:lang w:val="en-US" w:eastAsia="zh-CN" w:bidi="ar"/>
              </w:rPr>
              <w:t xml:space="preserve">                                       </w:t>
            </w:r>
            <w:r>
              <w:rPr>
                <w:rFonts w:hint="eastAsia" w:ascii="楷体_GB2312" w:hAnsi="楷体_GB2312" w:eastAsia="楷体_GB2312" w:cs="楷体_GB2312"/>
                <w:b w:val="0"/>
                <w:bCs w:val="0"/>
                <w:color w:val="auto"/>
                <w:kern w:val="0"/>
                <w:sz w:val="20"/>
                <w:szCs w:val="20"/>
                <w:highlight w:val="none"/>
                <w:lang w:bidi="ar"/>
              </w:rPr>
              <w:t xml:space="preserve"> </w:t>
            </w:r>
            <w:r>
              <w:rPr>
                <w:rFonts w:hint="eastAsia" w:ascii="楷体_GB2312" w:hAnsi="楷体_GB2312" w:eastAsia="楷体_GB2312" w:cs="楷体_GB2312"/>
                <w:b w:val="0"/>
                <w:bCs w:val="0"/>
                <w:color w:val="auto"/>
                <w:kern w:val="0"/>
                <w:sz w:val="24"/>
                <w:szCs w:val="24"/>
                <w:highlight w:val="none"/>
                <w:lang w:bidi="ar"/>
              </w:rPr>
              <w:t xml:space="preserve"> 年</w:t>
            </w:r>
            <w:r>
              <w:rPr>
                <w:rFonts w:hint="eastAsia" w:ascii="楷体_GB2312" w:hAnsi="楷体_GB2312" w:eastAsia="楷体_GB2312" w:cs="楷体_GB2312"/>
                <w:b w:val="0"/>
                <w:bCs w:val="0"/>
                <w:color w:val="auto"/>
                <w:kern w:val="0"/>
                <w:sz w:val="24"/>
                <w:szCs w:val="24"/>
                <w:highlight w:val="none"/>
                <w:lang w:val="en-US" w:eastAsia="zh-CN" w:bidi="ar"/>
              </w:rPr>
              <w:t xml:space="preserve">   </w:t>
            </w:r>
            <w:r>
              <w:rPr>
                <w:rFonts w:hint="eastAsia" w:ascii="楷体_GB2312" w:hAnsi="楷体_GB2312" w:eastAsia="楷体_GB2312" w:cs="楷体_GB2312"/>
                <w:b w:val="0"/>
                <w:bCs w:val="0"/>
                <w:color w:val="auto"/>
                <w:kern w:val="0"/>
                <w:sz w:val="24"/>
                <w:szCs w:val="24"/>
                <w:highlight w:val="none"/>
                <w:lang w:bidi="ar"/>
              </w:rPr>
              <w:t>月</w:t>
            </w:r>
            <w:r>
              <w:rPr>
                <w:rFonts w:hint="eastAsia" w:ascii="楷体_GB2312" w:hAnsi="楷体_GB2312" w:eastAsia="楷体_GB2312" w:cs="楷体_GB2312"/>
                <w:b w:val="0"/>
                <w:bCs w:val="0"/>
                <w:color w:val="auto"/>
                <w:kern w:val="0"/>
                <w:sz w:val="24"/>
                <w:szCs w:val="24"/>
                <w:highlight w:val="none"/>
                <w:lang w:val="en-US" w:eastAsia="zh-CN" w:bidi="ar"/>
              </w:rPr>
              <w:t xml:space="preserve">   </w:t>
            </w:r>
            <w:r>
              <w:rPr>
                <w:rFonts w:hint="eastAsia" w:ascii="楷体_GB2312" w:hAnsi="楷体_GB2312" w:eastAsia="楷体_GB2312" w:cs="楷体_GB2312"/>
                <w:b w:val="0"/>
                <w:bCs w:val="0"/>
                <w:color w:val="auto"/>
                <w:kern w:val="0"/>
                <w:sz w:val="24"/>
                <w:szCs w:val="24"/>
                <w:highlight w:val="none"/>
                <w:lang w:bidi="ar"/>
              </w:rPr>
              <w:t>日</w:t>
            </w:r>
          </w:p>
        </w:tc>
      </w:tr>
      <w:tr w14:paraId="09733AA9">
        <w:tblPrEx>
          <w:tblCellMar>
            <w:top w:w="0" w:type="dxa"/>
            <w:left w:w="0" w:type="dxa"/>
            <w:bottom w:w="0" w:type="dxa"/>
            <w:right w:w="0" w:type="dxa"/>
          </w:tblCellMar>
        </w:tblPrEx>
        <w:trPr>
          <w:trHeight w:val="1048" w:hRule="atLeast"/>
          <w:jc w:val="center"/>
        </w:trPr>
        <w:tc>
          <w:tcPr>
            <w:tcW w:w="1176"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145943D1">
            <w:pPr>
              <w:jc w:val="center"/>
              <w:rPr>
                <w:color w:val="auto"/>
              </w:rPr>
            </w:pPr>
          </w:p>
        </w:tc>
        <w:tc>
          <w:tcPr>
            <w:tcW w:w="8257"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0793588">
            <w:pPr>
              <w:widowControl/>
              <w:jc w:val="left"/>
              <w:textAlignment w:val="center"/>
              <w:rPr>
                <w:rFonts w:hint="eastAsia" w:ascii="楷体_GB2312" w:hAnsi="楷体_GB2312" w:eastAsia="楷体_GB2312" w:cs="楷体_GB2312"/>
                <w:b w:val="0"/>
                <w:bCs w:val="0"/>
                <w:color w:val="auto"/>
                <w:kern w:val="0"/>
                <w:sz w:val="24"/>
                <w:szCs w:val="24"/>
                <w:highlight w:val="none"/>
                <w:lang w:val="en-US" w:eastAsia="zh-CN" w:bidi="ar"/>
              </w:rPr>
            </w:pPr>
            <w:r>
              <w:rPr>
                <w:rFonts w:hint="eastAsia" w:ascii="楷体_GB2312" w:hAnsi="楷体_GB2312" w:eastAsia="楷体_GB2312" w:cs="楷体_GB2312"/>
                <w:b w:val="0"/>
                <w:bCs w:val="0"/>
                <w:color w:val="auto"/>
                <w:kern w:val="0"/>
                <w:sz w:val="24"/>
                <w:szCs w:val="24"/>
                <w:highlight w:val="none"/>
                <w:lang w:val="en-US" w:eastAsia="zh-CN" w:bidi="ar"/>
              </w:rPr>
              <w:t xml:space="preserve">科室负责人：  </w:t>
            </w:r>
          </w:p>
          <w:p w14:paraId="7B55E609">
            <w:pPr>
              <w:widowControl/>
              <w:jc w:val="left"/>
              <w:textAlignment w:val="center"/>
              <w:rPr>
                <w:rFonts w:hint="eastAsia" w:ascii="楷体_GB2312" w:hAnsi="楷体_GB2312" w:eastAsia="楷体_GB2312" w:cs="楷体_GB2312"/>
                <w:b w:val="0"/>
                <w:bCs w:val="0"/>
                <w:color w:val="auto"/>
                <w:kern w:val="0"/>
                <w:sz w:val="24"/>
                <w:szCs w:val="24"/>
                <w:highlight w:val="none"/>
                <w:lang w:val="en-US" w:eastAsia="zh-CN" w:bidi="ar"/>
              </w:rPr>
            </w:pPr>
            <w:r>
              <w:rPr>
                <w:rFonts w:hint="eastAsia" w:ascii="楷体_GB2312" w:hAnsi="楷体_GB2312" w:eastAsia="楷体_GB2312" w:cs="楷体_GB2312"/>
                <w:b w:val="0"/>
                <w:bCs w:val="0"/>
                <w:color w:val="auto"/>
                <w:kern w:val="0"/>
                <w:sz w:val="24"/>
                <w:szCs w:val="24"/>
                <w:highlight w:val="none"/>
                <w:lang w:val="en-US" w:eastAsia="zh-CN" w:bidi="ar"/>
              </w:rPr>
              <w:t xml:space="preserve">   </w:t>
            </w:r>
          </w:p>
          <w:p w14:paraId="3117D99C">
            <w:pPr>
              <w:widowControl/>
              <w:jc w:val="left"/>
              <w:textAlignment w:val="center"/>
              <w:rPr>
                <w:rFonts w:hint="eastAsia" w:ascii="楷体_GB2312" w:hAnsi="楷体_GB2312" w:eastAsia="楷体_GB2312" w:cs="楷体_GB2312"/>
                <w:b w:val="0"/>
                <w:bCs w:val="0"/>
                <w:color w:val="auto"/>
                <w:kern w:val="0"/>
                <w:sz w:val="24"/>
                <w:szCs w:val="24"/>
                <w:highlight w:val="none"/>
                <w:lang w:val="en-US" w:eastAsia="zh-CN" w:bidi="ar"/>
              </w:rPr>
            </w:pPr>
          </w:p>
          <w:p w14:paraId="5C9D994D">
            <w:pPr>
              <w:widowControl/>
              <w:jc w:val="left"/>
              <w:textAlignment w:val="center"/>
              <w:rPr>
                <w:rFonts w:hint="eastAsia" w:ascii="宋体" w:hAnsi="宋体" w:eastAsia="宋体" w:cs="宋体"/>
                <w:color w:val="auto"/>
                <w:sz w:val="24"/>
                <w:szCs w:val="24"/>
                <w:highlight w:val="none"/>
              </w:rPr>
            </w:pPr>
            <w:r>
              <w:rPr>
                <w:rFonts w:hint="eastAsia" w:ascii="楷体_GB2312" w:hAnsi="楷体_GB2312" w:eastAsia="楷体_GB2312" w:cs="楷体_GB2312"/>
                <w:b w:val="0"/>
                <w:bCs w:val="0"/>
                <w:color w:val="auto"/>
                <w:kern w:val="0"/>
                <w:sz w:val="24"/>
                <w:szCs w:val="24"/>
                <w:highlight w:val="none"/>
                <w:lang w:val="en-US" w:eastAsia="zh-CN" w:bidi="ar"/>
              </w:rPr>
              <w:t xml:space="preserve">                                               年   月   日</w:t>
            </w:r>
          </w:p>
        </w:tc>
      </w:tr>
    </w:tbl>
    <w:p w14:paraId="5FB26373">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楷体_GB2312" w:hAnsi="楷体_GB2312" w:eastAsia="楷体_GB2312" w:cs="楷体_GB2312"/>
          <w:b w:val="0"/>
          <w:bCs w:val="0"/>
          <w:color w:val="auto"/>
          <w:spacing w:val="0"/>
          <w:sz w:val="18"/>
          <w:szCs w:val="18"/>
          <w:highlight w:val="none"/>
          <w:lang w:val="en-US" w:eastAsia="zh-CN"/>
        </w:rPr>
      </w:pPr>
      <w:r>
        <w:rPr>
          <w:rFonts w:hint="eastAsia" w:ascii="楷体_GB2312" w:hAnsi="楷体_GB2312" w:eastAsia="楷体_GB2312" w:cs="楷体_GB2312"/>
          <w:b w:val="0"/>
          <w:bCs w:val="0"/>
          <w:color w:val="auto"/>
          <w:spacing w:val="0"/>
          <w:sz w:val="18"/>
          <w:szCs w:val="18"/>
          <w:highlight w:val="none"/>
          <w:lang w:val="en-US" w:eastAsia="zh-CN"/>
        </w:rPr>
        <w:t>注：1.本表一式一份，与工程变更审批资料一同归档;</w:t>
      </w:r>
    </w:p>
    <w:p w14:paraId="75458326">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楷体_GB2312" w:hAnsi="楷体_GB2312" w:eastAsia="楷体_GB2312" w:cs="楷体_GB2312"/>
          <w:b w:val="0"/>
          <w:bCs w:val="0"/>
          <w:color w:val="auto"/>
          <w:spacing w:val="0"/>
          <w:sz w:val="18"/>
          <w:szCs w:val="18"/>
          <w:highlight w:val="none"/>
          <w:lang w:val="en-US" w:eastAsia="zh-CN"/>
        </w:rPr>
      </w:pPr>
      <w:r>
        <w:rPr>
          <w:rFonts w:hint="eastAsia" w:ascii="楷体_GB2312" w:hAnsi="楷体_GB2312" w:eastAsia="楷体_GB2312" w:cs="楷体_GB2312"/>
          <w:b w:val="0"/>
          <w:bCs w:val="0"/>
          <w:color w:val="auto"/>
          <w:spacing w:val="0"/>
          <w:sz w:val="18"/>
          <w:szCs w:val="18"/>
          <w:highlight w:val="none"/>
          <w:lang w:val="en-US" w:eastAsia="zh-CN"/>
        </w:rPr>
        <w:t xml:space="preserve">    2.因工程变更新增材料和设备的估算价格应在此表中明确写明。</w:t>
      </w:r>
    </w:p>
    <w:p w14:paraId="7C885DEC">
      <w:pPr>
        <w:pStyle w:val="12"/>
        <w:rPr>
          <w:rFonts w:hint="eastAsia" w:ascii="黑体" w:hAnsi="黑体" w:eastAsia="黑体" w:cs="黑体"/>
          <w:b w:val="0"/>
          <w:bCs w:val="0"/>
          <w:color w:val="auto"/>
          <w:spacing w:val="0"/>
          <w:sz w:val="32"/>
          <w:szCs w:val="32"/>
          <w:highlight w:val="none"/>
          <w:lang w:eastAsia="zh-CN"/>
        </w:rPr>
      </w:pPr>
    </w:p>
    <w:p w14:paraId="204770C7">
      <w:pPr>
        <w:pStyle w:val="12"/>
        <w:rPr>
          <w:rFonts w:hint="eastAsia" w:ascii="黑体" w:hAnsi="黑体" w:eastAsia="黑体" w:cs="黑体"/>
          <w:b w:val="0"/>
          <w:bCs w:val="0"/>
          <w:color w:val="auto"/>
          <w:spacing w:val="0"/>
          <w:sz w:val="28"/>
          <w:szCs w:val="28"/>
          <w:highlight w:val="none"/>
          <w:lang w:eastAsia="zh-CN"/>
        </w:rPr>
      </w:pPr>
      <w:r>
        <w:rPr>
          <w:rFonts w:hint="eastAsia" w:ascii="黑体" w:hAnsi="黑体" w:eastAsia="黑体" w:cs="黑体"/>
          <w:b w:val="0"/>
          <w:bCs w:val="0"/>
          <w:color w:val="auto"/>
          <w:spacing w:val="0"/>
          <w:sz w:val="28"/>
          <w:szCs w:val="28"/>
          <w:highlight w:val="none"/>
          <w:lang w:eastAsia="zh-CN"/>
        </w:rPr>
        <w:t>附件</w:t>
      </w:r>
      <w:r>
        <w:rPr>
          <w:rFonts w:hint="eastAsia" w:ascii="黑体" w:hAnsi="黑体" w:eastAsia="黑体" w:cs="黑体"/>
          <w:b w:val="0"/>
          <w:bCs w:val="0"/>
          <w:color w:val="auto"/>
          <w:spacing w:val="0"/>
          <w:sz w:val="28"/>
          <w:szCs w:val="28"/>
          <w:highlight w:val="none"/>
          <w:lang w:val="en-US" w:eastAsia="zh-CN"/>
        </w:rPr>
        <w:t>8</w:t>
      </w:r>
    </w:p>
    <w:p w14:paraId="3ADD9F5C">
      <w:pPr>
        <w:jc w:val="center"/>
        <w:rPr>
          <w:rFonts w:hint="eastAsia" w:ascii="方正小标宋简体" w:hAnsi="方正小标宋简体" w:eastAsia="方正小标宋简体" w:cs="方正小标宋简体"/>
          <w:b w:val="0"/>
          <w:bCs w:val="0"/>
          <w:i w:val="0"/>
          <w:iCs w:val="0"/>
          <w:color w:val="auto"/>
          <w:kern w:val="0"/>
          <w:sz w:val="36"/>
          <w:szCs w:val="36"/>
          <w:highlight w:val="none"/>
          <w:u w:val="none"/>
          <w:lang w:val="en-US" w:eastAsia="zh-CN" w:bidi="ar"/>
        </w:rPr>
      </w:pPr>
      <w:r>
        <w:rPr>
          <w:rFonts w:hint="eastAsia" w:ascii="方正小标宋简体" w:hAnsi="方正小标宋简体" w:eastAsia="方正小标宋简体" w:cs="方正小标宋简体"/>
          <w:b w:val="0"/>
          <w:bCs w:val="0"/>
          <w:i w:val="0"/>
          <w:iCs w:val="0"/>
          <w:color w:val="auto"/>
          <w:kern w:val="0"/>
          <w:sz w:val="36"/>
          <w:szCs w:val="36"/>
          <w:highlight w:val="none"/>
          <w:u w:val="none"/>
          <w:lang w:val="en-US" w:eastAsia="zh-CN" w:bidi="ar"/>
        </w:rPr>
        <w:t>工程变更结算送审表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9"/>
        <w:gridCol w:w="918"/>
        <w:gridCol w:w="3649"/>
        <w:gridCol w:w="880"/>
        <w:gridCol w:w="1718"/>
      </w:tblGrid>
      <w:tr w14:paraId="0D52A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2309" w:type="dxa"/>
            <w:noWrap w:val="0"/>
            <w:vAlign w:val="top"/>
          </w:tcPr>
          <w:p w14:paraId="437ED93E">
            <w:pPr>
              <w:wordWrap/>
              <w:spacing w:line="360" w:lineRule="auto"/>
              <w:jc w:val="center"/>
              <w:rPr>
                <w:rFonts w:hint="eastAsia" w:ascii="黑体" w:hAnsi="黑体" w:eastAsia="黑体" w:cs="黑体"/>
                <w:b w:val="0"/>
                <w:bCs w:val="0"/>
                <w:color w:val="auto"/>
                <w:highlight w:val="none"/>
              </w:rPr>
            </w:pPr>
            <w:r>
              <w:rPr>
                <w:rFonts w:hint="eastAsia" w:ascii="黑体" w:hAnsi="黑体" w:eastAsia="黑体" w:cs="黑体"/>
                <w:b w:val="0"/>
                <w:bCs w:val="0"/>
                <w:color w:val="auto"/>
                <w:kern w:val="0"/>
                <w:sz w:val="24"/>
                <w:highlight w:val="none"/>
                <w:lang w:val="en-US" w:eastAsia="zh-CN"/>
              </w:rPr>
              <w:t>工程名称</w:t>
            </w:r>
          </w:p>
        </w:tc>
        <w:tc>
          <w:tcPr>
            <w:tcW w:w="7165" w:type="dxa"/>
            <w:gridSpan w:val="4"/>
            <w:noWrap w:val="0"/>
            <w:vAlign w:val="top"/>
          </w:tcPr>
          <w:p w14:paraId="2CFB2FD8">
            <w:pPr>
              <w:wordWrap w:val="0"/>
              <w:spacing w:line="360" w:lineRule="auto"/>
              <w:jc w:val="center"/>
              <w:rPr>
                <w:rFonts w:hint="eastAsia" w:ascii="宋体" w:hAnsi="宋体" w:cs="宋体"/>
                <w:b/>
                <w:bCs/>
                <w:color w:val="auto"/>
                <w:kern w:val="0"/>
                <w:sz w:val="24"/>
                <w:highlight w:val="none"/>
                <w:lang w:val="en-US" w:eastAsia="zh-CN"/>
              </w:rPr>
            </w:pPr>
          </w:p>
        </w:tc>
      </w:tr>
      <w:tr w14:paraId="5A0BB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2309" w:type="dxa"/>
            <w:noWrap w:val="0"/>
            <w:vAlign w:val="top"/>
          </w:tcPr>
          <w:p w14:paraId="7F72F3C9">
            <w:pPr>
              <w:wordWrap w:val="0"/>
              <w:spacing w:line="360" w:lineRule="auto"/>
              <w:jc w:val="center"/>
              <w:rPr>
                <w:rFonts w:hint="eastAsia" w:ascii="黑体" w:hAnsi="黑体" w:eastAsia="黑体" w:cs="黑体"/>
                <w:b w:val="0"/>
                <w:bCs w:val="0"/>
                <w:color w:val="auto"/>
                <w:kern w:val="0"/>
                <w:sz w:val="24"/>
                <w:highlight w:val="none"/>
                <w:lang w:val="en-US" w:eastAsia="zh-CN"/>
              </w:rPr>
            </w:pPr>
            <w:r>
              <w:rPr>
                <w:rFonts w:hint="eastAsia" w:ascii="黑体" w:hAnsi="黑体" w:eastAsia="黑体" w:cs="黑体"/>
                <w:b w:val="0"/>
                <w:bCs w:val="0"/>
                <w:color w:val="auto"/>
                <w:kern w:val="0"/>
                <w:sz w:val="24"/>
                <w:highlight w:val="none"/>
                <w:lang w:val="en-US" w:eastAsia="zh-CN"/>
              </w:rPr>
              <w:t>报审变更编号</w:t>
            </w:r>
          </w:p>
        </w:tc>
        <w:tc>
          <w:tcPr>
            <w:tcW w:w="7165" w:type="dxa"/>
            <w:gridSpan w:val="4"/>
            <w:noWrap w:val="0"/>
            <w:vAlign w:val="top"/>
          </w:tcPr>
          <w:p w14:paraId="57E5E6E6">
            <w:pPr>
              <w:wordWrap w:val="0"/>
              <w:spacing w:line="360" w:lineRule="auto"/>
              <w:jc w:val="center"/>
              <w:rPr>
                <w:rFonts w:hint="eastAsia" w:ascii="宋体" w:hAnsi="宋体" w:cs="宋体"/>
                <w:b/>
                <w:bCs/>
                <w:color w:val="auto"/>
                <w:kern w:val="0"/>
                <w:sz w:val="24"/>
                <w:highlight w:val="none"/>
                <w:lang w:val="en-US" w:eastAsia="zh-CN"/>
              </w:rPr>
            </w:pPr>
          </w:p>
        </w:tc>
      </w:tr>
      <w:tr w14:paraId="085D8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2309" w:type="dxa"/>
            <w:noWrap w:val="0"/>
            <w:vAlign w:val="top"/>
          </w:tcPr>
          <w:p w14:paraId="3334EEEA">
            <w:pPr>
              <w:wordWrap w:val="0"/>
              <w:spacing w:line="360" w:lineRule="auto"/>
              <w:jc w:val="center"/>
              <w:rPr>
                <w:rFonts w:hint="eastAsia" w:ascii="黑体" w:hAnsi="黑体" w:eastAsia="黑体" w:cs="黑体"/>
                <w:b w:val="0"/>
                <w:bCs w:val="0"/>
                <w:color w:val="auto"/>
                <w:kern w:val="0"/>
                <w:sz w:val="24"/>
                <w:highlight w:val="none"/>
                <w:lang w:val="en-US" w:eastAsia="zh-CN"/>
              </w:rPr>
            </w:pPr>
            <w:r>
              <w:rPr>
                <w:rFonts w:hint="eastAsia" w:ascii="黑体" w:hAnsi="黑体" w:eastAsia="黑体" w:cs="黑体"/>
                <w:b w:val="0"/>
                <w:bCs w:val="0"/>
                <w:color w:val="auto"/>
                <w:kern w:val="0"/>
                <w:sz w:val="24"/>
                <w:highlight w:val="none"/>
                <w:lang w:val="en-US" w:eastAsia="zh-CN"/>
              </w:rPr>
              <w:t>报审金额</w:t>
            </w:r>
          </w:p>
        </w:tc>
        <w:tc>
          <w:tcPr>
            <w:tcW w:w="918" w:type="dxa"/>
            <w:noWrap w:val="0"/>
            <w:vAlign w:val="center"/>
          </w:tcPr>
          <w:p w14:paraId="5D08779A">
            <w:pPr>
              <w:wordWrap w:val="0"/>
              <w:spacing w:line="360" w:lineRule="auto"/>
              <w:jc w:val="center"/>
              <w:rPr>
                <w:rFonts w:hint="eastAsia" w:ascii="楷体_GB2312" w:hAnsi="楷体_GB2312" w:eastAsia="楷体_GB2312" w:cs="楷体_GB2312"/>
                <w:b w:val="0"/>
                <w:bCs w:val="0"/>
                <w:color w:val="auto"/>
                <w:kern w:val="0"/>
                <w:sz w:val="24"/>
                <w:highlight w:val="none"/>
                <w:lang w:val="en-US" w:eastAsia="zh-CN"/>
              </w:rPr>
            </w:pPr>
            <w:r>
              <w:rPr>
                <w:rFonts w:hint="eastAsia" w:ascii="楷体_GB2312" w:hAnsi="楷体_GB2312" w:eastAsia="楷体_GB2312" w:cs="楷体_GB2312"/>
                <w:b w:val="0"/>
                <w:bCs w:val="0"/>
                <w:color w:val="auto"/>
                <w:kern w:val="0"/>
                <w:sz w:val="24"/>
                <w:highlight w:val="none"/>
                <w:lang w:val="en-US" w:eastAsia="zh-CN"/>
              </w:rPr>
              <w:t>大写</w:t>
            </w:r>
          </w:p>
        </w:tc>
        <w:tc>
          <w:tcPr>
            <w:tcW w:w="3649" w:type="dxa"/>
            <w:noWrap w:val="0"/>
            <w:vAlign w:val="center"/>
          </w:tcPr>
          <w:p w14:paraId="3F9A23B7">
            <w:pPr>
              <w:wordWrap w:val="0"/>
              <w:spacing w:line="360" w:lineRule="auto"/>
              <w:jc w:val="center"/>
              <w:rPr>
                <w:rFonts w:hint="eastAsia" w:ascii="楷体_GB2312" w:hAnsi="楷体_GB2312" w:eastAsia="楷体_GB2312" w:cs="楷体_GB2312"/>
                <w:b w:val="0"/>
                <w:bCs w:val="0"/>
                <w:color w:val="auto"/>
                <w:kern w:val="0"/>
                <w:sz w:val="24"/>
                <w:highlight w:val="none"/>
                <w:lang w:val="en-US" w:eastAsia="zh-CN"/>
              </w:rPr>
            </w:pPr>
            <w:r>
              <w:rPr>
                <w:rFonts w:hint="eastAsia" w:ascii="楷体_GB2312" w:hAnsi="楷体_GB2312" w:eastAsia="楷体_GB2312" w:cs="楷体_GB2312"/>
                <w:b w:val="0"/>
                <w:bCs w:val="0"/>
                <w:color w:val="auto"/>
                <w:kern w:val="0"/>
                <w:sz w:val="24"/>
                <w:highlight w:val="none"/>
                <w:lang w:val="en-US" w:eastAsia="zh-CN"/>
              </w:rPr>
              <w:t>人民币              元整</w:t>
            </w:r>
          </w:p>
        </w:tc>
        <w:tc>
          <w:tcPr>
            <w:tcW w:w="880" w:type="dxa"/>
            <w:noWrap w:val="0"/>
            <w:vAlign w:val="top"/>
          </w:tcPr>
          <w:p w14:paraId="02D1672F">
            <w:pPr>
              <w:wordWrap w:val="0"/>
              <w:spacing w:line="360" w:lineRule="auto"/>
              <w:jc w:val="center"/>
              <w:rPr>
                <w:rFonts w:hint="eastAsia" w:ascii="楷体_GB2312" w:hAnsi="楷体_GB2312" w:eastAsia="楷体_GB2312" w:cs="楷体_GB2312"/>
                <w:b w:val="0"/>
                <w:bCs w:val="0"/>
                <w:color w:val="auto"/>
                <w:kern w:val="0"/>
                <w:sz w:val="24"/>
                <w:highlight w:val="none"/>
                <w:lang w:val="en-US" w:eastAsia="zh-CN"/>
              </w:rPr>
            </w:pPr>
            <w:r>
              <w:rPr>
                <w:rFonts w:hint="eastAsia" w:ascii="楷体_GB2312" w:hAnsi="楷体_GB2312" w:eastAsia="楷体_GB2312" w:cs="楷体_GB2312"/>
                <w:b w:val="0"/>
                <w:bCs w:val="0"/>
                <w:color w:val="auto"/>
                <w:kern w:val="0"/>
                <w:sz w:val="24"/>
                <w:highlight w:val="none"/>
                <w:lang w:val="en-US" w:eastAsia="zh-CN"/>
              </w:rPr>
              <w:t>小写</w:t>
            </w:r>
          </w:p>
        </w:tc>
        <w:tc>
          <w:tcPr>
            <w:tcW w:w="1718" w:type="dxa"/>
            <w:noWrap w:val="0"/>
            <w:vAlign w:val="top"/>
          </w:tcPr>
          <w:p w14:paraId="0015C31B">
            <w:pPr>
              <w:wordWrap w:val="0"/>
              <w:spacing w:line="360" w:lineRule="auto"/>
              <w:jc w:val="both"/>
              <w:rPr>
                <w:rFonts w:hint="eastAsia" w:ascii="楷体_GB2312" w:hAnsi="楷体_GB2312" w:eastAsia="楷体_GB2312" w:cs="楷体_GB2312"/>
                <w:b w:val="0"/>
                <w:bCs w:val="0"/>
                <w:color w:val="auto"/>
                <w:kern w:val="0"/>
                <w:sz w:val="24"/>
                <w:highlight w:val="none"/>
                <w:lang w:val="en-US" w:eastAsia="zh-CN"/>
              </w:rPr>
            </w:pPr>
            <w:r>
              <w:rPr>
                <w:rFonts w:hint="eastAsia" w:ascii="楷体_GB2312" w:hAnsi="楷体_GB2312" w:eastAsia="楷体_GB2312" w:cs="楷体_GB2312"/>
                <w:b w:val="0"/>
                <w:bCs w:val="0"/>
                <w:color w:val="auto"/>
                <w:kern w:val="0"/>
                <w:sz w:val="24"/>
                <w:highlight w:val="none"/>
                <w:u w:val="none"/>
              </w:rPr>
              <w:t>￥</w:t>
            </w:r>
            <w:r>
              <w:rPr>
                <w:rFonts w:hint="eastAsia" w:ascii="楷体_GB2312" w:hAnsi="楷体_GB2312" w:eastAsia="楷体_GB2312" w:cs="楷体_GB2312"/>
                <w:b w:val="0"/>
                <w:bCs w:val="0"/>
                <w:color w:val="auto"/>
                <w:kern w:val="0"/>
                <w:sz w:val="24"/>
                <w:highlight w:val="none"/>
                <w:u w:val="none"/>
                <w:lang w:val="en-US" w:eastAsia="zh-CN"/>
              </w:rPr>
              <w:t xml:space="preserve">          </w:t>
            </w:r>
          </w:p>
        </w:tc>
      </w:tr>
      <w:tr w14:paraId="366B9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jc w:val="center"/>
        </w:trPr>
        <w:tc>
          <w:tcPr>
            <w:tcW w:w="9474" w:type="dxa"/>
            <w:gridSpan w:val="5"/>
            <w:noWrap w:val="0"/>
            <w:vAlign w:val="top"/>
          </w:tcPr>
          <w:p w14:paraId="2D4464E3">
            <w:pPr>
              <w:rPr>
                <w:rFonts w:hint="eastAsia" w:ascii="黑体" w:hAnsi="黑体" w:eastAsia="黑体" w:cs="黑体"/>
                <w:b w:val="0"/>
                <w:bCs w:val="0"/>
                <w:color w:val="auto"/>
                <w:kern w:val="0"/>
                <w:sz w:val="24"/>
                <w:highlight w:val="none"/>
              </w:rPr>
            </w:pPr>
            <w:r>
              <w:rPr>
                <w:rFonts w:hint="eastAsia" w:ascii="黑体" w:hAnsi="黑体" w:eastAsia="黑体" w:cs="黑体"/>
                <w:b w:val="0"/>
                <w:bCs w:val="0"/>
                <w:color w:val="auto"/>
                <w:kern w:val="0"/>
                <w:sz w:val="24"/>
                <w:highlight w:val="none"/>
                <w:lang w:eastAsia="zh-CN"/>
              </w:rPr>
              <w:t>施工单位</w:t>
            </w:r>
            <w:r>
              <w:rPr>
                <w:rFonts w:hint="eastAsia" w:ascii="黑体" w:hAnsi="黑体" w:eastAsia="黑体" w:cs="黑体"/>
                <w:b w:val="0"/>
                <w:bCs w:val="0"/>
                <w:color w:val="auto"/>
                <w:kern w:val="0"/>
                <w:sz w:val="24"/>
                <w:highlight w:val="none"/>
              </w:rPr>
              <w:t>意见：</w:t>
            </w:r>
          </w:p>
          <w:p w14:paraId="73D3DDA9">
            <w:pPr>
              <w:rPr>
                <w:rFonts w:hint="eastAsia" w:ascii="宋体" w:hAnsi="宋体" w:cs="宋体"/>
                <w:color w:val="auto"/>
                <w:kern w:val="0"/>
                <w:sz w:val="24"/>
                <w:highlight w:val="none"/>
              </w:rPr>
            </w:pPr>
            <w:r>
              <w:rPr>
                <w:rFonts w:hint="eastAsia" w:ascii="仿宋_GB2312" w:hAnsi="仿宋_GB2312" w:eastAsia="仿宋_GB2312" w:cs="仿宋_GB2312"/>
                <w:color w:val="auto"/>
                <w:kern w:val="0"/>
                <w:sz w:val="18"/>
                <w:szCs w:val="18"/>
                <w:highlight w:val="none"/>
                <w:lang w:eastAsia="zh-CN"/>
              </w:rPr>
              <w:t>（承诺本次上报结算的工程变更是按照变更申请审批方案实施，且工程质量合格，已申请监理，代建中心验收。）</w:t>
            </w:r>
            <w:r>
              <w:rPr>
                <w:rFonts w:hint="eastAsia" w:ascii="仿宋_GB2312" w:hAnsi="仿宋_GB2312" w:eastAsia="仿宋_GB2312" w:cs="仿宋_GB2312"/>
                <w:color w:val="auto"/>
                <w:kern w:val="0"/>
                <w:sz w:val="18"/>
                <w:szCs w:val="18"/>
                <w:highlight w:val="none"/>
              </w:rPr>
              <w:t xml:space="preserve"> </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 xml:space="preserve"> </w:t>
            </w:r>
          </w:p>
          <w:p w14:paraId="368718F0">
            <w:pPr>
              <w:wordWrap w:val="0"/>
              <w:spacing w:line="360" w:lineRule="auto"/>
              <w:jc w:val="center"/>
              <w:rPr>
                <w:rFonts w:hint="eastAsia" w:ascii="楷体_GB2312" w:hAnsi="楷体_GB2312" w:eastAsia="楷体_GB2312" w:cs="楷体_GB2312"/>
                <w:b w:val="0"/>
                <w:bCs w:val="0"/>
                <w:color w:val="auto"/>
                <w:kern w:val="0"/>
                <w:sz w:val="24"/>
                <w:highlight w:val="none"/>
                <w:lang w:val="en-US" w:eastAsia="zh-CN"/>
              </w:rPr>
            </w:pPr>
            <w:r>
              <w:rPr>
                <w:rFonts w:hint="eastAsia" w:ascii="宋体" w:hAnsi="宋体" w:cs="宋体"/>
                <w:color w:val="auto"/>
                <w:kern w:val="0"/>
                <w:sz w:val="24"/>
                <w:highlight w:val="none"/>
                <w:lang w:val="en-US" w:eastAsia="zh-CN"/>
              </w:rPr>
              <w:t xml:space="preserve">                          </w:t>
            </w:r>
            <w:r>
              <w:rPr>
                <w:rFonts w:hint="eastAsia" w:ascii="宋体" w:hAnsi="宋体" w:cs="宋体"/>
                <w:b/>
                <w:bCs/>
                <w:color w:val="auto"/>
                <w:kern w:val="0"/>
                <w:sz w:val="24"/>
                <w:highlight w:val="none"/>
                <w:lang w:val="en-US" w:eastAsia="zh-CN"/>
              </w:rPr>
              <w:t xml:space="preserve">                                         </w:t>
            </w:r>
            <w:r>
              <w:rPr>
                <w:rFonts w:hint="eastAsia" w:ascii="楷体_GB2312" w:hAnsi="楷体_GB2312" w:eastAsia="楷体_GB2312" w:cs="楷体_GB2312"/>
                <w:b w:val="0"/>
                <w:bCs w:val="0"/>
                <w:color w:val="auto"/>
                <w:kern w:val="0"/>
                <w:sz w:val="24"/>
                <w:highlight w:val="none"/>
              </w:rPr>
              <w:t>（</w:t>
            </w:r>
            <w:r>
              <w:rPr>
                <w:rFonts w:hint="eastAsia" w:ascii="楷体_GB2312" w:hAnsi="楷体_GB2312" w:eastAsia="楷体_GB2312" w:cs="楷体_GB2312"/>
                <w:b w:val="0"/>
                <w:bCs w:val="0"/>
                <w:color w:val="auto"/>
                <w:kern w:val="0"/>
                <w:sz w:val="24"/>
                <w:highlight w:val="none"/>
                <w:lang w:val="en-US" w:eastAsia="zh-CN"/>
              </w:rPr>
              <w:t>公</w:t>
            </w:r>
            <w:r>
              <w:rPr>
                <w:rFonts w:hint="eastAsia" w:ascii="楷体_GB2312" w:hAnsi="楷体_GB2312" w:eastAsia="楷体_GB2312" w:cs="楷体_GB2312"/>
                <w:b w:val="0"/>
                <w:bCs w:val="0"/>
                <w:color w:val="auto"/>
                <w:kern w:val="0"/>
                <w:sz w:val="24"/>
                <w:highlight w:val="none"/>
              </w:rPr>
              <w:t>章）</w:t>
            </w:r>
            <w:r>
              <w:rPr>
                <w:rFonts w:hint="eastAsia" w:ascii="楷体_GB2312" w:hAnsi="楷体_GB2312" w:eastAsia="楷体_GB2312" w:cs="楷体_GB2312"/>
                <w:b w:val="0"/>
                <w:bCs w:val="0"/>
                <w:color w:val="auto"/>
                <w:kern w:val="0"/>
                <w:sz w:val="24"/>
                <w:highlight w:val="none"/>
                <w:lang w:val="en-US" w:eastAsia="zh-CN"/>
              </w:rPr>
              <w:t xml:space="preserve">                         项目负责人</w:t>
            </w:r>
            <w:r>
              <w:rPr>
                <w:rFonts w:hint="eastAsia" w:ascii="楷体_GB2312" w:hAnsi="楷体_GB2312" w:eastAsia="楷体_GB2312" w:cs="楷体_GB2312"/>
                <w:b w:val="0"/>
                <w:bCs w:val="0"/>
                <w:color w:val="auto"/>
                <w:kern w:val="0"/>
                <w:sz w:val="24"/>
                <w:highlight w:val="none"/>
                <w:lang w:eastAsia="zh-CN"/>
              </w:rPr>
              <w:t>签字</w:t>
            </w:r>
            <w:r>
              <w:rPr>
                <w:rFonts w:hint="eastAsia" w:ascii="楷体_GB2312" w:hAnsi="楷体_GB2312" w:eastAsia="楷体_GB2312" w:cs="楷体_GB2312"/>
                <w:b w:val="0"/>
                <w:bCs w:val="0"/>
                <w:color w:val="auto"/>
                <w:kern w:val="0"/>
                <w:sz w:val="24"/>
                <w:highlight w:val="none"/>
              </w:rPr>
              <w:t>：</w:t>
            </w:r>
            <w:r>
              <w:rPr>
                <w:rFonts w:hint="eastAsia" w:ascii="楷体_GB2312" w:hAnsi="楷体_GB2312" w:eastAsia="楷体_GB2312" w:cs="楷体_GB2312"/>
                <w:b w:val="0"/>
                <w:bCs w:val="0"/>
                <w:color w:val="auto"/>
                <w:kern w:val="0"/>
                <w:sz w:val="24"/>
                <w:highlight w:val="none"/>
                <w:lang w:val="en-US" w:eastAsia="zh-CN"/>
              </w:rPr>
              <w:t xml:space="preserve">  </w:t>
            </w:r>
          </w:p>
          <w:p w14:paraId="4BFC81EE">
            <w:pPr>
              <w:wordWrap w:val="0"/>
              <w:spacing w:line="360" w:lineRule="auto"/>
              <w:jc w:val="center"/>
              <w:rPr>
                <w:rFonts w:hint="eastAsia" w:ascii="宋体" w:hAnsi="宋体" w:cs="宋体"/>
                <w:color w:val="auto"/>
                <w:kern w:val="0"/>
                <w:sz w:val="24"/>
                <w:highlight w:val="none"/>
                <w:lang w:val="en-US" w:eastAsia="zh-CN"/>
              </w:rPr>
            </w:pPr>
            <w:r>
              <w:rPr>
                <w:rFonts w:hint="eastAsia" w:ascii="楷体_GB2312" w:hAnsi="楷体_GB2312" w:eastAsia="楷体_GB2312" w:cs="楷体_GB2312"/>
                <w:b w:val="0"/>
                <w:bCs w:val="0"/>
                <w:color w:val="auto"/>
                <w:kern w:val="0"/>
                <w:sz w:val="24"/>
                <w:highlight w:val="none"/>
                <w:lang w:val="en-US" w:eastAsia="zh-CN"/>
              </w:rPr>
              <w:t xml:space="preserve">                                              </w:t>
            </w:r>
            <w:r>
              <w:rPr>
                <w:rFonts w:hint="eastAsia" w:ascii="楷体_GB2312" w:hAnsi="楷体_GB2312" w:eastAsia="楷体_GB2312" w:cs="楷体_GB2312"/>
                <w:b w:val="0"/>
                <w:bCs w:val="0"/>
                <w:color w:val="auto"/>
                <w:kern w:val="0"/>
                <w:sz w:val="24"/>
                <w:highlight w:val="none"/>
              </w:rPr>
              <w:t xml:space="preserve"> 年   月    日 </w:t>
            </w:r>
            <w:r>
              <w:rPr>
                <w:rFonts w:hint="eastAsia" w:ascii="楷体_GB2312" w:hAnsi="楷体_GB2312" w:eastAsia="楷体_GB2312" w:cs="楷体_GB2312"/>
                <w:b w:val="0"/>
                <w:bCs w:val="0"/>
                <w:color w:val="auto"/>
                <w:kern w:val="0"/>
                <w:sz w:val="24"/>
                <w:highlight w:val="none"/>
                <w:lang w:val="en-US" w:eastAsia="zh-CN"/>
              </w:rPr>
              <w:t xml:space="preserve">   </w:t>
            </w:r>
          </w:p>
        </w:tc>
      </w:tr>
      <w:tr w14:paraId="47AFB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2" w:hRule="atLeast"/>
          <w:jc w:val="center"/>
        </w:trPr>
        <w:tc>
          <w:tcPr>
            <w:tcW w:w="9474" w:type="dxa"/>
            <w:gridSpan w:val="5"/>
            <w:noWrap w:val="0"/>
            <w:vAlign w:val="top"/>
          </w:tcPr>
          <w:p w14:paraId="18305D7C">
            <w:pPr>
              <w:rPr>
                <w:rFonts w:hint="eastAsia" w:ascii="宋体" w:hAnsi="宋体" w:cs="宋体"/>
                <w:b/>
                <w:bCs/>
                <w:color w:val="auto"/>
                <w:kern w:val="0"/>
                <w:sz w:val="24"/>
                <w:highlight w:val="none"/>
              </w:rPr>
            </w:pPr>
            <w:r>
              <w:rPr>
                <w:rFonts w:hint="eastAsia" w:ascii="黑体" w:hAnsi="黑体" w:eastAsia="黑体" w:cs="黑体"/>
                <w:b w:val="0"/>
                <w:bCs w:val="0"/>
                <w:color w:val="auto"/>
                <w:kern w:val="0"/>
                <w:sz w:val="24"/>
                <w:highlight w:val="none"/>
                <w:lang w:eastAsia="zh-CN"/>
              </w:rPr>
              <w:t>监理单位意见：</w:t>
            </w:r>
          </w:p>
          <w:p w14:paraId="43D15D1D">
            <w:pPr>
              <w:rPr>
                <w:rFonts w:hint="eastAsia" w:ascii="宋体" w:hAnsi="宋体" w:cs="宋体"/>
                <w:color w:val="auto"/>
                <w:kern w:val="0"/>
                <w:sz w:val="24"/>
                <w:highlight w:val="none"/>
              </w:rPr>
            </w:pPr>
            <w:r>
              <w:rPr>
                <w:rFonts w:hint="eastAsia" w:ascii="仿宋_GB2312" w:hAnsi="仿宋_GB2312" w:eastAsia="仿宋_GB2312" w:cs="仿宋_GB2312"/>
                <w:color w:val="auto"/>
                <w:kern w:val="0"/>
                <w:sz w:val="18"/>
                <w:szCs w:val="18"/>
                <w:highlight w:val="none"/>
                <w:lang w:eastAsia="zh-CN"/>
              </w:rPr>
              <w:t>（本次施工单位上报结算的工程变更所涉及实施内容是否已按照变更申请审批方案实施，并且工程质量符合相关规范、标准，可以进行变更结算审核。）</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 xml:space="preserve">   </w:t>
            </w:r>
          </w:p>
          <w:p w14:paraId="3BF49E77">
            <w:pPr>
              <w:wordWrap w:val="0"/>
              <w:spacing w:line="360" w:lineRule="auto"/>
              <w:jc w:val="center"/>
              <w:rPr>
                <w:rFonts w:hint="eastAsia" w:ascii="楷体_GB2312" w:hAnsi="楷体_GB2312" w:eastAsia="楷体_GB2312" w:cs="楷体_GB2312"/>
                <w:b w:val="0"/>
                <w:bCs w:val="0"/>
                <w:color w:val="auto"/>
                <w:kern w:val="0"/>
                <w:sz w:val="24"/>
                <w:highlight w:val="none"/>
                <w:lang w:val="en-US" w:eastAsia="zh-CN"/>
              </w:rPr>
            </w:pPr>
            <w:r>
              <w:rPr>
                <w:rFonts w:hint="eastAsia" w:ascii="宋体" w:hAnsi="宋体" w:cs="宋体"/>
                <w:color w:val="auto"/>
                <w:kern w:val="0"/>
                <w:sz w:val="24"/>
                <w:highlight w:val="none"/>
                <w:lang w:val="en-US" w:eastAsia="zh-CN"/>
              </w:rPr>
              <w:t xml:space="preserve">                                                              </w:t>
            </w:r>
            <w:r>
              <w:rPr>
                <w:rFonts w:hint="eastAsia" w:ascii="宋体" w:hAnsi="宋体" w:cs="宋体"/>
                <w:b/>
                <w:bCs/>
                <w:color w:val="auto"/>
                <w:kern w:val="0"/>
                <w:sz w:val="24"/>
                <w:highlight w:val="none"/>
                <w:lang w:val="en-US" w:eastAsia="zh-CN"/>
              </w:rPr>
              <w:t xml:space="preserve">      </w:t>
            </w:r>
            <w:r>
              <w:rPr>
                <w:rFonts w:hint="eastAsia" w:ascii="宋体" w:hAnsi="宋体" w:cs="宋体"/>
                <w:b/>
                <w:bCs/>
                <w:color w:val="auto"/>
                <w:kern w:val="0"/>
                <w:sz w:val="24"/>
                <w:highlight w:val="none"/>
              </w:rPr>
              <w:t>（</w:t>
            </w:r>
            <w:r>
              <w:rPr>
                <w:rFonts w:hint="eastAsia" w:ascii="楷体_GB2312" w:hAnsi="楷体_GB2312" w:eastAsia="楷体_GB2312" w:cs="楷体_GB2312"/>
                <w:b w:val="0"/>
                <w:bCs w:val="0"/>
                <w:color w:val="auto"/>
                <w:kern w:val="0"/>
                <w:sz w:val="24"/>
                <w:highlight w:val="none"/>
                <w:lang w:val="en-US" w:eastAsia="zh-CN"/>
              </w:rPr>
              <w:t xml:space="preserve">公章）                                           项目总监签字：                   </w:t>
            </w:r>
          </w:p>
          <w:p w14:paraId="2EEA0791">
            <w:pPr>
              <w:wordWrap w:val="0"/>
              <w:spacing w:line="360" w:lineRule="auto"/>
              <w:jc w:val="center"/>
              <w:rPr>
                <w:rFonts w:hint="eastAsia"/>
                <w:color w:val="auto"/>
                <w:highlight w:val="none"/>
              </w:rPr>
            </w:pPr>
            <w:r>
              <w:rPr>
                <w:rFonts w:hint="eastAsia" w:ascii="楷体_GB2312" w:hAnsi="楷体_GB2312" w:eastAsia="楷体_GB2312" w:cs="楷体_GB2312"/>
                <w:b w:val="0"/>
                <w:bCs w:val="0"/>
                <w:color w:val="auto"/>
                <w:kern w:val="0"/>
                <w:sz w:val="24"/>
                <w:highlight w:val="none"/>
                <w:lang w:val="en-US" w:eastAsia="zh-CN"/>
              </w:rPr>
              <w:t xml:space="preserve">                                                   年   月    日    </w:t>
            </w:r>
            <w:r>
              <w:rPr>
                <w:rFonts w:hint="eastAsia" w:ascii="宋体" w:hAnsi="宋体" w:cs="宋体"/>
                <w:b/>
                <w:bCs/>
                <w:color w:val="auto"/>
                <w:kern w:val="0"/>
                <w:sz w:val="24"/>
                <w:highlight w:val="none"/>
              </w:rPr>
              <w:t xml:space="preserve"> </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 xml:space="preserve">   </w:t>
            </w:r>
          </w:p>
        </w:tc>
      </w:tr>
      <w:tr w14:paraId="14AB1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jc w:val="center"/>
        </w:trPr>
        <w:tc>
          <w:tcPr>
            <w:tcW w:w="2309" w:type="dxa"/>
            <w:vMerge w:val="restart"/>
            <w:noWrap w:val="0"/>
            <w:vAlign w:val="center"/>
          </w:tcPr>
          <w:p w14:paraId="5574C1B0">
            <w:pPr>
              <w:jc w:val="center"/>
              <w:rPr>
                <w:rFonts w:hint="eastAsia" w:ascii="黑体" w:hAnsi="黑体" w:eastAsia="黑体" w:cs="黑体"/>
                <w:b w:val="0"/>
                <w:bCs w:val="0"/>
                <w:color w:val="auto"/>
                <w:kern w:val="0"/>
                <w:sz w:val="24"/>
                <w:highlight w:val="none"/>
              </w:rPr>
            </w:pPr>
            <w:r>
              <w:rPr>
                <w:rFonts w:hint="eastAsia" w:ascii="黑体" w:hAnsi="黑体" w:eastAsia="黑体" w:cs="黑体"/>
                <w:b w:val="0"/>
                <w:bCs w:val="0"/>
                <w:color w:val="auto"/>
                <w:kern w:val="0"/>
                <w:sz w:val="24"/>
                <w:highlight w:val="none"/>
                <w:lang w:eastAsia="zh-CN"/>
              </w:rPr>
              <w:t>代建中心</w:t>
            </w:r>
            <w:r>
              <w:rPr>
                <w:rFonts w:hint="eastAsia" w:ascii="黑体" w:hAnsi="黑体" w:eastAsia="黑体" w:cs="黑体"/>
                <w:b w:val="0"/>
                <w:bCs w:val="0"/>
                <w:color w:val="auto"/>
                <w:kern w:val="0"/>
                <w:sz w:val="24"/>
                <w:highlight w:val="none"/>
              </w:rPr>
              <w:t>意见</w:t>
            </w:r>
          </w:p>
          <w:p w14:paraId="58965561">
            <w:pPr>
              <w:wordWrap w:val="0"/>
              <w:spacing w:line="360" w:lineRule="auto"/>
              <w:jc w:val="center"/>
              <w:rPr>
                <w:rFonts w:hint="eastAsia"/>
                <w:b/>
                <w:bCs/>
                <w:color w:val="auto"/>
                <w:highlight w:val="none"/>
              </w:rPr>
            </w:pPr>
          </w:p>
        </w:tc>
        <w:tc>
          <w:tcPr>
            <w:tcW w:w="7165" w:type="dxa"/>
            <w:gridSpan w:val="4"/>
            <w:noWrap w:val="0"/>
            <w:vAlign w:val="top"/>
          </w:tcPr>
          <w:p w14:paraId="5C257E01">
            <w:pPr>
              <w:rPr>
                <w:rFonts w:hint="eastAsia" w:ascii="楷体_GB2312" w:hAnsi="楷体_GB2312" w:eastAsia="楷体_GB2312" w:cs="楷体_GB2312"/>
                <w:b w:val="0"/>
                <w:bCs w:val="0"/>
                <w:color w:val="auto"/>
                <w:kern w:val="0"/>
                <w:sz w:val="24"/>
                <w:highlight w:val="none"/>
                <w:lang w:eastAsia="zh-CN"/>
              </w:rPr>
            </w:pPr>
            <w:r>
              <w:rPr>
                <w:rFonts w:hint="eastAsia" w:ascii="楷体_GB2312" w:hAnsi="楷体_GB2312" w:eastAsia="楷体_GB2312" w:cs="楷体_GB2312"/>
                <w:b w:val="0"/>
                <w:bCs w:val="0"/>
                <w:color w:val="auto"/>
                <w:kern w:val="0"/>
                <w:sz w:val="24"/>
                <w:highlight w:val="none"/>
                <w:lang w:eastAsia="zh-CN"/>
              </w:rPr>
              <w:t>项目组长意见：</w:t>
            </w:r>
          </w:p>
          <w:p w14:paraId="21D23FD1">
            <w:pPr>
              <w:rPr>
                <w:rFonts w:hint="eastAsia" w:ascii="楷体_GB2312" w:hAnsi="楷体_GB2312" w:eastAsia="楷体_GB2312" w:cs="楷体_GB2312"/>
                <w:b w:val="0"/>
                <w:bCs w:val="0"/>
                <w:color w:val="auto"/>
                <w:kern w:val="0"/>
                <w:sz w:val="24"/>
                <w:highlight w:val="none"/>
                <w:lang w:val="en-US" w:eastAsia="zh-CN"/>
              </w:rPr>
            </w:pPr>
            <w:r>
              <w:rPr>
                <w:rFonts w:hint="eastAsia" w:ascii="楷体_GB2312" w:hAnsi="楷体_GB2312" w:eastAsia="楷体_GB2312" w:cs="楷体_GB2312"/>
                <w:b w:val="0"/>
                <w:bCs w:val="0"/>
                <w:color w:val="auto"/>
                <w:kern w:val="0"/>
                <w:sz w:val="24"/>
                <w:highlight w:val="none"/>
              </w:rPr>
              <w:t xml:space="preserve">    </w:t>
            </w:r>
            <w:r>
              <w:rPr>
                <w:rFonts w:hint="eastAsia" w:ascii="楷体_GB2312" w:hAnsi="楷体_GB2312" w:eastAsia="楷体_GB2312" w:cs="楷体_GB2312"/>
                <w:b w:val="0"/>
                <w:bCs w:val="0"/>
                <w:color w:val="auto"/>
                <w:kern w:val="0"/>
                <w:sz w:val="24"/>
                <w:highlight w:val="none"/>
                <w:lang w:val="en-US" w:eastAsia="zh-CN"/>
              </w:rPr>
              <w:t xml:space="preserve"> </w:t>
            </w:r>
          </w:p>
          <w:p w14:paraId="1E313D9C">
            <w:pPr>
              <w:wordWrap w:val="0"/>
              <w:spacing w:line="360" w:lineRule="auto"/>
              <w:jc w:val="right"/>
              <w:rPr>
                <w:rFonts w:hint="eastAsia" w:ascii="楷体_GB2312" w:hAnsi="楷体_GB2312" w:eastAsia="楷体_GB2312" w:cs="楷体_GB2312"/>
                <w:b w:val="0"/>
                <w:bCs w:val="0"/>
                <w:color w:val="auto"/>
                <w:kern w:val="0"/>
                <w:sz w:val="24"/>
                <w:highlight w:val="none"/>
              </w:rPr>
            </w:pPr>
            <w:r>
              <w:rPr>
                <w:rFonts w:hint="eastAsia" w:ascii="楷体_GB2312" w:hAnsi="楷体_GB2312" w:eastAsia="楷体_GB2312" w:cs="楷体_GB2312"/>
                <w:b w:val="0"/>
                <w:bCs w:val="0"/>
                <w:color w:val="auto"/>
                <w:kern w:val="0"/>
                <w:sz w:val="24"/>
                <w:highlight w:val="none"/>
                <w:lang w:eastAsia="zh-CN"/>
              </w:rPr>
              <w:t>签字</w:t>
            </w:r>
            <w:r>
              <w:rPr>
                <w:rFonts w:hint="eastAsia" w:ascii="楷体_GB2312" w:hAnsi="楷体_GB2312" w:eastAsia="楷体_GB2312" w:cs="楷体_GB2312"/>
                <w:b w:val="0"/>
                <w:bCs w:val="0"/>
                <w:color w:val="auto"/>
                <w:kern w:val="0"/>
                <w:sz w:val="24"/>
                <w:highlight w:val="none"/>
              </w:rPr>
              <w:t xml:space="preserve">：  </w:t>
            </w:r>
            <w:r>
              <w:rPr>
                <w:rFonts w:hint="eastAsia" w:ascii="楷体_GB2312" w:hAnsi="楷体_GB2312" w:eastAsia="楷体_GB2312" w:cs="楷体_GB2312"/>
                <w:b w:val="0"/>
                <w:bCs w:val="0"/>
                <w:color w:val="auto"/>
                <w:kern w:val="0"/>
                <w:sz w:val="24"/>
                <w:highlight w:val="none"/>
                <w:lang w:val="en-US" w:eastAsia="zh-CN"/>
              </w:rPr>
              <w:t xml:space="preserve">      </w:t>
            </w:r>
            <w:r>
              <w:rPr>
                <w:rFonts w:hint="eastAsia" w:ascii="楷体_GB2312" w:hAnsi="楷体_GB2312" w:eastAsia="楷体_GB2312" w:cs="楷体_GB2312"/>
                <w:b w:val="0"/>
                <w:bCs w:val="0"/>
                <w:color w:val="auto"/>
                <w:kern w:val="0"/>
                <w:sz w:val="24"/>
                <w:highlight w:val="none"/>
              </w:rPr>
              <w:t xml:space="preserve">       </w:t>
            </w:r>
          </w:p>
          <w:p w14:paraId="0E917B4B">
            <w:pPr>
              <w:wordWrap w:val="0"/>
              <w:spacing w:line="360" w:lineRule="auto"/>
              <w:jc w:val="right"/>
              <w:rPr>
                <w:rFonts w:hint="eastAsia" w:ascii="宋体" w:hAnsi="宋体" w:cs="宋体"/>
                <w:b/>
                <w:bCs/>
                <w:color w:val="auto"/>
                <w:kern w:val="0"/>
                <w:sz w:val="24"/>
                <w:highlight w:val="none"/>
              </w:rPr>
            </w:pPr>
            <w:r>
              <w:rPr>
                <w:rFonts w:hint="eastAsia" w:ascii="楷体_GB2312" w:hAnsi="楷体_GB2312" w:eastAsia="楷体_GB2312" w:cs="楷体_GB2312"/>
                <w:b w:val="0"/>
                <w:bCs w:val="0"/>
                <w:color w:val="auto"/>
                <w:kern w:val="0"/>
                <w:sz w:val="24"/>
                <w:highlight w:val="none"/>
              </w:rPr>
              <w:t xml:space="preserve">   年   月    日 </w:t>
            </w:r>
            <w:r>
              <w:rPr>
                <w:rFonts w:hint="eastAsia" w:ascii="楷体_GB2312" w:hAnsi="楷体_GB2312" w:eastAsia="楷体_GB2312" w:cs="楷体_GB2312"/>
                <w:b w:val="0"/>
                <w:bCs w:val="0"/>
                <w:color w:val="auto"/>
                <w:kern w:val="0"/>
                <w:sz w:val="24"/>
                <w:highlight w:val="none"/>
                <w:lang w:val="en-US" w:eastAsia="zh-CN"/>
              </w:rPr>
              <w:t xml:space="preserve"> </w:t>
            </w:r>
            <w:r>
              <w:rPr>
                <w:rFonts w:hint="eastAsia" w:ascii="宋体" w:hAnsi="宋体" w:cs="宋体"/>
                <w:b/>
                <w:bCs/>
                <w:color w:val="auto"/>
                <w:kern w:val="0"/>
                <w:sz w:val="24"/>
                <w:highlight w:val="none"/>
                <w:lang w:val="en-US" w:eastAsia="zh-CN"/>
              </w:rPr>
              <w:t xml:space="preserve">    </w:t>
            </w:r>
            <w:r>
              <w:rPr>
                <w:rFonts w:hint="eastAsia" w:ascii="宋体" w:hAnsi="宋体" w:cs="宋体"/>
                <w:b/>
                <w:bCs/>
                <w:color w:val="auto"/>
                <w:kern w:val="0"/>
                <w:sz w:val="24"/>
                <w:highlight w:val="none"/>
              </w:rPr>
              <w:t xml:space="preserve"> </w:t>
            </w:r>
          </w:p>
        </w:tc>
      </w:tr>
      <w:tr w14:paraId="2BDB7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jc w:val="center"/>
        </w:trPr>
        <w:tc>
          <w:tcPr>
            <w:tcW w:w="2309" w:type="dxa"/>
            <w:vMerge w:val="continue"/>
            <w:noWrap w:val="0"/>
            <w:vAlign w:val="top"/>
          </w:tcPr>
          <w:p w14:paraId="2F359549">
            <w:pPr>
              <w:wordWrap w:val="0"/>
              <w:spacing w:line="360" w:lineRule="auto"/>
              <w:jc w:val="right"/>
              <w:rPr>
                <w:rFonts w:hint="eastAsia" w:ascii="宋体" w:hAnsi="宋体" w:cs="宋体"/>
                <w:b/>
                <w:bCs/>
                <w:color w:val="auto"/>
                <w:kern w:val="0"/>
                <w:sz w:val="24"/>
                <w:highlight w:val="none"/>
              </w:rPr>
            </w:pPr>
          </w:p>
        </w:tc>
        <w:tc>
          <w:tcPr>
            <w:tcW w:w="7165" w:type="dxa"/>
            <w:gridSpan w:val="4"/>
            <w:noWrap w:val="0"/>
            <w:vAlign w:val="top"/>
          </w:tcPr>
          <w:p w14:paraId="2212F4EE">
            <w:pPr>
              <w:rPr>
                <w:rFonts w:hint="eastAsia" w:ascii="楷体_GB2312" w:hAnsi="楷体_GB2312" w:eastAsia="楷体_GB2312" w:cs="楷体_GB2312"/>
                <w:b w:val="0"/>
                <w:bCs w:val="0"/>
                <w:color w:val="auto"/>
                <w:kern w:val="0"/>
                <w:sz w:val="24"/>
                <w:highlight w:val="none"/>
                <w:lang w:val="en-US" w:eastAsia="zh-CN"/>
              </w:rPr>
            </w:pPr>
            <w:r>
              <w:rPr>
                <w:rFonts w:hint="eastAsia" w:ascii="楷体_GB2312" w:hAnsi="楷体_GB2312" w:eastAsia="楷体_GB2312" w:cs="楷体_GB2312"/>
                <w:b w:val="0"/>
                <w:bCs w:val="0"/>
                <w:color w:val="auto"/>
                <w:kern w:val="0"/>
                <w:sz w:val="24"/>
                <w:highlight w:val="none"/>
                <w:lang w:eastAsia="zh-CN"/>
              </w:rPr>
              <w:t>工程管理科或设备安装与维护管理科意见：</w:t>
            </w:r>
          </w:p>
          <w:p w14:paraId="2D21CD9E">
            <w:pPr>
              <w:pStyle w:val="7"/>
              <w:rPr>
                <w:rFonts w:hint="eastAsia"/>
                <w:color w:val="auto"/>
                <w:lang w:val="en-US" w:eastAsia="zh-CN"/>
              </w:rPr>
            </w:pPr>
          </w:p>
          <w:p w14:paraId="3000D2E5">
            <w:pPr>
              <w:jc w:val="both"/>
              <w:rPr>
                <w:rFonts w:hint="eastAsia" w:ascii="楷体_GB2312" w:hAnsi="楷体_GB2312" w:eastAsia="楷体_GB2312" w:cs="楷体_GB2312"/>
                <w:b w:val="0"/>
                <w:bCs w:val="0"/>
                <w:color w:val="auto"/>
                <w:kern w:val="0"/>
                <w:sz w:val="24"/>
                <w:highlight w:val="none"/>
                <w:lang w:eastAsia="zh-CN"/>
              </w:rPr>
            </w:pPr>
            <w:r>
              <w:rPr>
                <w:rFonts w:hint="eastAsia" w:ascii="楷体_GB2312" w:hAnsi="楷体_GB2312" w:eastAsia="楷体_GB2312" w:cs="楷体_GB2312"/>
                <w:b w:val="0"/>
                <w:bCs w:val="0"/>
                <w:color w:val="auto"/>
                <w:kern w:val="0"/>
                <w:sz w:val="24"/>
                <w:highlight w:val="none"/>
                <w:lang w:val="en-US" w:eastAsia="zh-CN"/>
              </w:rPr>
              <w:t xml:space="preserve">                                   </w:t>
            </w:r>
            <w:r>
              <w:rPr>
                <w:rFonts w:hint="eastAsia" w:ascii="楷体_GB2312" w:hAnsi="楷体_GB2312" w:eastAsia="楷体_GB2312" w:cs="楷体_GB2312"/>
                <w:b w:val="0"/>
                <w:bCs w:val="0"/>
                <w:color w:val="auto"/>
                <w:kern w:val="0"/>
                <w:sz w:val="24"/>
                <w:highlight w:val="none"/>
                <w:lang w:eastAsia="zh-CN"/>
              </w:rPr>
              <w:t>负责人签字：</w:t>
            </w:r>
            <w:r>
              <w:rPr>
                <w:rFonts w:hint="eastAsia" w:ascii="楷体_GB2312" w:hAnsi="楷体_GB2312" w:eastAsia="楷体_GB2312" w:cs="楷体_GB2312"/>
                <w:b w:val="0"/>
                <w:bCs w:val="0"/>
                <w:color w:val="auto"/>
                <w:kern w:val="0"/>
                <w:sz w:val="24"/>
                <w:highlight w:val="none"/>
                <w:lang w:val="en-US" w:eastAsia="zh-CN"/>
              </w:rPr>
              <w:t xml:space="preserve">    </w:t>
            </w:r>
            <w:r>
              <w:rPr>
                <w:rFonts w:hint="eastAsia" w:ascii="楷体_GB2312" w:hAnsi="楷体_GB2312" w:eastAsia="楷体_GB2312" w:cs="楷体_GB2312"/>
                <w:b w:val="0"/>
                <w:bCs w:val="0"/>
                <w:color w:val="auto"/>
                <w:kern w:val="0"/>
                <w:sz w:val="24"/>
                <w:highlight w:val="none"/>
                <w:lang w:eastAsia="zh-CN"/>
              </w:rPr>
              <w:t xml:space="preserve">     </w:t>
            </w:r>
            <w:r>
              <w:rPr>
                <w:rFonts w:hint="eastAsia" w:ascii="楷体_GB2312" w:hAnsi="楷体_GB2312" w:eastAsia="楷体_GB2312" w:cs="楷体_GB2312"/>
                <w:b w:val="0"/>
                <w:bCs w:val="0"/>
                <w:color w:val="auto"/>
                <w:kern w:val="0"/>
                <w:sz w:val="24"/>
                <w:highlight w:val="none"/>
                <w:lang w:val="en-US" w:eastAsia="zh-CN"/>
              </w:rPr>
              <w:t xml:space="preserve">  </w:t>
            </w:r>
            <w:r>
              <w:rPr>
                <w:rFonts w:hint="eastAsia" w:ascii="楷体_GB2312" w:hAnsi="楷体_GB2312" w:eastAsia="楷体_GB2312" w:cs="楷体_GB2312"/>
                <w:b w:val="0"/>
                <w:bCs w:val="0"/>
                <w:color w:val="auto"/>
                <w:kern w:val="0"/>
                <w:sz w:val="24"/>
                <w:highlight w:val="none"/>
                <w:lang w:eastAsia="zh-CN"/>
              </w:rPr>
              <w:t xml:space="preserve">    </w:t>
            </w:r>
          </w:p>
          <w:p w14:paraId="72E35658">
            <w:pPr>
              <w:jc w:val="center"/>
              <w:rPr>
                <w:rFonts w:hint="eastAsia" w:ascii="宋体" w:hAnsi="宋体" w:eastAsia="宋体" w:cs="宋体"/>
                <w:b/>
                <w:bCs/>
                <w:color w:val="auto"/>
                <w:kern w:val="0"/>
                <w:sz w:val="24"/>
                <w:highlight w:val="none"/>
                <w:lang w:eastAsia="zh-CN"/>
              </w:rPr>
            </w:pPr>
            <w:r>
              <w:rPr>
                <w:rFonts w:hint="eastAsia" w:ascii="楷体_GB2312" w:hAnsi="楷体_GB2312" w:eastAsia="楷体_GB2312" w:cs="楷体_GB2312"/>
                <w:b w:val="0"/>
                <w:bCs w:val="0"/>
                <w:color w:val="auto"/>
                <w:kern w:val="0"/>
                <w:sz w:val="24"/>
                <w:highlight w:val="none"/>
                <w:lang w:val="en-US" w:eastAsia="zh-CN"/>
              </w:rPr>
              <w:t xml:space="preserve">                                 </w:t>
            </w:r>
            <w:r>
              <w:rPr>
                <w:rFonts w:hint="eastAsia" w:ascii="楷体_GB2312" w:hAnsi="楷体_GB2312" w:eastAsia="楷体_GB2312" w:cs="楷体_GB2312"/>
                <w:b w:val="0"/>
                <w:bCs w:val="0"/>
                <w:color w:val="auto"/>
                <w:kern w:val="0"/>
                <w:sz w:val="24"/>
                <w:highlight w:val="none"/>
                <w:lang w:eastAsia="zh-CN"/>
              </w:rPr>
              <w:t>年   月    日</w:t>
            </w:r>
            <w:r>
              <w:rPr>
                <w:rFonts w:hint="eastAsia" w:ascii="楷体_GB2312" w:hAnsi="楷体_GB2312" w:eastAsia="楷体_GB2312" w:cs="楷体_GB2312"/>
                <w:b w:val="0"/>
                <w:bCs w:val="0"/>
                <w:color w:val="auto"/>
                <w:kern w:val="0"/>
                <w:sz w:val="24"/>
                <w:highlight w:val="none"/>
                <w:lang w:val="en-US" w:eastAsia="zh-CN"/>
              </w:rPr>
              <w:t xml:space="preserve">   </w:t>
            </w:r>
            <w:r>
              <w:rPr>
                <w:rFonts w:hint="eastAsia" w:ascii="宋体" w:hAnsi="宋体" w:cs="宋体"/>
                <w:b/>
                <w:bCs/>
                <w:color w:val="auto"/>
                <w:kern w:val="0"/>
                <w:sz w:val="24"/>
                <w:highlight w:val="none"/>
                <w:lang w:val="en-US" w:eastAsia="zh-CN"/>
              </w:rPr>
              <w:t xml:space="preserve">  </w:t>
            </w:r>
            <w:r>
              <w:rPr>
                <w:rFonts w:hint="eastAsia" w:ascii="宋体" w:hAnsi="宋体" w:cs="宋体"/>
                <w:b/>
                <w:bCs/>
                <w:color w:val="auto"/>
                <w:kern w:val="0"/>
                <w:sz w:val="24"/>
                <w:highlight w:val="none"/>
              </w:rPr>
              <w:t xml:space="preserve"> </w:t>
            </w:r>
          </w:p>
        </w:tc>
      </w:tr>
    </w:tbl>
    <w:p w14:paraId="4C542E17">
      <w:pPr>
        <w:numPr>
          <w:ilvl w:val="0"/>
          <w:numId w:val="0"/>
        </w:numPr>
        <w:rPr>
          <w:rFonts w:hint="eastAsia" w:ascii="楷体_GB2312" w:hAnsi="楷体_GB2312" w:eastAsia="楷体_GB2312" w:cs="楷体_GB2312"/>
          <w:color w:val="auto"/>
          <w:kern w:val="0"/>
          <w:sz w:val="18"/>
          <w:szCs w:val="18"/>
          <w:highlight w:val="none"/>
        </w:rPr>
      </w:pPr>
      <w:r>
        <w:rPr>
          <w:rFonts w:hint="eastAsia" w:ascii="楷体_GB2312" w:hAnsi="楷体_GB2312" w:eastAsia="楷体_GB2312" w:cs="楷体_GB2312"/>
          <w:color w:val="auto"/>
          <w:kern w:val="0"/>
          <w:sz w:val="18"/>
          <w:szCs w:val="18"/>
          <w:highlight w:val="none"/>
        </w:rPr>
        <w:t>说明：1.结算书共</w:t>
      </w:r>
      <w:r>
        <w:rPr>
          <w:rFonts w:hint="eastAsia" w:ascii="楷体_GB2312" w:hAnsi="楷体_GB2312" w:eastAsia="楷体_GB2312" w:cs="楷体_GB2312"/>
          <w:color w:val="auto"/>
          <w:kern w:val="0"/>
          <w:sz w:val="18"/>
          <w:szCs w:val="18"/>
          <w:highlight w:val="none"/>
          <w:u w:val="single"/>
        </w:rPr>
        <w:t xml:space="preserve">     </w:t>
      </w:r>
      <w:r>
        <w:rPr>
          <w:rFonts w:hint="eastAsia" w:ascii="楷体_GB2312" w:hAnsi="楷体_GB2312" w:eastAsia="楷体_GB2312" w:cs="楷体_GB2312"/>
          <w:color w:val="auto"/>
          <w:kern w:val="0"/>
          <w:sz w:val="18"/>
          <w:szCs w:val="18"/>
          <w:highlight w:val="none"/>
        </w:rPr>
        <w:t>页</w:t>
      </w:r>
    </w:p>
    <w:p w14:paraId="729D8C00">
      <w:pPr>
        <w:numPr>
          <w:ilvl w:val="0"/>
          <w:numId w:val="0"/>
        </w:numPr>
        <w:ind w:firstLine="540" w:firstLineChars="300"/>
        <w:rPr>
          <w:rFonts w:hint="eastAsia" w:ascii="楷体_GB2312" w:hAnsi="楷体_GB2312" w:eastAsia="楷体_GB2312" w:cs="楷体_GB2312"/>
          <w:color w:val="auto"/>
          <w:kern w:val="0"/>
          <w:sz w:val="18"/>
          <w:szCs w:val="18"/>
          <w:highlight w:val="none"/>
        </w:rPr>
      </w:pPr>
      <w:r>
        <w:rPr>
          <w:rFonts w:hint="eastAsia" w:ascii="楷体_GB2312" w:hAnsi="楷体_GB2312" w:eastAsia="楷体_GB2312" w:cs="楷体_GB2312"/>
          <w:color w:val="auto"/>
          <w:kern w:val="0"/>
          <w:sz w:val="18"/>
          <w:szCs w:val="18"/>
          <w:highlight w:val="none"/>
          <w:lang w:val="en-US" w:eastAsia="zh-CN"/>
        </w:rPr>
        <w:t>2.</w:t>
      </w:r>
      <w:r>
        <w:rPr>
          <w:rFonts w:hint="eastAsia" w:ascii="楷体_GB2312" w:hAnsi="楷体_GB2312" w:eastAsia="楷体_GB2312" w:cs="楷体_GB2312"/>
          <w:color w:val="auto"/>
          <w:kern w:val="0"/>
          <w:sz w:val="18"/>
          <w:szCs w:val="18"/>
          <w:highlight w:val="none"/>
          <w:lang w:val="en-US" w:eastAsia="zh-CN" w:bidi="ar-SA"/>
        </w:rPr>
        <w:t>代建中心意见签署，根据工程变更内容，视主管科室管理职能区分科室签署意见。</w:t>
      </w:r>
    </w:p>
    <w:p w14:paraId="7945EB5B">
      <w:pPr>
        <w:pStyle w:val="12"/>
        <w:rPr>
          <w:rFonts w:hint="eastAsia" w:ascii="黑体" w:hAnsi="黑体" w:eastAsia="黑体" w:cs="黑体"/>
          <w:b w:val="0"/>
          <w:bCs w:val="0"/>
          <w:color w:val="auto"/>
          <w:spacing w:val="0"/>
          <w:kern w:val="2"/>
          <w:sz w:val="28"/>
          <w:szCs w:val="28"/>
          <w:highlight w:val="none"/>
          <w:lang w:val="en-US" w:eastAsia="zh-CN" w:bidi="ar-SA"/>
        </w:rPr>
      </w:pPr>
    </w:p>
    <w:p w14:paraId="23C3D65D">
      <w:pPr>
        <w:pStyle w:val="12"/>
        <w:rPr>
          <w:rFonts w:hint="eastAsia" w:ascii="黑体" w:hAnsi="黑体" w:eastAsia="黑体" w:cs="黑体"/>
          <w:b w:val="0"/>
          <w:bCs w:val="0"/>
          <w:color w:val="auto"/>
          <w:spacing w:val="0"/>
          <w:kern w:val="2"/>
          <w:sz w:val="28"/>
          <w:szCs w:val="28"/>
          <w:highlight w:val="none"/>
          <w:lang w:val="en-US" w:eastAsia="zh-CN" w:bidi="ar-SA"/>
        </w:rPr>
      </w:pPr>
    </w:p>
    <w:p w14:paraId="0FB00E03">
      <w:pPr>
        <w:pStyle w:val="12"/>
        <w:rPr>
          <w:rFonts w:hint="eastAsia" w:ascii="宋体" w:hAnsi="宋体" w:eastAsia="宋体" w:cs="宋体"/>
          <w:b/>
          <w:bCs/>
          <w:color w:val="auto"/>
          <w:spacing w:val="0"/>
          <w:sz w:val="28"/>
          <w:szCs w:val="28"/>
          <w:highlight w:val="none"/>
          <w:lang w:eastAsia="zh-CN"/>
        </w:rPr>
      </w:pPr>
      <w:r>
        <w:rPr>
          <w:rFonts w:hint="eastAsia" w:ascii="黑体" w:hAnsi="黑体" w:eastAsia="黑体" w:cs="黑体"/>
          <w:b w:val="0"/>
          <w:bCs w:val="0"/>
          <w:color w:val="auto"/>
          <w:spacing w:val="0"/>
          <w:kern w:val="2"/>
          <w:sz w:val="28"/>
          <w:szCs w:val="28"/>
          <w:highlight w:val="none"/>
          <w:lang w:val="en-US" w:eastAsia="zh-CN" w:bidi="ar-SA"/>
        </w:rPr>
        <w:t>附件9</w:t>
      </w:r>
    </w:p>
    <w:p w14:paraId="41C28CF3">
      <w:pPr>
        <w:spacing w:line="560" w:lineRule="exact"/>
        <w:jc w:val="center"/>
        <w:rPr>
          <w:rFonts w:hint="eastAsia" w:ascii="方正小标宋简体" w:hAnsi="方正小标宋简体" w:eastAsia="方正小标宋简体" w:cs="方正小标宋简体"/>
          <w:b w:val="0"/>
          <w:bCs/>
          <w:color w:val="auto"/>
          <w:kern w:val="0"/>
          <w:sz w:val="36"/>
          <w:szCs w:val="36"/>
          <w:highlight w:val="none"/>
        </w:rPr>
      </w:pPr>
      <w:r>
        <w:rPr>
          <w:rFonts w:hint="eastAsia" w:ascii="方正小标宋简体" w:hAnsi="方正小标宋简体" w:eastAsia="方正小标宋简体" w:cs="方正小标宋简体"/>
          <w:b w:val="0"/>
          <w:bCs/>
          <w:color w:val="auto"/>
          <w:kern w:val="0"/>
          <w:sz w:val="36"/>
          <w:szCs w:val="36"/>
          <w:highlight w:val="none"/>
        </w:rPr>
        <w:t>工程变更结算定案表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6"/>
        <w:gridCol w:w="1354"/>
        <w:gridCol w:w="1563"/>
        <w:gridCol w:w="1799"/>
        <w:gridCol w:w="1057"/>
        <w:gridCol w:w="1944"/>
      </w:tblGrid>
      <w:tr w14:paraId="7FD0C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776" w:type="dxa"/>
            <w:noWrap w:val="0"/>
            <w:vAlign w:val="center"/>
          </w:tcPr>
          <w:p w14:paraId="7E4F202E">
            <w:pPr>
              <w:widowControl/>
              <w:spacing w:line="400" w:lineRule="exact"/>
              <w:jc w:val="center"/>
              <w:rPr>
                <w:rFonts w:hint="eastAsia" w:ascii="黑体" w:hAnsi="黑体" w:eastAsia="黑体" w:cs="黑体"/>
                <w:b w:val="0"/>
                <w:bCs w:val="0"/>
                <w:color w:val="auto"/>
                <w:kern w:val="0"/>
                <w:sz w:val="24"/>
                <w:szCs w:val="24"/>
                <w:highlight w:val="none"/>
              </w:rPr>
            </w:pPr>
            <w:r>
              <w:rPr>
                <w:rFonts w:hint="eastAsia" w:ascii="黑体" w:hAnsi="黑体" w:eastAsia="黑体" w:cs="黑体"/>
                <w:b w:val="0"/>
                <w:bCs w:val="0"/>
                <w:color w:val="auto"/>
                <w:kern w:val="0"/>
                <w:sz w:val="24"/>
                <w:szCs w:val="24"/>
                <w:highlight w:val="none"/>
              </w:rPr>
              <w:t>工程名称</w:t>
            </w:r>
          </w:p>
        </w:tc>
        <w:tc>
          <w:tcPr>
            <w:tcW w:w="2917" w:type="dxa"/>
            <w:gridSpan w:val="2"/>
            <w:noWrap w:val="0"/>
            <w:vAlign w:val="center"/>
          </w:tcPr>
          <w:p w14:paraId="77C7FE8A">
            <w:pPr>
              <w:widowControl/>
              <w:spacing w:line="400" w:lineRule="exact"/>
              <w:jc w:val="center"/>
              <w:rPr>
                <w:rFonts w:hint="eastAsia" w:ascii="宋体" w:hAnsi="宋体" w:cs="宋体"/>
                <w:b/>
                <w:bCs/>
                <w:color w:val="auto"/>
                <w:kern w:val="0"/>
                <w:sz w:val="24"/>
                <w:szCs w:val="24"/>
                <w:highlight w:val="none"/>
              </w:rPr>
            </w:pPr>
          </w:p>
        </w:tc>
        <w:tc>
          <w:tcPr>
            <w:tcW w:w="1799" w:type="dxa"/>
            <w:noWrap w:val="0"/>
            <w:vAlign w:val="center"/>
          </w:tcPr>
          <w:p w14:paraId="222A3F8C">
            <w:pPr>
              <w:widowControl/>
              <w:spacing w:line="400" w:lineRule="exact"/>
              <w:jc w:val="center"/>
              <w:rPr>
                <w:rFonts w:hint="eastAsia" w:ascii="宋体" w:hAnsi="宋体" w:cs="宋体"/>
                <w:b/>
                <w:bCs/>
                <w:color w:val="auto"/>
                <w:kern w:val="0"/>
                <w:sz w:val="24"/>
                <w:szCs w:val="24"/>
                <w:highlight w:val="none"/>
              </w:rPr>
            </w:pPr>
            <w:r>
              <w:rPr>
                <w:rFonts w:hint="eastAsia" w:ascii="黑体" w:hAnsi="黑体" w:eastAsia="黑体" w:cs="黑体"/>
                <w:b w:val="0"/>
                <w:bCs w:val="0"/>
                <w:color w:val="auto"/>
                <w:kern w:val="0"/>
                <w:sz w:val="24"/>
                <w:szCs w:val="24"/>
                <w:highlight w:val="none"/>
                <w:lang w:eastAsia="zh-CN"/>
              </w:rPr>
              <w:t>施工</w:t>
            </w:r>
            <w:r>
              <w:rPr>
                <w:rFonts w:hint="eastAsia" w:ascii="黑体" w:hAnsi="黑体" w:eastAsia="黑体" w:cs="黑体"/>
                <w:b w:val="0"/>
                <w:bCs w:val="0"/>
                <w:color w:val="auto"/>
                <w:kern w:val="0"/>
                <w:sz w:val="24"/>
                <w:szCs w:val="24"/>
                <w:highlight w:val="none"/>
              </w:rPr>
              <w:t>合同编号</w:t>
            </w:r>
          </w:p>
        </w:tc>
        <w:tc>
          <w:tcPr>
            <w:tcW w:w="3001" w:type="dxa"/>
            <w:gridSpan w:val="2"/>
            <w:noWrap w:val="0"/>
            <w:vAlign w:val="center"/>
          </w:tcPr>
          <w:p w14:paraId="029242C7">
            <w:pPr>
              <w:widowControl/>
              <w:spacing w:line="400" w:lineRule="exact"/>
              <w:jc w:val="center"/>
              <w:rPr>
                <w:rFonts w:hint="eastAsia" w:ascii="宋体" w:hAnsi="宋体" w:cs="宋体"/>
                <w:b/>
                <w:bCs/>
                <w:color w:val="auto"/>
                <w:kern w:val="0"/>
                <w:szCs w:val="21"/>
                <w:highlight w:val="none"/>
              </w:rPr>
            </w:pPr>
          </w:p>
        </w:tc>
      </w:tr>
      <w:tr w14:paraId="12A73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1776" w:type="dxa"/>
            <w:noWrap w:val="0"/>
            <w:vAlign w:val="center"/>
          </w:tcPr>
          <w:p w14:paraId="3B471352">
            <w:pPr>
              <w:widowControl/>
              <w:spacing w:line="400" w:lineRule="exact"/>
              <w:jc w:val="center"/>
              <w:rPr>
                <w:rFonts w:hint="eastAsia" w:ascii="黑体" w:hAnsi="黑体" w:eastAsia="黑体" w:cs="黑体"/>
                <w:b w:val="0"/>
                <w:bCs w:val="0"/>
                <w:color w:val="auto"/>
                <w:kern w:val="0"/>
                <w:sz w:val="24"/>
                <w:szCs w:val="24"/>
                <w:highlight w:val="none"/>
                <w:lang w:eastAsia="zh-CN"/>
              </w:rPr>
            </w:pPr>
            <w:r>
              <w:rPr>
                <w:rFonts w:hint="eastAsia" w:ascii="黑体" w:hAnsi="黑体" w:eastAsia="黑体" w:cs="黑体"/>
                <w:b w:val="0"/>
                <w:bCs w:val="0"/>
                <w:color w:val="auto"/>
                <w:kern w:val="0"/>
                <w:sz w:val="24"/>
                <w:szCs w:val="24"/>
                <w:highlight w:val="none"/>
                <w:lang w:eastAsia="zh-CN"/>
              </w:rPr>
              <w:t>代建中心</w:t>
            </w:r>
          </w:p>
        </w:tc>
        <w:tc>
          <w:tcPr>
            <w:tcW w:w="7717" w:type="dxa"/>
            <w:gridSpan w:val="5"/>
            <w:noWrap w:val="0"/>
            <w:vAlign w:val="center"/>
          </w:tcPr>
          <w:p w14:paraId="2EFD4391">
            <w:pPr>
              <w:widowControl/>
              <w:spacing w:line="400" w:lineRule="exact"/>
              <w:jc w:val="center"/>
              <w:rPr>
                <w:rFonts w:hint="eastAsia" w:ascii="宋体" w:hAnsi="宋体" w:cs="宋体"/>
                <w:b/>
                <w:bCs/>
                <w:color w:val="auto"/>
                <w:kern w:val="0"/>
                <w:sz w:val="24"/>
                <w:szCs w:val="24"/>
                <w:highlight w:val="none"/>
              </w:rPr>
            </w:pPr>
            <w:r>
              <w:rPr>
                <w:rFonts w:hint="eastAsia" w:ascii="楷体_GB2312" w:hAnsi="楷体_GB2312" w:eastAsia="楷体_GB2312" w:cs="楷体_GB2312"/>
                <w:b w:val="0"/>
                <w:bCs w:val="0"/>
                <w:color w:val="auto"/>
                <w:kern w:val="0"/>
                <w:sz w:val="24"/>
                <w:szCs w:val="24"/>
                <w:highlight w:val="none"/>
                <w:lang w:eastAsia="zh-CN"/>
              </w:rPr>
              <w:t>鄂尔多斯市政府投资项目</w:t>
            </w:r>
            <w:r>
              <w:rPr>
                <w:rFonts w:hint="eastAsia" w:ascii="楷体_GB2312" w:hAnsi="楷体_GB2312" w:eastAsia="楷体_GB2312" w:cs="楷体_GB2312"/>
                <w:b w:val="0"/>
                <w:bCs w:val="0"/>
                <w:color w:val="auto"/>
                <w:kern w:val="0"/>
                <w:sz w:val="24"/>
                <w:szCs w:val="24"/>
                <w:highlight w:val="none"/>
              </w:rPr>
              <w:t>代建中心</w:t>
            </w:r>
          </w:p>
        </w:tc>
      </w:tr>
      <w:tr w14:paraId="341E1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776" w:type="dxa"/>
            <w:noWrap w:val="0"/>
            <w:vAlign w:val="center"/>
          </w:tcPr>
          <w:p w14:paraId="5DAFEC9E">
            <w:pPr>
              <w:widowControl/>
              <w:spacing w:line="400" w:lineRule="exact"/>
              <w:jc w:val="center"/>
              <w:rPr>
                <w:rFonts w:hint="eastAsia" w:ascii="黑体" w:hAnsi="黑体" w:eastAsia="黑体" w:cs="黑体"/>
                <w:b w:val="0"/>
                <w:bCs w:val="0"/>
                <w:color w:val="auto"/>
                <w:kern w:val="0"/>
                <w:sz w:val="24"/>
                <w:szCs w:val="24"/>
                <w:highlight w:val="none"/>
                <w:lang w:eastAsia="zh-CN"/>
              </w:rPr>
            </w:pPr>
            <w:r>
              <w:rPr>
                <w:rFonts w:hint="eastAsia" w:ascii="黑体" w:hAnsi="黑体" w:eastAsia="黑体" w:cs="黑体"/>
                <w:b w:val="0"/>
                <w:bCs w:val="0"/>
                <w:color w:val="auto"/>
                <w:kern w:val="0"/>
                <w:sz w:val="24"/>
                <w:szCs w:val="24"/>
                <w:highlight w:val="none"/>
                <w:lang w:eastAsia="zh-CN"/>
              </w:rPr>
              <w:t>施工单位</w:t>
            </w:r>
          </w:p>
        </w:tc>
        <w:tc>
          <w:tcPr>
            <w:tcW w:w="2917" w:type="dxa"/>
            <w:gridSpan w:val="2"/>
            <w:noWrap w:val="0"/>
            <w:vAlign w:val="center"/>
          </w:tcPr>
          <w:p w14:paraId="4FE93499">
            <w:pPr>
              <w:widowControl/>
              <w:spacing w:line="400" w:lineRule="exact"/>
              <w:jc w:val="center"/>
              <w:rPr>
                <w:rFonts w:hint="eastAsia" w:ascii="宋体" w:hAnsi="宋体" w:cs="宋体"/>
                <w:b/>
                <w:bCs/>
                <w:color w:val="auto"/>
                <w:kern w:val="0"/>
                <w:sz w:val="24"/>
                <w:szCs w:val="24"/>
                <w:highlight w:val="none"/>
                <w:lang w:eastAsia="zh-CN"/>
              </w:rPr>
            </w:pPr>
          </w:p>
        </w:tc>
        <w:tc>
          <w:tcPr>
            <w:tcW w:w="1799" w:type="dxa"/>
            <w:noWrap w:val="0"/>
            <w:vAlign w:val="center"/>
          </w:tcPr>
          <w:p w14:paraId="6C21AE4B">
            <w:pPr>
              <w:widowControl/>
              <w:spacing w:line="400" w:lineRule="exact"/>
              <w:jc w:val="center"/>
              <w:rPr>
                <w:rFonts w:hint="eastAsia" w:ascii="黑体" w:hAnsi="黑体" w:eastAsia="黑体" w:cs="黑体"/>
                <w:b w:val="0"/>
                <w:bCs w:val="0"/>
                <w:color w:val="auto"/>
                <w:kern w:val="0"/>
                <w:sz w:val="24"/>
                <w:szCs w:val="24"/>
                <w:highlight w:val="none"/>
                <w:lang w:eastAsia="zh-CN"/>
              </w:rPr>
            </w:pPr>
            <w:r>
              <w:rPr>
                <w:rFonts w:hint="eastAsia" w:ascii="黑体" w:hAnsi="黑体" w:eastAsia="黑体" w:cs="黑体"/>
                <w:b w:val="0"/>
                <w:bCs w:val="0"/>
                <w:color w:val="auto"/>
                <w:kern w:val="0"/>
                <w:sz w:val="24"/>
                <w:szCs w:val="24"/>
                <w:highlight w:val="none"/>
                <w:lang w:eastAsia="zh-CN"/>
              </w:rPr>
              <w:t>造价咨询单位</w:t>
            </w:r>
          </w:p>
        </w:tc>
        <w:tc>
          <w:tcPr>
            <w:tcW w:w="3001" w:type="dxa"/>
            <w:gridSpan w:val="2"/>
            <w:noWrap w:val="0"/>
            <w:vAlign w:val="center"/>
          </w:tcPr>
          <w:p w14:paraId="7BE5AC12">
            <w:pPr>
              <w:widowControl/>
              <w:spacing w:line="400" w:lineRule="exact"/>
              <w:jc w:val="center"/>
              <w:rPr>
                <w:rFonts w:hint="eastAsia" w:ascii="宋体" w:hAnsi="宋体" w:cs="宋体"/>
                <w:b/>
                <w:bCs/>
                <w:color w:val="auto"/>
                <w:kern w:val="0"/>
                <w:szCs w:val="21"/>
                <w:highlight w:val="none"/>
              </w:rPr>
            </w:pPr>
          </w:p>
        </w:tc>
      </w:tr>
      <w:tr w14:paraId="3C81D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1776" w:type="dxa"/>
            <w:noWrap w:val="0"/>
            <w:vAlign w:val="center"/>
          </w:tcPr>
          <w:p w14:paraId="4A00B007">
            <w:pPr>
              <w:widowControl/>
              <w:spacing w:line="400" w:lineRule="exact"/>
              <w:jc w:val="center"/>
              <w:rPr>
                <w:rFonts w:hint="eastAsia" w:ascii="黑体" w:hAnsi="黑体" w:eastAsia="黑体" w:cs="黑体"/>
                <w:b w:val="0"/>
                <w:bCs w:val="0"/>
                <w:color w:val="auto"/>
                <w:kern w:val="0"/>
                <w:sz w:val="24"/>
                <w:szCs w:val="24"/>
                <w:highlight w:val="none"/>
              </w:rPr>
            </w:pPr>
            <w:r>
              <w:rPr>
                <w:rFonts w:hint="eastAsia" w:ascii="黑体" w:hAnsi="黑体" w:eastAsia="黑体" w:cs="黑体"/>
                <w:b w:val="0"/>
                <w:bCs w:val="0"/>
                <w:color w:val="auto"/>
                <w:kern w:val="0"/>
                <w:sz w:val="24"/>
                <w:szCs w:val="24"/>
                <w:highlight w:val="none"/>
              </w:rPr>
              <w:t>结算审核资料及内容</w:t>
            </w:r>
          </w:p>
        </w:tc>
        <w:tc>
          <w:tcPr>
            <w:tcW w:w="2917" w:type="dxa"/>
            <w:gridSpan w:val="2"/>
            <w:noWrap w:val="0"/>
            <w:vAlign w:val="center"/>
          </w:tcPr>
          <w:p w14:paraId="44E3FEEC">
            <w:pPr>
              <w:widowControl/>
              <w:spacing w:line="400" w:lineRule="exact"/>
              <w:jc w:val="center"/>
              <w:rPr>
                <w:rFonts w:hint="eastAsia" w:ascii="宋体" w:hAnsi="宋体" w:cs="宋体"/>
                <w:b/>
                <w:bCs/>
                <w:color w:val="auto"/>
                <w:kern w:val="0"/>
                <w:sz w:val="24"/>
                <w:szCs w:val="24"/>
                <w:highlight w:val="none"/>
              </w:rPr>
            </w:pPr>
          </w:p>
        </w:tc>
        <w:tc>
          <w:tcPr>
            <w:tcW w:w="1799" w:type="dxa"/>
            <w:noWrap w:val="0"/>
            <w:vAlign w:val="center"/>
          </w:tcPr>
          <w:p w14:paraId="2597E00D">
            <w:pPr>
              <w:widowControl/>
              <w:spacing w:line="400" w:lineRule="exact"/>
              <w:jc w:val="center"/>
              <w:rPr>
                <w:rFonts w:hint="eastAsia" w:ascii="黑体" w:hAnsi="黑体" w:eastAsia="黑体" w:cs="黑体"/>
                <w:b w:val="0"/>
                <w:bCs w:val="0"/>
                <w:color w:val="auto"/>
                <w:kern w:val="0"/>
                <w:sz w:val="24"/>
                <w:szCs w:val="24"/>
                <w:highlight w:val="none"/>
                <w:lang w:eastAsia="zh-CN"/>
              </w:rPr>
            </w:pPr>
            <w:r>
              <w:rPr>
                <w:rFonts w:hint="eastAsia" w:ascii="黑体" w:hAnsi="黑体" w:eastAsia="黑体" w:cs="黑体"/>
                <w:b w:val="0"/>
                <w:bCs w:val="0"/>
                <w:color w:val="auto"/>
                <w:kern w:val="0"/>
                <w:sz w:val="24"/>
                <w:szCs w:val="24"/>
                <w:highlight w:val="none"/>
                <w:lang w:eastAsia="zh-CN"/>
              </w:rPr>
              <w:t>结算资料编号</w:t>
            </w:r>
          </w:p>
        </w:tc>
        <w:tc>
          <w:tcPr>
            <w:tcW w:w="3001" w:type="dxa"/>
            <w:gridSpan w:val="2"/>
            <w:noWrap w:val="0"/>
            <w:vAlign w:val="center"/>
          </w:tcPr>
          <w:p w14:paraId="682AABF1">
            <w:pPr>
              <w:widowControl/>
              <w:spacing w:line="400" w:lineRule="exact"/>
              <w:jc w:val="center"/>
              <w:rPr>
                <w:rFonts w:hint="eastAsia" w:ascii="宋体" w:hAnsi="宋体" w:cs="宋体"/>
                <w:b/>
                <w:bCs/>
                <w:color w:val="auto"/>
                <w:kern w:val="0"/>
                <w:szCs w:val="21"/>
                <w:highlight w:val="none"/>
              </w:rPr>
            </w:pPr>
          </w:p>
        </w:tc>
      </w:tr>
      <w:tr w14:paraId="35D9B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jc w:val="center"/>
        </w:trPr>
        <w:tc>
          <w:tcPr>
            <w:tcW w:w="1776" w:type="dxa"/>
            <w:noWrap w:val="0"/>
            <w:vAlign w:val="center"/>
          </w:tcPr>
          <w:p w14:paraId="7A5A231B">
            <w:pPr>
              <w:widowControl/>
              <w:spacing w:line="400" w:lineRule="exact"/>
              <w:jc w:val="center"/>
              <w:rPr>
                <w:rFonts w:hint="eastAsia" w:ascii="黑体" w:hAnsi="黑体" w:eastAsia="黑体" w:cs="黑体"/>
                <w:b w:val="0"/>
                <w:bCs w:val="0"/>
                <w:color w:val="auto"/>
                <w:kern w:val="0"/>
                <w:sz w:val="24"/>
                <w:szCs w:val="24"/>
                <w:highlight w:val="none"/>
              </w:rPr>
            </w:pPr>
            <w:r>
              <w:rPr>
                <w:rFonts w:hint="eastAsia" w:ascii="黑体" w:hAnsi="黑体" w:eastAsia="黑体" w:cs="黑体"/>
                <w:b w:val="0"/>
                <w:bCs w:val="0"/>
                <w:color w:val="auto"/>
                <w:kern w:val="0"/>
                <w:sz w:val="24"/>
                <w:szCs w:val="24"/>
                <w:highlight w:val="none"/>
              </w:rPr>
              <w:t>结算</w:t>
            </w:r>
            <w:r>
              <w:rPr>
                <w:rFonts w:hint="eastAsia" w:ascii="黑体" w:hAnsi="黑体" w:eastAsia="黑体" w:cs="黑体"/>
                <w:b w:val="0"/>
                <w:bCs w:val="0"/>
                <w:color w:val="auto"/>
                <w:kern w:val="0"/>
                <w:sz w:val="24"/>
                <w:szCs w:val="24"/>
                <w:highlight w:val="none"/>
                <w:lang w:eastAsia="zh-CN"/>
              </w:rPr>
              <w:t>审核</w:t>
            </w:r>
            <w:r>
              <w:rPr>
                <w:rFonts w:hint="eastAsia" w:ascii="黑体" w:hAnsi="黑体" w:eastAsia="黑体" w:cs="黑体"/>
                <w:b w:val="0"/>
                <w:bCs w:val="0"/>
                <w:color w:val="auto"/>
                <w:kern w:val="0"/>
                <w:sz w:val="24"/>
                <w:szCs w:val="24"/>
                <w:highlight w:val="none"/>
              </w:rPr>
              <w:t>说明</w:t>
            </w:r>
          </w:p>
        </w:tc>
        <w:tc>
          <w:tcPr>
            <w:tcW w:w="7717" w:type="dxa"/>
            <w:gridSpan w:val="5"/>
            <w:noWrap w:val="0"/>
            <w:vAlign w:val="center"/>
          </w:tcPr>
          <w:p w14:paraId="40F21508">
            <w:pPr>
              <w:widowControl/>
              <w:spacing w:line="400" w:lineRule="exact"/>
              <w:jc w:val="center"/>
              <w:rPr>
                <w:rFonts w:hint="eastAsia" w:ascii="宋体" w:hAnsi="宋体" w:cs="宋体"/>
                <w:color w:val="auto"/>
                <w:kern w:val="0"/>
                <w:sz w:val="24"/>
                <w:szCs w:val="24"/>
                <w:highlight w:val="none"/>
              </w:rPr>
            </w:pPr>
          </w:p>
        </w:tc>
      </w:tr>
      <w:tr w14:paraId="319A7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1776" w:type="dxa"/>
            <w:noWrap w:val="0"/>
            <w:vAlign w:val="center"/>
          </w:tcPr>
          <w:p w14:paraId="08BF594E">
            <w:pPr>
              <w:widowControl/>
              <w:spacing w:line="400" w:lineRule="exact"/>
              <w:jc w:val="center"/>
              <w:rPr>
                <w:rFonts w:hint="eastAsia" w:ascii="黑体" w:hAnsi="黑体" w:eastAsia="黑体" w:cs="黑体"/>
                <w:b w:val="0"/>
                <w:bCs w:val="0"/>
                <w:color w:val="auto"/>
                <w:kern w:val="0"/>
                <w:sz w:val="24"/>
                <w:szCs w:val="24"/>
                <w:highlight w:val="none"/>
              </w:rPr>
            </w:pPr>
            <w:r>
              <w:rPr>
                <w:rFonts w:hint="eastAsia" w:ascii="黑体" w:hAnsi="黑体" w:eastAsia="黑体" w:cs="黑体"/>
                <w:b w:val="0"/>
                <w:bCs w:val="0"/>
                <w:color w:val="auto"/>
                <w:kern w:val="0"/>
                <w:sz w:val="24"/>
                <w:szCs w:val="24"/>
                <w:highlight w:val="none"/>
              </w:rPr>
              <w:t>需甩项的</w:t>
            </w:r>
          </w:p>
          <w:p w14:paraId="0AC7CBC0">
            <w:pPr>
              <w:widowControl/>
              <w:spacing w:line="400" w:lineRule="exact"/>
              <w:jc w:val="center"/>
              <w:rPr>
                <w:rFonts w:hint="eastAsia" w:ascii="黑体" w:hAnsi="黑体" w:eastAsia="黑体" w:cs="黑体"/>
                <w:b w:val="0"/>
                <w:bCs w:val="0"/>
                <w:color w:val="auto"/>
                <w:kern w:val="0"/>
                <w:sz w:val="24"/>
                <w:szCs w:val="24"/>
                <w:highlight w:val="none"/>
              </w:rPr>
            </w:pPr>
            <w:r>
              <w:rPr>
                <w:rFonts w:hint="eastAsia" w:ascii="黑体" w:hAnsi="黑体" w:eastAsia="黑体" w:cs="黑体"/>
                <w:b w:val="0"/>
                <w:bCs w:val="0"/>
                <w:color w:val="auto"/>
                <w:kern w:val="0"/>
                <w:sz w:val="24"/>
                <w:szCs w:val="24"/>
                <w:highlight w:val="none"/>
              </w:rPr>
              <w:t>结算争议问题</w:t>
            </w:r>
          </w:p>
        </w:tc>
        <w:tc>
          <w:tcPr>
            <w:tcW w:w="7717" w:type="dxa"/>
            <w:gridSpan w:val="5"/>
            <w:noWrap w:val="0"/>
            <w:vAlign w:val="center"/>
          </w:tcPr>
          <w:p w14:paraId="05F05B68">
            <w:pPr>
              <w:widowControl/>
              <w:spacing w:line="400" w:lineRule="exact"/>
              <w:jc w:val="center"/>
              <w:rPr>
                <w:rFonts w:hint="eastAsia" w:ascii="宋体" w:hAnsi="宋体" w:cs="宋体"/>
                <w:color w:val="auto"/>
                <w:kern w:val="0"/>
                <w:sz w:val="24"/>
                <w:szCs w:val="24"/>
                <w:highlight w:val="none"/>
              </w:rPr>
            </w:pPr>
          </w:p>
        </w:tc>
      </w:tr>
      <w:tr w14:paraId="69EC5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776" w:type="dxa"/>
            <w:vMerge w:val="restart"/>
            <w:noWrap w:val="0"/>
            <w:vAlign w:val="center"/>
          </w:tcPr>
          <w:p w14:paraId="112640E9">
            <w:pPr>
              <w:widowControl/>
              <w:spacing w:line="400" w:lineRule="exact"/>
              <w:jc w:val="center"/>
              <w:rPr>
                <w:rFonts w:hint="eastAsia" w:ascii="黑体" w:hAnsi="黑体" w:eastAsia="黑体" w:cs="黑体"/>
                <w:b w:val="0"/>
                <w:bCs w:val="0"/>
                <w:color w:val="auto"/>
                <w:kern w:val="0"/>
                <w:sz w:val="24"/>
                <w:szCs w:val="24"/>
                <w:highlight w:val="none"/>
              </w:rPr>
            </w:pPr>
            <w:r>
              <w:rPr>
                <w:rFonts w:hint="eastAsia" w:ascii="黑体" w:hAnsi="黑体" w:eastAsia="黑体" w:cs="黑体"/>
                <w:b w:val="0"/>
                <w:bCs w:val="0"/>
                <w:color w:val="auto"/>
                <w:kern w:val="0"/>
                <w:sz w:val="24"/>
                <w:szCs w:val="24"/>
                <w:highlight w:val="none"/>
              </w:rPr>
              <w:t>报审金额(元)</w:t>
            </w:r>
          </w:p>
        </w:tc>
        <w:tc>
          <w:tcPr>
            <w:tcW w:w="2917" w:type="dxa"/>
            <w:gridSpan w:val="2"/>
            <w:vMerge w:val="restart"/>
            <w:noWrap w:val="0"/>
            <w:vAlign w:val="center"/>
          </w:tcPr>
          <w:p w14:paraId="3E39CAE6">
            <w:pPr>
              <w:widowControl/>
              <w:spacing w:line="400" w:lineRule="exact"/>
              <w:jc w:val="center"/>
              <w:rPr>
                <w:rFonts w:hint="eastAsia" w:ascii="宋体" w:hAnsi="宋体" w:cs="宋体"/>
                <w:b/>
                <w:bCs/>
                <w:color w:val="auto"/>
                <w:kern w:val="0"/>
                <w:sz w:val="24"/>
                <w:szCs w:val="24"/>
                <w:highlight w:val="none"/>
              </w:rPr>
            </w:pPr>
          </w:p>
        </w:tc>
        <w:tc>
          <w:tcPr>
            <w:tcW w:w="1799" w:type="dxa"/>
            <w:vMerge w:val="restart"/>
            <w:noWrap w:val="0"/>
            <w:vAlign w:val="center"/>
          </w:tcPr>
          <w:p w14:paraId="24A76A86">
            <w:pPr>
              <w:widowControl/>
              <w:spacing w:line="400" w:lineRule="exact"/>
              <w:rPr>
                <w:rFonts w:hint="eastAsia" w:ascii="宋体" w:hAnsi="宋体" w:cs="宋体"/>
                <w:b w:val="0"/>
                <w:bCs w:val="0"/>
                <w:color w:val="auto"/>
                <w:kern w:val="0"/>
                <w:sz w:val="24"/>
                <w:szCs w:val="24"/>
                <w:highlight w:val="none"/>
              </w:rPr>
            </w:pPr>
            <w:r>
              <w:rPr>
                <w:rFonts w:hint="eastAsia" w:ascii="黑体" w:hAnsi="黑体" w:eastAsia="黑体" w:cs="黑体"/>
                <w:b w:val="0"/>
                <w:bCs w:val="0"/>
                <w:color w:val="auto"/>
                <w:kern w:val="0"/>
                <w:sz w:val="24"/>
                <w:szCs w:val="24"/>
                <w:highlight w:val="none"/>
              </w:rPr>
              <w:t>调整金额(元)</w:t>
            </w:r>
          </w:p>
        </w:tc>
        <w:tc>
          <w:tcPr>
            <w:tcW w:w="1057" w:type="dxa"/>
            <w:noWrap w:val="0"/>
            <w:vAlign w:val="center"/>
          </w:tcPr>
          <w:p w14:paraId="34CE563D">
            <w:pPr>
              <w:widowControl/>
              <w:spacing w:line="400" w:lineRule="exact"/>
              <w:jc w:val="center"/>
              <w:rPr>
                <w:rFonts w:hint="eastAsia" w:ascii="宋体" w:hAnsi="宋体" w:cs="宋体"/>
                <w:b w:val="0"/>
                <w:bCs w:val="0"/>
                <w:color w:val="auto"/>
                <w:kern w:val="0"/>
                <w:sz w:val="24"/>
                <w:szCs w:val="24"/>
                <w:highlight w:val="none"/>
              </w:rPr>
            </w:pPr>
            <w:r>
              <w:rPr>
                <w:rFonts w:hint="eastAsia" w:ascii="黑体" w:hAnsi="黑体" w:eastAsia="黑体" w:cs="黑体"/>
                <w:b w:val="0"/>
                <w:bCs w:val="0"/>
                <w:color w:val="auto"/>
                <w:kern w:val="0"/>
                <w:sz w:val="24"/>
                <w:szCs w:val="24"/>
                <w:highlight w:val="none"/>
              </w:rPr>
              <w:t>核增</w:t>
            </w:r>
          </w:p>
        </w:tc>
        <w:tc>
          <w:tcPr>
            <w:tcW w:w="1944" w:type="dxa"/>
            <w:noWrap w:val="0"/>
            <w:vAlign w:val="center"/>
          </w:tcPr>
          <w:p w14:paraId="4968AD05">
            <w:pPr>
              <w:widowControl/>
              <w:spacing w:line="400" w:lineRule="exact"/>
              <w:jc w:val="center"/>
              <w:rPr>
                <w:rFonts w:hint="eastAsia" w:ascii="宋体" w:hAnsi="宋体" w:cs="宋体"/>
                <w:b/>
                <w:bCs/>
                <w:color w:val="auto"/>
                <w:kern w:val="0"/>
                <w:sz w:val="24"/>
                <w:szCs w:val="24"/>
                <w:highlight w:val="none"/>
              </w:rPr>
            </w:pPr>
          </w:p>
        </w:tc>
      </w:tr>
      <w:tr w14:paraId="7E311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776" w:type="dxa"/>
            <w:vMerge w:val="continue"/>
            <w:noWrap w:val="0"/>
            <w:vAlign w:val="center"/>
          </w:tcPr>
          <w:p w14:paraId="65658FC7">
            <w:pPr>
              <w:widowControl/>
              <w:spacing w:line="400" w:lineRule="exact"/>
              <w:jc w:val="center"/>
              <w:rPr>
                <w:rFonts w:hint="eastAsia" w:ascii="黑体" w:hAnsi="黑体" w:eastAsia="黑体" w:cs="黑体"/>
                <w:b w:val="0"/>
                <w:bCs w:val="0"/>
                <w:color w:val="auto"/>
                <w:kern w:val="0"/>
                <w:sz w:val="24"/>
                <w:szCs w:val="24"/>
                <w:highlight w:val="none"/>
              </w:rPr>
            </w:pPr>
          </w:p>
        </w:tc>
        <w:tc>
          <w:tcPr>
            <w:tcW w:w="2917" w:type="dxa"/>
            <w:gridSpan w:val="2"/>
            <w:vMerge w:val="continue"/>
            <w:noWrap w:val="0"/>
            <w:vAlign w:val="center"/>
          </w:tcPr>
          <w:p w14:paraId="2548EFCA">
            <w:pPr>
              <w:widowControl/>
              <w:spacing w:line="400" w:lineRule="exact"/>
              <w:jc w:val="center"/>
              <w:rPr>
                <w:rFonts w:hint="eastAsia" w:ascii="宋体" w:hAnsi="宋体" w:cs="宋体"/>
                <w:b/>
                <w:bCs/>
                <w:color w:val="auto"/>
                <w:kern w:val="0"/>
                <w:sz w:val="24"/>
                <w:szCs w:val="24"/>
                <w:highlight w:val="none"/>
              </w:rPr>
            </w:pPr>
          </w:p>
        </w:tc>
        <w:tc>
          <w:tcPr>
            <w:tcW w:w="1799" w:type="dxa"/>
            <w:vMerge w:val="continue"/>
            <w:noWrap w:val="0"/>
            <w:vAlign w:val="center"/>
          </w:tcPr>
          <w:p w14:paraId="4B1F60B5">
            <w:pPr>
              <w:widowControl/>
              <w:spacing w:line="400" w:lineRule="exact"/>
              <w:rPr>
                <w:rFonts w:hint="eastAsia" w:ascii="宋体" w:hAnsi="宋体" w:cs="宋体"/>
                <w:b w:val="0"/>
                <w:bCs w:val="0"/>
                <w:color w:val="auto"/>
                <w:kern w:val="0"/>
                <w:sz w:val="24"/>
                <w:szCs w:val="24"/>
                <w:highlight w:val="none"/>
              </w:rPr>
            </w:pPr>
          </w:p>
        </w:tc>
        <w:tc>
          <w:tcPr>
            <w:tcW w:w="1057" w:type="dxa"/>
            <w:noWrap w:val="0"/>
            <w:vAlign w:val="center"/>
          </w:tcPr>
          <w:p w14:paraId="31319CD8">
            <w:pPr>
              <w:widowControl/>
              <w:spacing w:line="400" w:lineRule="exact"/>
              <w:jc w:val="center"/>
              <w:rPr>
                <w:rFonts w:hint="eastAsia" w:ascii="宋体" w:hAnsi="宋体" w:cs="宋体"/>
                <w:b w:val="0"/>
                <w:bCs w:val="0"/>
                <w:color w:val="auto"/>
                <w:kern w:val="0"/>
                <w:sz w:val="24"/>
                <w:szCs w:val="24"/>
                <w:highlight w:val="none"/>
              </w:rPr>
            </w:pPr>
            <w:r>
              <w:rPr>
                <w:rFonts w:hint="eastAsia" w:ascii="黑体" w:hAnsi="黑体" w:eastAsia="黑体" w:cs="黑体"/>
                <w:b w:val="0"/>
                <w:bCs w:val="0"/>
                <w:color w:val="auto"/>
                <w:kern w:val="0"/>
                <w:sz w:val="24"/>
                <w:szCs w:val="24"/>
                <w:highlight w:val="none"/>
              </w:rPr>
              <w:t>核减</w:t>
            </w:r>
          </w:p>
        </w:tc>
        <w:tc>
          <w:tcPr>
            <w:tcW w:w="1944" w:type="dxa"/>
            <w:noWrap w:val="0"/>
            <w:vAlign w:val="center"/>
          </w:tcPr>
          <w:p w14:paraId="08366426">
            <w:pPr>
              <w:widowControl/>
              <w:spacing w:line="400" w:lineRule="exact"/>
              <w:jc w:val="center"/>
              <w:rPr>
                <w:rFonts w:hint="eastAsia" w:ascii="宋体" w:hAnsi="宋体" w:cs="宋体"/>
                <w:b/>
                <w:bCs/>
                <w:color w:val="auto"/>
                <w:kern w:val="0"/>
                <w:sz w:val="24"/>
                <w:szCs w:val="24"/>
                <w:highlight w:val="none"/>
              </w:rPr>
            </w:pPr>
          </w:p>
        </w:tc>
      </w:tr>
      <w:tr w14:paraId="75372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776" w:type="dxa"/>
            <w:noWrap w:val="0"/>
            <w:vAlign w:val="center"/>
          </w:tcPr>
          <w:p w14:paraId="21BD3BB5">
            <w:pPr>
              <w:widowControl/>
              <w:spacing w:line="400" w:lineRule="exact"/>
              <w:jc w:val="center"/>
              <w:rPr>
                <w:rFonts w:hint="eastAsia" w:ascii="黑体" w:hAnsi="黑体" w:eastAsia="黑体" w:cs="黑体"/>
                <w:b w:val="0"/>
                <w:bCs w:val="0"/>
                <w:color w:val="auto"/>
                <w:kern w:val="0"/>
                <w:sz w:val="24"/>
                <w:szCs w:val="24"/>
                <w:highlight w:val="none"/>
              </w:rPr>
            </w:pPr>
            <w:r>
              <w:rPr>
                <w:rFonts w:hint="eastAsia" w:ascii="黑体" w:hAnsi="黑体" w:eastAsia="黑体" w:cs="黑体"/>
                <w:b w:val="0"/>
                <w:bCs w:val="0"/>
                <w:color w:val="auto"/>
                <w:kern w:val="0"/>
                <w:sz w:val="24"/>
                <w:szCs w:val="24"/>
                <w:highlight w:val="none"/>
              </w:rPr>
              <w:t>审定金额(元)</w:t>
            </w:r>
          </w:p>
        </w:tc>
        <w:tc>
          <w:tcPr>
            <w:tcW w:w="1354" w:type="dxa"/>
            <w:noWrap w:val="0"/>
            <w:vAlign w:val="center"/>
          </w:tcPr>
          <w:p w14:paraId="7F9622E5">
            <w:pPr>
              <w:widowControl/>
              <w:spacing w:line="400" w:lineRule="exact"/>
              <w:jc w:val="center"/>
              <w:rPr>
                <w:rFonts w:hint="eastAsia" w:ascii="楷体_GB2312" w:hAnsi="楷体_GB2312" w:eastAsia="楷体_GB2312" w:cs="楷体_GB2312"/>
                <w:b w:val="0"/>
                <w:bCs w:val="0"/>
                <w:color w:val="auto"/>
                <w:kern w:val="0"/>
                <w:sz w:val="24"/>
                <w:szCs w:val="24"/>
                <w:highlight w:val="none"/>
              </w:rPr>
            </w:pPr>
            <w:r>
              <w:rPr>
                <w:rFonts w:hint="eastAsia" w:ascii="楷体_GB2312" w:hAnsi="楷体_GB2312" w:eastAsia="楷体_GB2312" w:cs="楷体_GB2312"/>
                <w:b w:val="0"/>
                <w:bCs w:val="0"/>
                <w:color w:val="auto"/>
                <w:kern w:val="0"/>
                <w:sz w:val="24"/>
                <w:szCs w:val="24"/>
                <w:highlight w:val="none"/>
              </w:rPr>
              <w:t>大写</w:t>
            </w:r>
          </w:p>
        </w:tc>
        <w:tc>
          <w:tcPr>
            <w:tcW w:w="3362" w:type="dxa"/>
            <w:gridSpan w:val="2"/>
            <w:noWrap w:val="0"/>
            <w:vAlign w:val="center"/>
          </w:tcPr>
          <w:p w14:paraId="3B3C4763">
            <w:pPr>
              <w:widowControl/>
              <w:spacing w:line="400" w:lineRule="exact"/>
              <w:jc w:val="center"/>
              <w:rPr>
                <w:rFonts w:hint="eastAsia" w:ascii="楷体_GB2312" w:hAnsi="楷体_GB2312" w:eastAsia="楷体_GB2312" w:cs="楷体_GB2312"/>
                <w:b w:val="0"/>
                <w:bCs w:val="0"/>
                <w:color w:val="auto"/>
                <w:kern w:val="0"/>
                <w:sz w:val="24"/>
                <w:szCs w:val="24"/>
                <w:highlight w:val="none"/>
              </w:rPr>
            </w:pPr>
            <w:r>
              <w:rPr>
                <w:rFonts w:hint="eastAsia" w:ascii="楷体_GB2312" w:hAnsi="楷体_GB2312" w:eastAsia="楷体_GB2312" w:cs="楷体_GB2312"/>
                <w:b w:val="0"/>
                <w:bCs w:val="0"/>
                <w:color w:val="auto"/>
                <w:kern w:val="0"/>
                <w:sz w:val="24"/>
                <w:highlight w:val="none"/>
                <w:lang w:val="en-US" w:eastAsia="zh-CN"/>
              </w:rPr>
              <w:t>人民币           元整</w:t>
            </w:r>
          </w:p>
        </w:tc>
        <w:tc>
          <w:tcPr>
            <w:tcW w:w="1057" w:type="dxa"/>
            <w:noWrap w:val="0"/>
            <w:vAlign w:val="center"/>
          </w:tcPr>
          <w:p w14:paraId="4BEFC100">
            <w:pPr>
              <w:widowControl/>
              <w:spacing w:line="400" w:lineRule="exact"/>
              <w:jc w:val="center"/>
              <w:rPr>
                <w:rFonts w:hint="eastAsia" w:ascii="楷体_GB2312" w:hAnsi="楷体_GB2312" w:eastAsia="楷体_GB2312" w:cs="楷体_GB2312"/>
                <w:b w:val="0"/>
                <w:bCs w:val="0"/>
                <w:color w:val="auto"/>
                <w:kern w:val="0"/>
                <w:sz w:val="24"/>
                <w:szCs w:val="24"/>
                <w:highlight w:val="none"/>
              </w:rPr>
            </w:pPr>
            <w:r>
              <w:rPr>
                <w:rFonts w:hint="eastAsia" w:ascii="楷体_GB2312" w:hAnsi="楷体_GB2312" w:eastAsia="楷体_GB2312" w:cs="楷体_GB2312"/>
                <w:b w:val="0"/>
                <w:bCs w:val="0"/>
                <w:color w:val="auto"/>
                <w:kern w:val="0"/>
                <w:sz w:val="24"/>
                <w:szCs w:val="24"/>
                <w:highlight w:val="none"/>
              </w:rPr>
              <w:t>小写</w:t>
            </w:r>
          </w:p>
        </w:tc>
        <w:tc>
          <w:tcPr>
            <w:tcW w:w="1944" w:type="dxa"/>
            <w:noWrap w:val="0"/>
            <w:vAlign w:val="center"/>
          </w:tcPr>
          <w:p w14:paraId="6750FA5D">
            <w:pPr>
              <w:widowControl/>
              <w:spacing w:line="400" w:lineRule="exact"/>
              <w:jc w:val="both"/>
              <w:rPr>
                <w:rFonts w:hint="eastAsia" w:ascii="楷体_GB2312" w:hAnsi="楷体_GB2312" w:eastAsia="楷体_GB2312" w:cs="楷体_GB2312"/>
                <w:b w:val="0"/>
                <w:bCs w:val="0"/>
                <w:color w:val="auto"/>
                <w:kern w:val="0"/>
                <w:sz w:val="24"/>
                <w:szCs w:val="24"/>
                <w:highlight w:val="none"/>
              </w:rPr>
            </w:pPr>
            <w:r>
              <w:rPr>
                <w:rFonts w:hint="eastAsia" w:ascii="楷体_GB2312" w:hAnsi="楷体_GB2312" w:eastAsia="楷体_GB2312" w:cs="楷体_GB2312"/>
                <w:b w:val="0"/>
                <w:bCs w:val="0"/>
                <w:color w:val="auto"/>
                <w:kern w:val="0"/>
                <w:sz w:val="24"/>
                <w:highlight w:val="none"/>
                <w:u w:val="none"/>
              </w:rPr>
              <w:t>￥</w:t>
            </w:r>
          </w:p>
        </w:tc>
      </w:tr>
      <w:tr w14:paraId="581EE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0" w:hRule="atLeast"/>
          <w:jc w:val="center"/>
        </w:trPr>
        <w:tc>
          <w:tcPr>
            <w:tcW w:w="4693" w:type="dxa"/>
            <w:gridSpan w:val="3"/>
            <w:noWrap w:val="0"/>
            <w:vAlign w:val="top"/>
          </w:tcPr>
          <w:p w14:paraId="09FE503B">
            <w:pPr>
              <w:widowControl/>
              <w:spacing w:line="400" w:lineRule="exact"/>
              <w:rPr>
                <w:rFonts w:hint="eastAsia" w:ascii="楷体_GB2312" w:hAnsi="楷体_GB2312" w:eastAsia="楷体_GB2312" w:cs="楷体_GB2312"/>
                <w:b w:val="0"/>
                <w:bCs w:val="0"/>
                <w:color w:val="auto"/>
                <w:kern w:val="0"/>
                <w:sz w:val="24"/>
                <w:szCs w:val="24"/>
                <w:highlight w:val="none"/>
              </w:rPr>
            </w:pPr>
            <w:r>
              <w:rPr>
                <w:rFonts w:hint="eastAsia" w:ascii="楷体_GB2312" w:hAnsi="楷体_GB2312" w:eastAsia="楷体_GB2312" w:cs="楷体_GB2312"/>
                <w:b w:val="0"/>
                <w:bCs w:val="0"/>
                <w:color w:val="auto"/>
                <w:kern w:val="0"/>
                <w:sz w:val="24"/>
                <w:szCs w:val="24"/>
                <w:highlight w:val="none"/>
                <w:lang w:eastAsia="zh-CN"/>
              </w:rPr>
              <w:t>施工单位</w:t>
            </w:r>
            <w:r>
              <w:rPr>
                <w:rFonts w:hint="eastAsia" w:ascii="楷体_GB2312" w:hAnsi="楷体_GB2312" w:eastAsia="楷体_GB2312" w:cs="楷体_GB2312"/>
                <w:b w:val="0"/>
                <w:bCs w:val="0"/>
                <w:color w:val="auto"/>
                <w:kern w:val="0"/>
                <w:sz w:val="24"/>
                <w:szCs w:val="24"/>
                <w:highlight w:val="none"/>
              </w:rPr>
              <w:t>：</w:t>
            </w:r>
          </w:p>
          <w:p w14:paraId="68B95E91">
            <w:pPr>
              <w:widowControl/>
              <w:spacing w:line="400" w:lineRule="exact"/>
              <w:rPr>
                <w:rFonts w:hint="eastAsia" w:ascii="楷体_GB2312" w:hAnsi="楷体_GB2312" w:eastAsia="楷体_GB2312" w:cs="楷体_GB2312"/>
                <w:b w:val="0"/>
                <w:bCs w:val="0"/>
                <w:color w:val="auto"/>
                <w:kern w:val="0"/>
                <w:sz w:val="24"/>
                <w:szCs w:val="24"/>
                <w:highlight w:val="none"/>
              </w:rPr>
            </w:pPr>
            <w:r>
              <w:rPr>
                <w:rFonts w:hint="eastAsia" w:ascii="楷体_GB2312" w:hAnsi="楷体_GB2312" w:eastAsia="楷体_GB2312" w:cs="楷体_GB2312"/>
                <w:b w:val="0"/>
                <w:bCs w:val="0"/>
                <w:color w:val="auto"/>
                <w:kern w:val="0"/>
                <w:sz w:val="24"/>
                <w:szCs w:val="24"/>
                <w:highlight w:val="none"/>
              </w:rPr>
              <w:t>（</w:t>
            </w:r>
            <w:r>
              <w:rPr>
                <w:rFonts w:hint="eastAsia" w:ascii="楷体_GB2312" w:hAnsi="楷体_GB2312" w:eastAsia="楷体_GB2312" w:cs="楷体_GB2312"/>
                <w:b w:val="0"/>
                <w:bCs w:val="0"/>
                <w:color w:val="auto"/>
                <w:kern w:val="0"/>
                <w:sz w:val="24"/>
                <w:szCs w:val="24"/>
                <w:highlight w:val="none"/>
                <w:lang w:eastAsia="zh-CN"/>
              </w:rPr>
              <w:t>公</w:t>
            </w:r>
            <w:r>
              <w:rPr>
                <w:rFonts w:hint="eastAsia" w:ascii="楷体_GB2312" w:hAnsi="楷体_GB2312" w:eastAsia="楷体_GB2312" w:cs="楷体_GB2312"/>
                <w:b w:val="0"/>
                <w:bCs w:val="0"/>
                <w:color w:val="auto"/>
                <w:kern w:val="0"/>
                <w:sz w:val="24"/>
                <w:szCs w:val="24"/>
                <w:highlight w:val="none"/>
              </w:rPr>
              <w:t>章）</w:t>
            </w:r>
          </w:p>
          <w:p w14:paraId="65F45BBE">
            <w:pPr>
              <w:widowControl/>
              <w:spacing w:line="400" w:lineRule="exact"/>
              <w:rPr>
                <w:rFonts w:hint="eastAsia" w:ascii="楷体_GB2312" w:hAnsi="楷体_GB2312" w:eastAsia="楷体_GB2312" w:cs="楷体_GB2312"/>
                <w:b w:val="0"/>
                <w:bCs w:val="0"/>
                <w:color w:val="auto"/>
                <w:kern w:val="0"/>
                <w:sz w:val="24"/>
                <w:szCs w:val="24"/>
                <w:highlight w:val="none"/>
              </w:rPr>
            </w:pPr>
          </w:p>
          <w:p w14:paraId="5DFD45E4">
            <w:pPr>
              <w:widowControl/>
              <w:spacing w:line="400" w:lineRule="exact"/>
              <w:rPr>
                <w:rFonts w:hint="eastAsia" w:ascii="楷体_GB2312" w:hAnsi="楷体_GB2312" w:eastAsia="楷体_GB2312" w:cs="楷体_GB2312"/>
                <w:b w:val="0"/>
                <w:bCs w:val="0"/>
                <w:color w:val="auto"/>
                <w:kern w:val="0"/>
                <w:sz w:val="24"/>
                <w:szCs w:val="24"/>
                <w:highlight w:val="none"/>
              </w:rPr>
            </w:pPr>
          </w:p>
          <w:p w14:paraId="270568FC">
            <w:pPr>
              <w:widowControl/>
              <w:spacing w:line="400" w:lineRule="exact"/>
              <w:rPr>
                <w:rFonts w:hint="eastAsia" w:ascii="楷体_GB2312" w:hAnsi="楷体_GB2312" w:eastAsia="楷体_GB2312" w:cs="楷体_GB2312"/>
                <w:b w:val="0"/>
                <w:bCs w:val="0"/>
                <w:color w:val="auto"/>
                <w:kern w:val="0"/>
                <w:sz w:val="24"/>
                <w:szCs w:val="24"/>
                <w:highlight w:val="none"/>
              </w:rPr>
            </w:pPr>
            <w:r>
              <w:rPr>
                <w:rFonts w:hint="eastAsia" w:ascii="楷体_GB2312" w:hAnsi="楷体_GB2312" w:eastAsia="楷体_GB2312" w:cs="楷体_GB2312"/>
                <w:b w:val="0"/>
                <w:bCs w:val="0"/>
                <w:color w:val="auto"/>
                <w:kern w:val="0"/>
                <w:sz w:val="24"/>
                <w:szCs w:val="24"/>
                <w:highlight w:val="none"/>
                <w:lang w:eastAsia="zh-CN"/>
              </w:rPr>
              <w:t>项目经理及造价负责人</w:t>
            </w:r>
            <w:r>
              <w:rPr>
                <w:rFonts w:hint="eastAsia" w:ascii="楷体_GB2312" w:hAnsi="楷体_GB2312" w:eastAsia="楷体_GB2312" w:cs="楷体_GB2312"/>
                <w:b w:val="0"/>
                <w:bCs w:val="0"/>
                <w:color w:val="auto"/>
                <w:kern w:val="0"/>
                <w:sz w:val="24"/>
                <w:szCs w:val="24"/>
                <w:highlight w:val="none"/>
              </w:rPr>
              <w:t>：</w:t>
            </w:r>
          </w:p>
          <w:p w14:paraId="79ED9EFF">
            <w:pPr>
              <w:widowControl/>
              <w:spacing w:line="400" w:lineRule="exact"/>
              <w:rPr>
                <w:rFonts w:hint="eastAsia" w:ascii="楷体_GB2312" w:hAnsi="楷体_GB2312" w:eastAsia="楷体_GB2312" w:cs="楷体_GB2312"/>
                <w:b w:val="0"/>
                <w:bCs w:val="0"/>
                <w:color w:val="auto"/>
                <w:kern w:val="0"/>
                <w:sz w:val="24"/>
                <w:szCs w:val="24"/>
                <w:highlight w:val="none"/>
              </w:rPr>
            </w:pPr>
            <w:r>
              <w:rPr>
                <w:rFonts w:hint="eastAsia" w:ascii="楷体_GB2312" w:hAnsi="楷体_GB2312" w:eastAsia="楷体_GB2312" w:cs="楷体_GB2312"/>
                <w:b w:val="0"/>
                <w:bCs w:val="0"/>
                <w:color w:val="auto"/>
                <w:kern w:val="0"/>
                <w:sz w:val="24"/>
                <w:szCs w:val="24"/>
                <w:highlight w:val="none"/>
              </w:rPr>
              <w:t>（签字）</w:t>
            </w:r>
          </w:p>
          <w:p w14:paraId="43C941C0">
            <w:pPr>
              <w:widowControl/>
              <w:spacing w:line="400" w:lineRule="exact"/>
              <w:jc w:val="right"/>
              <w:rPr>
                <w:rFonts w:hint="eastAsia" w:ascii="楷体_GB2312" w:hAnsi="楷体_GB2312" w:eastAsia="楷体_GB2312" w:cs="楷体_GB2312"/>
                <w:b w:val="0"/>
                <w:bCs w:val="0"/>
                <w:color w:val="auto"/>
                <w:kern w:val="0"/>
                <w:sz w:val="24"/>
                <w:szCs w:val="24"/>
                <w:highlight w:val="none"/>
              </w:rPr>
            </w:pPr>
            <w:r>
              <w:rPr>
                <w:rFonts w:hint="eastAsia" w:ascii="楷体_GB2312" w:hAnsi="楷体_GB2312" w:eastAsia="楷体_GB2312" w:cs="楷体_GB2312"/>
                <w:b w:val="0"/>
                <w:bCs w:val="0"/>
                <w:color w:val="auto"/>
                <w:kern w:val="0"/>
                <w:sz w:val="24"/>
                <w:szCs w:val="24"/>
                <w:highlight w:val="none"/>
              </w:rPr>
              <w:t xml:space="preserve">年  </w:t>
            </w:r>
            <w:r>
              <w:rPr>
                <w:rFonts w:hint="eastAsia" w:ascii="楷体_GB2312" w:hAnsi="楷体_GB2312" w:eastAsia="楷体_GB2312" w:cs="楷体_GB2312"/>
                <w:b w:val="0"/>
                <w:bCs w:val="0"/>
                <w:color w:val="auto"/>
                <w:kern w:val="0"/>
                <w:sz w:val="24"/>
                <w:szCs w:val="24"/>
                <w:highlight w:val="none"/>
                <w:lang w:val="en-US" w:eastAsia="zh-CN"/>
              </w:rPr>
              <w:t xml:space="preserve"> </w:t>
            </w:r>
            <w:r>
              <w:rPr>
                <w:rFonts w:hint="eastAsia" w:ascii="楷体_GB2312" w:hAnsi="楷体_GB2312" w:eastAsia="楷体_GB2312" w:cs="楷体_GB2312"/>
                <w:b w:val="0"/>
                <w:bCs w:val="0"/>
                <w:color w:val="auto"/>
                <w:kern w:val="0"/>
                <w:sz w:val="24"/>
                <w:szCs w:val="24"/>
                <w:highlight w:val="none"/>
              </w:rPr>
              <w:t xml:space="preserve"> 月  </w:t>
            </w:r>
            <w:r>
              <w:rPr>
                <w:rFonts w:hint="eastAsia" w:ascii="楷体_GB2312" w:hAnsi="楷体_GB2312" w:eastAsia="楷体_GB2312" w:cs="楷体_GB2312"/>
                <w:b w:val="0"/>
                <w:bCs w:val="0"/>
                <w:color w:val="auto"/>
                <w:kern w:val="0"/>
                <w:sz w:val="24"/>
                <w:szCs w:val="24"/>
                <w:highlight w:val="none"/>
                <w:lang w:val="en-US" w:eastAsia="zh-CN"/>
              </w:rPr>
              <w:t xml:space="preserve"> </w:t>
            </w:r>
            <w:r>
              <w:rPr>
                <w:rFonts w:hint="eastAsia" w:ascii="楷体_GB2312" w:hAnsi="楷体_GB2312" w:eastAsia="楷体_GB2312" w:cs="楷体_GB2312"/>
                <w:b w:val="0"/>
                <w:bCs w:val="0"/>
                <w:color w:val="auto"/>
                <w:kern w:val="0"/>
                <w:sz w:val="24"/>
                <w:szCs w:val="24"/>
                <w:highlight w:val="none"/>
              </w:rPr>
              <w:t xml:space="preserve"> 日</w:t>
            </w:r>
          </w:p>
        </w:tc>
        <w:tc>
          <w:tcPr>
            <w:tcW w:w="4800" w:type="dxa"/>
            <w:gridSpan w:val="3"/>
            <w:noWrap w:val="0"/>
            <w:vAlign w:val="top"/>
          </w:tcPr>
          <w:p w14:paraId="1C2188B8">
            <w:pPr>
              <w:widowControl/>
              <w:spacing w:line="400" w:lineRule="exact"/>
              <w:rPr>
                <w:rFonts w:hint="eastAsia" w:ascii="楷体_GB2312" w:hAnsi="楷体_GB2312" w:eastAsia="楷体_GB2312" w:cs="楷体_GB2312"/>
                <w:b w:val="0"/>
                <w:bCs w:val="0"/>
                <w:color w:val="auto"/>
                <w:kern w:val="0"/>
                <w:sz w:val="24"/>
                <w:szCs w:val="24"/>
                <w:highlight w:val="none"/>
              </w:rPr>
            </w:pPr>
            <w:r>
              <w:rPr>
                <w:rFonts w:hint="eastAsia" w:ascii="楷体_GB2312" w:hAnsi="楷体_GB2312" w:eastAsia="楷体_GB2312" w:cs="楷体_GB2312"/>
                <w:b w:val="0"/>
                <w:bCs w:val="0"/>
                <w:color w:val="auto"/>
                <w:kern w:val="0"/>
                <w:sz w:val="24"/>
                <w:szCs w:val="24"/>
                <w:highlight w:val="none"/>
                <w:lang w:eastAsia="zh-CN"/>
              </w:rPr>
              <w:t>造价咨询</w:t>
            </w:r>
            <w:r>
              <w:rPr>
                <w:rFonts w:hint="eastAsia" w:ascii="楷体_GB2312" w:hAnsi="楷体_GB2312" w:eastAsia="楷体_GB2312" w:cs="楷体_GB2312"/>
                <w:b w:val="0"/>
                <w:bCs w:val="0"/>
                <w:color w:val="auto"/>
                <w:kern w:val="0"/>
                <w:sz w:val="24"/>
                <w:szCs w:val="24"/>
                <w:highlight w:val="none"/>
              </w:rPr>
              <w:t>单位：</w:t>
            </w:r>
          </w:p>
          <w:p w14:paraId="38BEB6B3">
            <w:pPr>
              <w:widowControl/>
              <w:spacing w:line="400" w:lineRule="exact"/>
              <w:rPr>
                <w:rFonts w:hint="eastAsia" w:ascii="楷体_GB2312" w:hAnsi="楷体_GB2312" w:eastAsia="楷体_GB2312" w:cs="楷体_GB2312"/>
                <w:b w:val="0"/>
                <w:bCs w:val="0"/>
                <w:color w:val="auto"/>
                <w:kern w:val="0"/>
                <w:sz w:val="24"/>
                <w:szCs w:val="24"/>
                <w:highlight w:val="none"/>
              </w:rPr>
            </w:pPr>
            <w:r>
              <w:rPr>
                <w:rFonts w:hint="eastAsia" w:ascii="楷体_GB2312" w:hAnsi="楷体_GB2312" w:eastAsia="楷体_GB2312" w:cs="楷体_GB2312"/>
                <w:b w:val="0"/>
                <w:bCs w:val="0"/>
                <w:color w:val="auto"/>
                <w:kern w:val="0"/>
                <w:sz w:val="24"/>
                <w:szCs w:val="24"/>
                <w:highlight w:val="none"/>
              </w:rPr>
              <w:t>（</w:t>
            </w:r>
            <w:r>
              <w:rPr>
                <w:rFonts w:hint="eastAsia" w:ascii="楷体_GB2312" w:hAnsi="楷体_GB2312" w:eastAsia="楷体_GB2312" w:cs="楷体_GB2312"/>
                <w:b w:val="0"/>
                <w:bCs w:val="0"/>
                <w:color w:val="auto"/>
                <w:kern w:val="0"/>
                <w:sz w:val="24"/>
                <w:szCs w:val="24"/>
                <w:highlight w:val="none"/>
                <w:lang w:eastAsia="zh-CN"/>
              </w:rPr>
              <w:t>公</w:t>
            </w:r>
            <w:r>
              <w:rPr>
                <w:rFonts w:hint="eastAsia" w:ascii="楷体_GB2312" w:hAnsi="楷体_GB2312" w:eastAsia="楷体_GB2312" w:cs="楷体_GB2312"/>
                <w:b w:val="0"/>
                <w:bCs w:val="0"/>
                <w:color w:val="auto"/>
                <w:kern w:val="0"/>
                <w:sz w:val="24"/>
                <w:szCs w:val="24"/>
                <w:highlight w:val="none"/>
              </w:rPr>
              <w:t>章）</w:t>
            </w:r>
          </w:p>
          <w:p w14:paraId="14ECC4AA">
            <w:pPr>
              <w:widowControl/>
              <w:spacing w:line="400" w:lineRule="exact"/>
              <w:rPr>
                <w:rFonts w:hint="eastAsia" w:ascii="楷体_GB2312" w:hAnsi="楷体_GB2312" w:eastAsia="楷体_GB2312" w:cs="楷体_GB2312"/>
                <w:b w:val="0"/>
                <w:bCs w:val="0"/>
                <w:color w:val="auto"/>
                <w:kern w:val="0"/>
                <w:sz w:val="24"/>
                <w:szCs w:val="24"/>
                <w:highlight w:val="none"/>
                <w:lang w:eastAsia="zh-CN"/>
              </w:rPr>
            </w:pPr>
          </w:p>
          <w:p w14:paraId="39D55CC0">
            <w:pPr>
              <w:widowControl/>
              <w:spacing w:line="400" w:lineRule="exact"/>
              <w:rPr>
                <w:rFonts w:hint="eastAsia" w:ascii="楷体_GB2312" w:hAnsi="楷体_GB2312" w:eastAsia="楷体_GB2312" w:cs="楷体_GB2312"/>
                <w:b w:val="0"/>
                <w:bCs w:val="0"/>
                <w:color w:val="auto"/>
                <w:kern w:val="0"/>
                <w:sz w:val="24"/>
                <w:szCs w:val="24"/>
                <w:highlight w:val="none"/>
                <w:lang w:eastAsia="zh-CN"/>
              </w:rPr>
            </w:pPr>
            <w:r>
              <w:rPr>
                <w:rFonts w:hint="eastAsia" w:ascii="楷体_GB2312" w:hAnsi="楷体_GB2312" w:eastAsia="楷体_GB2312" w:cs="楷体_GB2312"/>
                <w:b w:val="0"/>
                <w:bCs w:val="0"/>
                <w:color w:val="auto"/>
                <w:kern w:val="0"/>
                <w:sz w:val="24"/>
                <w:szCs w:val="24"/>
                <w:highlight w:val="none"/>
                <w:lang w:eastAsia="zh-CN"/>
              </w:rPr>
              <w:t>编制人：</w:t>
            </w:r>
          </w:p>
          <w:p w14:paraId="354385C4">
            <w:pPr>
              <w:widowControl/>
              <w:spacing w:line="400" w:lineRule="exact"/>
              <w:rPr>
                <w:rFonts w:hint="eastAsia" w:ascii="楷体_GB2312" w:hAnsi="楷体_GB2312" w:eastAsia="楷体_GB2312" w:cs="楷体_GB2312"/>
                <w:b w:val="0"/>
                <w:bCs w:val="0"/>
                <w:color w:val="auto"/>
                <w:kern w:val="0"/>
                <w:sz w:val="24"/>
                <w:szCs w:val="24"/>
                <w:highlight w:val="none"/>
              </w:rPr>
            </w:pPr>
            <w:r>
              <w:rPr>
                <w:rFonts w:hint="eastAsia" w:ascii="楷体_GB2312" w:hAnsi="楷体_GB2312" w:eastAsia="楷体_GB2312" w:cs="楷体_GB2312"/>
                <w:b w:val="0"/>
                <w:bCs w:val="0"/>
                <w:color w:val="auto"/>
                <w:kern w:val="0"/>
                <w:sz w:val="24"/>
                <w:szCs w:val="24"/>
                <w:highlight w:val="none"/>
                <w:lang w:eastAsia="zh-CN"/>
              </w:rPr>
              <w:t>审核人（一级注册造价师）</w:t>
            </w:r>
            <w:r>
              <w:rPr>
                <w:rFonts w:hint="eastAsia" w:ascii="楷体_GB2312" w:hAnsi="楷体_GB2312" w:eastAsia="楷体_GB2312" w:cs="楷体_GB2312"/>
                <w:b w:val="0"/>
                <w:bCs w:val="0"/>
                <w:color w:val="auto"/>
                <w:kern w:val="0"/>
                <w:sz w:val="24"/>
                <w:szCs w:val="24"/>
                <w:highlight w:val="none"/>
              </w:rPr>
              <w:t>：</w:t>
            </w:r>
          </w:p>
          <w:p w14:paraId="16096273">
            <w:pPr>
              <w:widowControl/>
              <w:spacing w:line="400" w:lineRule="exact"/>
              <w:rPr>
                <w:rFonts w:hint="eastAsia" w:ascii="楷体_GB2312" w:hAnsi="楷体_GB2312" w:eastAsia="楷体_GB2312" w:cs="楷体_GB2312"/>
                <w:b w:val="0"/>
                <w:bCs w:val="0"/>
                <w:color w:val="auto"/>
                <w:kern w:val="0"/>
                <w:sz w:val="24"/>
                <w:szCs w:val="24"/>
                <w:highlight w:val="none"/>
              </w:rPr>
            </w:pPr>
            <w:r>
              <w:rPr>
                <w:rFonts w:hint="eastAsia" w:ascii="楷体_GB2312" w:hAnsi="楷体_GB2312" w:eastAsia="楷体_GB2312" w:cs="楷体_GB2312"/>
                <w:b w:val="0"/>
                <w:bCs w:val="0"/>
                <w:color w:val="auto"/>
                <w:kern w:val="0"/>
                <w:sz w:val="24"/>
                <w:szCs w:val="24"/>
                <w:highlight w:val="none"/>
              </w:rPr>
              <w:t>（签字）</w:t>
            </w:r>
          </w:p>
          <w:p w14:paraId="7D68B283">
            <w:pPr>
              <w:widowControl/>
              <w:spacing w:line="400" w:lineRule="exact"/>
              <w:jc w:val="right"/>
              <w:rPr>
                <w:rFonts w:hint="eastAsia" w:ascii="楷体_GB2312" w:hAnsi="楷体_GB2312" w:eastAsia="楷体_GB2312" w:cs="楷体_GB2312"/>
                <w:b w:val="0"/>
                <w:bCs w:val="0"/>
                <w:color w:val="auto"/>
                <w:kern w:val="0"/>
                <w:sz w:val="24"/>
                <w:szCs w:val="24"/>
                <w:highlight w:val="none"/>
              </w:rPr>
            </w:pPr>
            <w:r>
              <w:rPr>
                <w:rFonts w:hint="eastAsia" w:ascii="楷体_GB2312" w:hAnsi="楷体_GB2312" w:eastAsia="楷体_GB2312" w:cs="楷体_GB2312"/>
                <w:b w:val="0"/>
                <w:bCs w:val="0"/>
                <w:color w:val="auto"/>
                <w:kern w:val="0"/>
                <w:sz w:val="24"/>
                <w:szCs w:val="24"/>
                <w:highlight w:val="none"/>
              </w:rPr>
              <w:t xml:space="preserve">年 </w:t>
            </w:r>
            <w:r>
              <w:rPr>
                <w:rFonts w:hint="eastAsia" w:ascii="楷体_GB2312" w:hAnsi="楷体_GB2312" w:eastAsia="楷体_GB2312" w:cs="楷体_GB2312"/>
                <w:b w:val="0"/>
                <w:bCs w:val="0"/>
                <w:color w:val="auto"/>
                <w:kern w:val="0"/>
                <w:sz w:val="24"/>
                <w:szCs w:val="24"/>
                <w:highlight w:val="none"/>
                <w:lang w:val="en-US" w:eastAsia="zh-CN"/>
              </w:rPr>
              <w:t xml:space="preserve"> </w:t>
            </w:r>
            <w:r>
              <w:rPr>
                <w:rFonts w:hint="eastAsia" w:ascii="楷体_GB2312" w:hAnsi="楷体_GB2312" w:eastAsia="楷体_GB2312" w:cs="楷体_GB2312"/>
                <w:b w:val="0"/>
                <w:bCs w:val="0"/>
                <w:color w:val="auto"/>
                <w:kern w:val="0"/>
                <w:sz w:val="24"/>
                <w:szCs w:val="24"/>
                <w:highlight w:val="none"/>
              </w:rPr>
              <w:t xml:space="preserve">  月</w:t>
            </w:r>
            <w:r>
              <w:rPr>
                <w:rFonts w:hint="eastAsia" w:ascii="楷体_GB2312" w:hAnsi="楷体_GB2312" w:eastAsia="楷体_GB2312" w:cs="楷体_GB2312"/>
                <w:b w:val="0"/>
                <w:bCs w:val="0"/>
                <w:color w:val="auto"/>
                <w:kern w:val="0"/>
                <w:sz w:val="24"/>
                <w:szCs w:val="24"/>
                <w:highlight w:val="none"/>
                <w:lang w:val="en-US" w:eastAsia="zh-CN"/>
              </w:rPr>
              <w:t xml:space="preserve"> </w:t>
            </w:r>
            <w:r>
              <w:rPr>
                <w:rFonts w:hint="eastAsia" w:ascii="楷体_GB2312" w:hAnsi="楷体_GB2312" w:eastAsia="楷体_GB2312" w:cs="楷体_GB2312"/>
                <w:b w:val="0"/>
                <w:bCs w:val="0"/>
                <w:color w:val="auto"/>
                <w:kern w:val="0"/>
                <w:sz w:val="24"/>
                <w:szCs w:val="24"/>
                <w:highlight w:val="none"/>
              </w:rPr>
              <w:t xml:space="preserve">   日</w:t>
            </w:r>
          </w:p>
        </w:tc>
      </w:tr>
    </w:tbl>
    <w:p w14:paraId="178455BE">
      <w:pPr>
        <w:snapToGrid w:val="0"/>
        <w:spacing w:line="360" w:lineRule="auto"/>
        <w:rPr>
          <w:rFonts w:hint="eastAsia" w:ascii="楷体_GB2312" w:hAnsi="楷体_GB2312" w:eastAsia="楷体_GB2312" w:cs="楷体_GB2312"/>
          <w:color w:val="auto"/>
          <w:sz w:val="18"/>
          <w:szCs w:val="18"/>
          <w:highlight w:val="none"/>
        </w:rPr>
      </w:pPr>
      <w:r>
        <w:rPr>
          <w:rFonts w:hint="eastAsia" w:ascii="楷体_GB2312" w:hAnsi="楷体_GB2312" w:eastAsia="楷体_GB2312" w:cs="楷体_GB2312"/>
          <w:color w:val="auto"/>
          <w:sz w:val="18"/>
          <w:szCs w:val="18"/>
          <w:highlight w:val="none"/>
        </w:rPr>
        <w:t>注：1.结算审核资料及内容：主要明确结算</w:t>
      </w:r>
      <w:r>
        <w:rPr>
          <w:rFonts w:hint="eastAsia" w:ascii="楷体_GB2312" w:hAnsi="楷体_GB2312" w:eastAsia="楷体_GB2312" w:cs="楷体_GB2312"/>
          <w:color w:val="auto"/>
          <w:sz w:val="18"/>
          <w:szCs w:val="18"/>
          <w:highlight w:val="none"/>
          <w:lang w:val="en-US" w:eastAsia="zh-CN"/>
        </w:rPr>
        <w:t>变更的</w:t>
      </w:r>
      <w:r>
        <w:rPr>
          <w:rFonts w:hint="eastAsia" w:ascii="楷体_GB2312" w:hAnsi="楷体_GB2312" w:eastAsia="楷体_GB2312" w:cs="楷体_GB2312"/>
          <w:color w:val="auto"/>
          <w:sz w:val="18"/>
          <w:szCs w:val="18"/>
          <w:highlight w:val="none"/>
        </w:rPr>
        <w:t>类型以及对应编号</w:t>
      </w:r>
      <w:r>
        <w:rPr>
          <w:rFonts w:hint="eastAsia" w:ascii="楷体_GB2312" w:hAnsi="楷体_GB2312" w:eastAsia="楷体_GB2312" w:cs="楷体_GB2312"/>
          <w:color w:val="auto"/>
          <w:sz w:val="18"/>
          <w:szCs w:val="18"/>
          <w:highlight w:val="none"/>
          <w:lang w:eastAsia="zh-CN"/>
        </w:rPr>
        <w:t>；</w:t>
      </w:r>
    </w:p>
    <w:p w14:paraId="3B697DAA">
      <w:pPr>
        <w:snapToGrid w:val="0"/>
        <w:spacing w:line="360" w:lineRule="auto"/>
        <w:ind w:firstLine="360" w:firstLineChars="200"/>
        <w:rPr>
          <w:rFonts w:hint="eastAsia" w:ascii="楷体_GB2312" w:hAnsi="楷体_GB2312" w:eastAsia="楷体_GB2312" w:cs="楷体_GB2312"/>
          <w:color w:val="auto"/>
          <w:sz w:val="18"/>
          <w:szCs w:val="18"/>
          <w:highlight w:val="none"/>
        </w:rPr>
      </w:pPr>
      <w:r>
        <w:rPr>
          <w:rFonts w:hint="eastAsia" w:ascii="楷体_GB2312" w:hAnsi="楷体_GB2312" w:eastAsia="楷体_GB2312" w:cs="楷体_GB2312"/>
          <w:color w:val="auto"/>
          <w:sz w:val="18"/>
          <w:szCs w:val="18"/>
          <w:highlight w:val="none"/>
        </w:rPr>
        <w:t>2.结算说明：用简短文字描述本次结算审核的主要情况以及需要重点明确的事项</w:t>
      </w:r>
      <w:r>
        <w:rPr>
          <w:rFonts w:hint="eastAsia" w:ascii="楷体_GB2312" w:hAnsi="楷体_GB2312" w:eastAsia="楷体_GB2312" w:cs="楷体_GB2312"/>
          <w:color w:val="auto"/>
          <w:sz w:val="18"/>
          <w:szCs w:val="18"/>
          <w:highlight w:val="none"/>
          <w:lang w:eastAsia="zh-CN"/>
        </w:rPr>
        <w:t>；</w:t>
      </w:r>
    </w:p>
    <w:p w14:paraId="6F708AF9">
      <w:pPr>
        <w:snapToGrid w:val="0"/>
        <w:spacing w:line="360" w:lineRule="auto"/>
        <w:ind w:firstLine="360" w:firstLineChars="200"/>
        <w:rPr>
          <w:rFonts w:hint="eastAsia" w:ascii="楷体_GB2312" w:hAnsi="楷体_GB2312" w:eastAsia="楷体_GB2312" w:cs="楷体_GB2312"/>
          <w:color w:val="auto"/>
          <w:sz w:val="18"/>
          <w:szCs w:val="18"/>
          <w:highlight w:val="none"/>
        </w:rPr>
      </w:pPr>
      <w:r>
        <w:rPr>
          <w:rFonts w:hint="eastAsia" w:ascii="楷体_GB2312" w:hAnsi="楷体_GB2312" w:eastAsia="楷体_GB2312" w:cs="楷体_GB2312"/>
          <w:color w:val="auto"/>
          <w:sz w:val="18"/>
          <w:szCs w:val="18"/>
          <w:highlight w:val="none"/>
        </w:rPr>
        <w:t>3.需甩项的结算争议问题：在结算审核过程中因双方意见不同存在争议的问题，并且在短期内无法得出结论时，为不影响整体工程变更的审计结算进度，本次结算要做甩项处理，并在此处明确争议问题详情以及双方的不同意见。</w:t>
      </w:r>
    </w:p>
    <w:p w14:paraId="209D0827">
      <w:pPr>
        <w:snapToGrid w:val="0"/>
        <w:spacing w:line="360" w:lineRule="auto"/>
        <w:ind w:firstLine="360" w:firstLineChars="200"/>
        <w:rPr>
          <w:rFonts w:hint="eastAsia" w:ascii="楷体_GB2312" w:hAnsi="楷体_GB2312" w:eastAsia="楷体_GB2312" w:cs="楷体_GB2312"/>
          <w:color w:val="auto"/>
          <w:sz w:val="18"/>
          <w:szCs w:val="18"/>
          <w:highlight w:val="none"/>
        </w:rPr>
      </w:pPr>
      <w:r>
        <w:rPr>
          <w:rFonts w:hint="eastAsia" w:ascii="楷体_GB2312" w:hAnsi="楷体_GB2312" w:eastAsia="楷体_GB2312" w:cs="楷体_GB2312"/>
          <w:color w:val="auto"/>
          <w:sz w:val="18"/>
          <w:szCs w:val="18"/>
          <w:highlight w:val="none"/>
        </w:rPr>
        <w:t>4.调整金额=报审结算金额-审定结算金额。</w:t>
      </w:r>
    </w:p>
    <w:p w14:paraId="69AED74C">
      <w:pPr>
        <w:pStyle w:val="12"/>
        <w:rPr>
          <w:rFonts w:hint="eastAsia" w:ascii="黑体" w:hAnsi="黑体" w:eastAsia="黑体" w:cs="黑体"/>
          <w:b w:val="0"/>
          <w:bCs w:val="0"/>
          <w:color w:val="auto"/>
          <w:spacing w:val="0"/>
          <w:sz w:val="28"/>
          <w:szCs w:val="28"/>
          <w:highlight w:val="none"/>
          <w:lang w:eastAsia="zh-CN"/>
        </w:rPr>
      </w:pPr>
    </w:p>
    <w:p w14:paraId="075F7A63">
      <w:pPr>
        <w:pStyle w:val="12"/>
        <w:rPr>
          <w:rFonts w:hint="eastAsia" w:ascii="黑体" w:hAnsi="黑体" w:eastAsia="黑体" w:cs="黑体"/>
          <w:b w:val="0"/>
          <w:bCs w:val="0"/>
          <w:color w:val="auto"/>
          <w:spacing w:val="0"/>
          <w:sz w:val="28"/>
          <w:szCs w:val="28"/>
          <w:highlight w:val="none"/>
          <w:lang w:eastAsia="zh-CN"/>
        </w:rPr>
      </w:pPr>
      <w:r>
        <w:rPr>
          <w:rFonts w:hint="eastAsia" w:ascii="黑体" w:hAnsi="黑体" w:eastAsia="黑体" w:cs="黑体"/>
          <w:b w:val="0"/>
          <w:bCs w:val="0"/>
          <w:color w:val="auto"/>
          <w:spacing w:val="0"/>
          <w:sz w:val="28"/>
          <w:szCs w:val="28"/>
          <w:highlight w:val="none"/>
          <w:lang w:eastAsia="zh-CN"/>
        </w:rPr>
        <w:t>附件</w:t>
      </w:r>
      <w:r>
        <w:rPr>
          <w:rFonts w:hint="eastAsia" w:ascii="黑体" w:hAnsi="黑体" w:eastAsia="黑体" w:cs="黑体"/>
          <w:b w:val="0"/>
          <w:bCs w:val="0"/>
          <w:color w:val="auto"/>
          <w:spacing w:val="0"/>
          <w:sz w:val="28"/>
          <w:szCs w:val="28"/>
          <w:highlight w:val="none"/>
          <w:lang w:val="en-US" w:eastAsia="zh-CN"/>
        </w:rPr>
        <w:t>10</w:t>
      </w:r>
    </w:p>
    <w:p w14:paraId="5FE5A66F">
      <w:pPr>
        <w:spacing w:line="560" w:lineRule="exact"/>
        <w:jc w:val="center"/>
        <w:rPr>
          <w:rFonts w:hint="eastAsia" w:ascii="方正小标宋简体" w:hAnsi="方正小标宋简体" w:eastAsia="方正小标宋简体" w:cs="方正小标宋简体"/>
          <w:b w:val="0"/>
          <w:bCs/>
          <w:color w:val="auto"/>
          <w:kern w:val="0"/>
          <w:sz w:val="36"/>
          <w:szCs w:val="36"/>
          <w:highlight w:val="none"/>
          <w:lang w:eastAsia="zh-CN"/>
        </w:rPr>
      </w:pPr>
      <w:r>
        <w:rPr>
          <w:rFonts w:hint="eastAsia" w:ascii="方正小标宋简体" w:hAnsi="方正小标宋简体" w:eastAsia="方正小标宋简体" w:cs="方正小标宋简体"/>
          <w:b w:val="0"/>
          <w:bCs/>
          <w:color w:val="auto"/>
          <w:kern w:val="0"/>
          <w:sz w:val="36"/>
          <w:szCs w:val="36"/>
          <w:highlight w:val="none"/>
          <w:lang w:eastAsia="zh-CN"/>
        </w:rPr>
        <w:t>工程变更现场核量单</w:t>
      </w:r>
    </w:p>
    <w:p w14:paraId="591DFB8A">
      <w:pPr>
        <w:spacing w:line="560" w:lineRule="exact"/>
        <w:jc w:val="left"/>
        <w:rPr>
          <w:rFonts w:hint="default" w:eastAsia="宋体"/>
          <w:color w:val="auto"/>
          <w:sz w:val="24"/>
          <w:szCs w:val="24"/>
          <w:lang w:val="en-US" w:eastAsia="zh-CN"/>
        </w:rPr>
      </w:pPr>
      <w:r>
        <w:rPr>
          <w:rFonts w:hint="eastAsia" w:ascii="宋体" w:hAnsi="宋体" w:cs="宋体"/>
          <w:b/>
          <w:color w:val="auto"/>
          <w:kern w:val="0"/>
          <w:sz w:val="24"/>
          <w:szCs w:val="24"/>
          <w:highlight w:val="none"/>
          <w:lang w:val="en-US" w:eastAsia="zh-CN"/>
        </w:rPr>
        <w:t xml:space="preserve">                                                               </w:t>
      </w:r>
      <w:r>
        <w:rPr>
          <w:rFonts w:hint="eastAsia" w:ascii="楷体_GB2312" w:hAnsi="楷体_GB2312" w:eastAsia="楷体_GB2312" w:cs="楷体_GB2312"/>
          <w:b w:val="0"/>
          <w:bCs/>
          <w:color w:val="auto"/>
          <w:kern w:val="0"/>
          <w:sz w:val="24"/>
          <w:szCs w:val="24"/>
          <w:highlight w:val="none"/>
          <w:lang w:val="en-US" w:eastAsia="zh-CN"/>
        </w:rPr>
        <w:t>编号：</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759"/>
        <w:gridCol w:w="2349"/>
        <w:gridCol w:w="2004"/>
        <w:gridCol w:w="325"/>
        <w:gridCol w:w="1350"/>
        <w:gridCol w:w="1295"/>
      </w:tblGrid>
      <w:tr w14:paraId="612BC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1509" w:type="dxa"/>
            <w:noWrap w:val="0"/>
            <w:vAlign w:val="center"/>
          </w:tcPr>
          <w:p w14:paraId="583B3CC4">
            <w:pPr>
              <w:jc w:val="center"/>
              <w:rPr>
                <w:rFonts w:hint="eastAsia" w:ascii="黑体" w:hAnsi="黑体" w:eastAsia="黑体" w:cs="黑体"/>
                <w:b w:val="0"/>
                <w:bCs w:val="0"/>
                <w:color w:val="auto"/>
                <w:sz w:val="22"/>
                <w:szCs w:val="28"/>
                <w:vertAlign w:val="baseline"/>
                <w:lang w:val="en-US" w:eastAsia="zh-CN"/>
              </w:rPr>
            </w:pPr>
            <w:r>
              <w:rPr>
                <w:rFonts w:hint="eastAsia" w:ascii="黑体" w:hAnsi="黑体" w:eastAsia="黑体" w:cs="黑体"/>
                <w:b w:val="0"/>
                <w:bCs w:val="0"/>
                <w:color w:val="auto"/>
                <w:sz w:val="24"/>
                <w:szCs w:val="32"/>
                <w:vertAlign w:val="baseline"/>
                <w:lang w:val="en-US" w:eastAsia="zh-CN"/>
              </w:rPr>
              <w:t>工程名称</w:t>
            </w:r>
          </w:p>
        </w:tc>
        <w:tc>
          <w:tcPr>
            <w:tcW w:w="5112" w:type="dxa"/>
            <w:gridSpan w:val="3"/>
            <w:noWrap w:val="0"/>
            <w:vAlign w:val="center"/>
          </w:tcPr>
          <w:p w14:paraId="3400DF16">
            <w:pPr>
              <w:jc w:val="center"/>
              <w:rPr>
                <w:rFonts w:hint="eastAsia" w:ascii="黑体" w:hAnsi="黑体" w:eastAsia="黑体" w:cs="黑体"/>
                <w:b w:val="0"/>
                <w:bCs w:val="0"/>
                <w:color w:val="auto"/>
                <w:sz w:val="24"/>
                <w:szCs w:val="32"/>
                <w:vertAlign w:val="baseline"/>
                <w:lang w:val="en-US" w:eastAsia="zh-CN"/>
              </w:rPr>
            </w:pPr>
          </w:p>
        </w:tc>
        <w:tc>
          <w:tcPr>
            <w:tcW w:w="1675" w:type="dxa"/>
            <w:gridSpan w:val="2"/>
            <w:noWrap w:val="0"/>
            <w:vAlign w:val="center"/>
          </w:tcPr>
          <w:p w14:paraId="1FF398C8">
            <w:pPr>
              <w:jc w:val="center"/>
              <w:rPr>
                <w:rFonts w:hint="eastAsia" w:ascii="黑体" w:hAnsi="黑体" w:eastAsia="黑体" w:cs="黑体"/>
                <w:b w:val="0"/>
                <w:bCs w:val="0"/>
                <w:color w:val="auto"/>
                <w:sz w:val="24"/>
                <w:szCs w:val="32"/>
                <w:vertAlign w:val="baseline"/>
                <w:lang w:val="en-US" w:eastAsia="zh-CN"/>
              </w:rPr>
            </w:pPr>
            <w:r>
              <w:rPr>
                <w:rFonts w:hint="eastAsia" w:ascii="黑体" w:hAnsi="黑体" w:eastAsia="黑体" w:cs="黑体"/>
                <w:b w:val="0"/>
                <w:bCs w:val="0"/>
                <w:color w:val="auto"/>
                <w:sz w:val="24"/>
                <w:szCs w:val="24"/>
                <w:vertAlign w:val="baseline"/>
                <w:lang w:val="en-US" w:eastAsia="zh-CN"/>
              </w:rPr>
              <w:t>工程变更编号</w:t>
            </w:r>
          </w:p>
        </w:tc>
        <w:tc>
          <w:tcPr>
            <w:tcW w:w="1295" w:type="dxa"/>
            <w:noWrap w:val="0"/>
            <w:vAlign w:val="center"/>
          </w:tcPr>
          <w:p w14:paraId="5858F2B3">
            <w:pPr>
              <w:jc w:val="center"/>
              <w:rPr>
                <w:rFonts w:hint="eastAsia" w:ascii="黑体" w:hAnsi="黑体" w:eastAsia="黑体" w:cs="黑体"/>
                <w:b w:val="0"/>
                <w:bCs w:val="0"/>
                <w:color w:val="auto"/>
                <w:sz w:val="24"/>
                <w:szCs w:val="32"/>
                <w:vertAlign w:val="baseline"/>
                <w:lang w:val="en-US" w:eastAsia="zh-CN"/>
              </w:rPr>
            </w:pPr>
          </w:p>
        </w:tc>
      </w:tr>
      <w:tr w14:paraId="13849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509" w:type="dxa"/>
            <w:noWrap w:val="0"/>
            <w:vAlign w:val="center"/>
          </w:tcPr>
          <w:p w14:paraId="52A29F78">
            <w:pPr>
              <w:jc w:val="center"/>
              <w:rPr>
                <w:rFonts w:hint="eastAsia" w:ascii="黑体" w:hAnsi="黑体" w:eastAsia="黑体" w:cs="黑体"/>
                <w:b w:val="0"/>
                <w:bCs w:val="0"/>
                <w:color w:val="auto"/>
                <w:sz w:val="24"/>
                <w:szCs w:val="32"/>
                <w:vertAlign w:val="baseline"/>
                <w:lang w:val="en-US" w:eastAsia="zh-CN"/>
              </w:rPr>
            </w:pPr>
            <w:r>
              <w:rPr>
                <w:rFonts w:hint="eastAsia" w:ascii="黑体" w:hAnsi="黑体" w:eastAsia="黑体" w:cs="黑体"/>
                <w:b w:val="0"/>
                <w:bCs w:val="0"/>
                <w:color w:val="auto"/>
                <w:sz w:val="24"/>
                <w:szCs w:val="32"/>
                <w:vertAlign w:val="baseline"/>
                <w:lang w:val="en-US" w:eastAsia="zh-CN"/>
              </w:rPr>
              <w:t>参加人员</w:t>
            </w:r>
          </w:p>
        </w:tc>
        <w:tc>
          <w:tcPr>
            <w:tcW w:w="5112" w:type="dxa"/>
            <w:gridSpan w:val="3"/>
            <w:noWrap w:val="0"/>
            <w:vAlign w:val="center"/>
          </w:tcPr>
          <w:p w14:paraId="076CB031">
            <w:pPr>
              <w:jc w:val="center"/>
              <w:rPr>
                <w:rFonts w:hint="eastAsia" w:ascii="黑体" w:hAnsi="黑体" w:eastAsia="黑体" w:cs="黑体"/>
                <w:b w:val="0"/>
                <w:bCs w:val="0"/>
                <w:color w:val="auto"/>
                <w:sz w:val="24"/>
                <w:szCs w:val="32"/>
                <w:vertAlign w:val="baseline"/>
                <w:lang w:val="en-US" w:eastAsia="zh-CN"/>
              </w:rPr>
            </w:pPr>
          </w:p>
        </w:tc>
        <w:tc>
          <w:tcPr>
            <w:tcW w:w="1675" w:type="dxa"/>
            <w:gridSpan w:val="2"/>
            <w:noWrap w:val="0"/>
            <w:vAlign w:val="center"/>
          </w:tcPr>
          <w:p w14:paraId="35AAD3D7">
            <w:pPr>
              <w:jc w:val="center"/>
              <w:rPr>
                <w:rFonts w:hint="eastAsia" w:ascii="黑体" w:hAnsi="黑体" w:eastAsia="黑体" w:cs="黑体"/>
                <w:b w:val="0"/>
                <w:bCs w:val="0"/>
                <w:color w:val="auto"/>
                <w:sz w:val="24"/>
                <w:szCs w:val="32"/>
                <w:vertAlign w:val="baseline"/>
                <w:lang w:val="en-US" w:eastAsia="zh-CN"/>
              </w:rPr>
            </w:pPr>
            <w:r>
              <w:rPr>
                <w:rFonts w:hint="eastAsia" w:ascii="黑体" w:hAnsi="黑体" w:eastAsia="黑体" w:cs="黑体"/>
                <w:b w:val="0"/>
                <w:bCs w:val="0"/>
                <w:color w:val="auto"/>
                <w:sz w:val="24"/>
                <w:szCs w:val="32"/>
                <w:vertAlign w:val="baseline"/>
                <w:lang w:val="en-US" w:eastAsia="zh-CN"/>
              </w:rPr>
              <w:t>核实日期</w:t>
            </w:r>
          </w:p>
        </w:tc>
        <w:tc>
          <w:tcPr>
            <w:tcW w:w="1295" w:type="dxa"/>
            <w:noWrap w:val="0"/>
            <w:vAlign w:val="center"/>
          </w:tcPr>
          <w:p w14:paraId="2C35ACB2">
            <w:pPr>
              <w:jc w:val="center"/>
              <w:rPr>
                <w:rFonts w:hint="eastAsia" w:ascii="黑体" w:hAnsi="黑体" w:eastAsia="黑体" w:cs="黑体"/>
                <w:b w:val="0"/>
                <w:bCs w:val="0"/>
                <w:color w:val="auto"/>
                <w:sz w:val="24"/>
                <w:szCs w:val="32"/>
                <w:vertAlign w:val="baseline"/>
                <w:lang w:val="en-US" w:eastAsia="zh-CN"/>
              </w:rPr>
            </w:pPr>
          </w:p>
        </w:tc>
      </w:tr>
      <w:tr w14:paraId="07485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509" w:type="dxa"/>
            <w:noWrap w:val="0"/>
            <w:vAlign w:val="center"/>
          </w:tcPr>
          <w:p w14:paraId="461C76C2">
            <w:pPr>
              <w:jc w:val="center"/>
              <w:rPr>
                <w:rFonts w:hint="eastAsia" w:ascii="黑体" w:hAnsi="黑体" w:eastAsia="黑体" w:cs="黑体"/>
                <w:b w:val="0"/>
                <w:bCs w:val="0"/>
                <w:color w:val="auto"/>
                <w:sz w:val="24"/>
                <w:szCs w:val="32"/>
                <w:vertAlign w:val="baseline"/>
                <w:lang w:val="en-US" w:eastAsia="zh-CN"/>
              </w:rPr>
            </w:pPr>
            <w:r>
              <w:rPr>
                <w:rFonts w:hint="eastAsia" w:ascii="黑体" w:hAnsi="黑体" w:eastAsia="黑体" w:cs="黑体"/>
                <w:b w:val="0"/>
                <w:bCs w:val="0"/>
                <w:color w:val="auto"/>
                <w:sz w:val="24"/>
                <w:szCs w:val="32"/>
                <w:vertAlign w:val="baseline"/>
                <w:lang w:val="en-US" w:eastAsia="zh-CN"/>
              </w:rPr>
              <w:t>核量项目</w:t>
            </w:r>
          </w:p>
        </w:tc>
        <w:tc>
          <w:tcPr>
            <w:tcW w:w="8082" w:type="dxa"/>
            <w:gridSpan w:val="6"/>
            <w:noWrap w:val="0"/>
            <w:vAlign w:val="center"/>
          </w:tcPr>
          <w:p w14:paraId="1A5029D5">
            <w:pPr>
              <w:jc w:val="center"/>
              <w:rPr>
                <w:rFonts w:hint="eastAsia" w:ascii="黑体" w:hAnsi="黑体" w:eastAsia="黑体" w:cs="黑体"/>
                <w:b w:val="0"/>
                <w:bCs w:val="0"/>
                <w:color w:val="auto"/>
                <w:sz w:val="24"/>
                <w:szCs w:val="32"/>
                <w:vertAlign w:val="baseline"/>
                <w:lang w:val="en-US" w:eastAsia="zh-CN"/>
              </w:rPr>
            </w:pPr>
            <w:r>
              <w:rPr>
                <w:rFonts w:hint="eastAsia" w:ascii="黑体" w:hAnsi="黑体" w:eastAsia="黑体" w:cs="黑体"/>
                <w:b w:val="0"/>
                <w:bCs w:val="0"/>
                <w:color w:val="auto"/>
                <w:sz w:val="24"/>
                <w:szCs w:val="32"/>
                <w:vertAlign w:val="baseline"/>
                <w:lang w:val="en-US" w:eastAsia="zh-CN"/>
              </w:rPr>
              <w:t xml:space="preserve">  </w:t>
            </w:r>
          </w:p>
        </w:tc>
      </w:tr>
      <w:tr w14:paraId="0A18A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6" w:hRule="atLeast"/>
          <w:jc w:val="center"/>
        </w:trPr>
        <w:tc>
          <w:tcPr>
            <w:tcW w:w="9591" w:type="dxa"/>
            <w:gridSpan w:val="7"/>
            <w:noWrap w:val="0"/>
            <w:vAlign w:val="top"/>
          </w:tcPr>
          <w:p w14:paraId="4542F40B">
            <w:pPr>
              <w:keepNext w:val="0"/>
              <w:keepLines w:val="0"/>
              <w:pageBreakBefore w:val="0"/>
              <w:widowControl w:val="0"/>
              <w:numPr>
                <w:ilvl w:val="0"/>
                <w:numId w:val="0"/>
              </w:numPr>
              <w:kinsoku/>
              <w:wordWrap/>
              <w:overflowPunct/>
              <w:topLinePunct w:val="0"/>
              <w:autoSpaceDE/>
              <w:autoSpaceDN/>
              <w:bidi w:val="0"/>
              <w:adjustRightInd/>
              <w:snapToGrid/>
              <w:spacing w:after="390" w:afterLines="125" w:afterAutospacing="0" w:line="360" w:lineRule="auto"/>
              <w:jc w:val="left"/>
              <w:textAlignment w:val="auto"/>
              <w:rPr>
                <w:rFonts w:hint="eastAsia" w:ascii="楷体_GB2312" w:hAnsi="楷体_GB2312" w:eastAsia="楷体_GB2312" w:cs="楷体_GB2312"/>
                <w:color w:val="auto"/>
                <w:sz w:val="24"/>
                <w:szCs w:val="32"/>
                <w:vertAlign w:val="baseline"/>
                <w:lang w:val="en-US" w:eastAsia="zh-CN"/>
              </w:rPr>
            </w:pPr>
            <w:r>
              <w:rPr>
                <w:rFonts w:hint="eastAsia" w:ascii="楷体_GB2312" w:hAnsi="楷体_GB2312" w:eastAsia="楷体_GB2312" w:cs="楷体_GB2312"/>
                <w:color w:val="auto"/>
                <w:sz w:val="24"/>
                <w:szCs w:val="32"/>
                <w:vertAlign w:val="baseline"/>
                <w:lang w:val="en-US" w:eastAsia="zh-CN"/>
              </w:rPr>
              <w:t>具体工程量核实内容：（含简图）</w:t>
            </w:r>
          </w:p>
          <w:p w14:paraId="390712EE">
            <w:pPr>
              <w:keepNext w:val="0"/>
              <w:keepLines w:val="0"/>
              <w:pageBreakBefore w:val="0"/>
              <w:widowControl/>
              <w:suppressLineNumbers w:val="0"/>
              <w:kinsoku/>
              <w:wordWrap/>
              <w:overflowPunct/>
              <w:topLinePunct w:val="0"/>
              <w:autoSpaceDE/>
              <w:autoSpaceDN/>
              <w:bidi w:val="0"/>
              <w:adjustRightInd/>
              <w:snapToGrid/>
              <w:spacing w:line="320" w:lineRule="exact"/>
              <w:ind w:left="1916" w:leftChars="798" w:hanging="240" w:hangingChars="100"/>
              <w:jc w:val="left"/>
              <w:textAlignment w:val="auto"/>
              <w:rPr>
                <w:rFonts w:hint="default"/>
                <w:color w:val="auto"/>
                <w:sz w:val="24"/>
                <w:szCs w:val="32"/>
                <w:vertAlign w:val="baseline"/>
                <w:lang w:val="en-US" w:eastAsia="zh-CN"/>
              </w:rPr>
            </w:pPr>
          </w:p>
        </w:tc>
      </w:tr>
      <w:tr w14:paraId="3B95D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1" w:hRule="atLeast"/>
          <w:jc w:val="center"/>
        </w:trPr>
        <w:tc>
          <w:tcPr>
            <w:tcW w:w="2268" w:type="dxa"/>
            <w:gridSpan w:val="2"/>
            <w:tcBorders>
              <w:bottom w:val="single" w:color="auto" w:sz="4" w:space="0"/>
            </w:tcBorders>
            <w:noWrap w:val="0"/>
            <w:vAlign w:val="top"/>
          </w:tcPr>
          <w:p w14:paraId="10C0CBFC">
            <w:pPr>
              <w:jc w:val="left"/>
              <w:rPr>
                <w:rFonts w:hint="eastAsia" w:ascii="楷体_GB2312" w:hAnsi="楷体_GB2312" w:eastAsia="楷体_GB2312" w:cs="楷体_GB2312"/>
                <w:color w:val="auto"/>
                <w:vertAlign w:val="baseline"/>
                <w:lang w:val="en-US" w:eastAsia="zh-CN"/>
              </w:rPr>
            </w:pPr>
            <w:r>
              <w:rPr>
                <w:rFonts w:hint="eastAsia" w:ascii="楷体_GB2312" w:hAnsi="楷体_GB2312" w:eastAsia="楷体_GB2312" w:cs="楷体_GB2312"/>
                <w:color w:val="auto"/>
                <w:vertAlign w:val="baseline"/>
                <w:lang w:val="en-US" w:eastAsia="zh-CN"/>
              </w:rPr>
              <w:t>施工单位签字：</w:t>
            </w:r>
          </w:p>
          <w:p w14:paraId="635EBCD0">
            <w:pPr>
              <w:rPr>
                <w:rFonts w:hint="eastAsia" w:ascii="楷体_GB2312" w:hAnsi="楷体_GB2312" w:eastAsia="楷体_GB2312" w:cs="楷体_GB2312"/>
                <w:color w:val="auto"/>
                <w:vertAlign w:val="baseline"/>
                <w:lang w:val="en-US" w:eastAsia="zh-CN"/>
              </w:rPr>
            </w:pPr>
          </w:p>
          <w:p w14:paraId="0B65D588">
            <w:pPr>
              <w:rPr>
                <w:rFonts w:hint="eastAsia" w:ascii="楷体_GB2312" w:hAnsi="楷体_GB2312" w:eastAsia="楷体_GB2312" w:cs="楷体_GB2312"/>
                <w:color w:val="auto"/>
                <w:vertAlign w:val="baseline"/>
                <w:lang w:val="en-US" w:eastAsia="zh-CN"/>
              </w:rPr>
            </w:pPr>
          </w:p>
          <w:p w14:paraId="48280ED5">
            <w:pPr>
              <w:rPr>
                <w:rFonts w:hint="eastAsia" w:ascii="楷体_GB2312" w:hAnsi="楷体_GB2312" w:eastAsia="楷体_GB2312" w:cs="楷体_GB2312"/>
                <w:color w:val="auto"/>
                <w:vertAlign w:val="baseline"/>
                <w:lang w:val="en-US" w:eastAsia="zh-CN"/>
              </w:rPr>
            </w:pPr>
          </w:p>
          <w:p w14:paraId="5C62C61A">
            <w:pPr>
              <w:pStyle w:val="7"/>
              <w:rPr>
                <w:rFonts w:hint="eastAsia" w:ascii="楷体_GB2312" w:hAnsi="楷体_GB2312" w:eastAsia="楷体_GB2312" w:cs="楷体_GB2312"/>
                <w:color w:val="auto"/>
                <w:vertAlign w:val="baseline"/>
                <w:lang w:val="en-US" w:eastAsia="zh-CN"/>
              </w:rPr>
            </w:pPr>
          </w:p>
          <w:p w14:paraId="37A198C2">
            <w:pPr>
              <w:pStyle w:val="7"/>
              <w:rPr>
                <w:rFonts w:hint="eastAsia" w:ascii="楷体_GB2312" w:hAnsi="楷体_GB2312" w:eastAsia="楷体_GB2312" w:cs="楷体_GB2312"/>
                <w:color w:val="auto"/>
                <w:vertAlign w:val="baseline"/>
                <w:lang w:val="en-US" w:eastAsia="zh-CN"/>
              </w:rPr>
            </w:pPr>
          </w:p>
          <w:p w14:paraId="43185D5A">
            <w:pPr>
              <w:pStyle w:val="7"/>
              <w:rPr>
                <w:rFonts w:hint="eastAsia" w:ascii="楷体_GB2312" w:hAnsi="楷体_GB2312" w:eastAsia="楷体_GB2312" w:cs="楷体_GB2312"/>
                <w:color w:val="auto"/>
                <w:vertAlign w:val="baseline"/>
                <w:lang w:val="en-US" w:eastAsia="zh-CN"/>
              </w:rPr>
            </w:pPr>
          </w:p>
          <w:p w14:paraId="3628B5B1">
            <w:pPr>
              <w:rPr>
                <w:rFonts w:hint="eastAsia" w:ascii="楷体_GB2312" w:hAnsi="楷体_GB2312" w:eastAsia="楷体_GB2312" w:cs="楷体_GB2312"/>
                <w:color w:val="auto"/>
                <w:vertAlign w:val="baseline"/>
                <w:lang w:val="en-US" w:eastAsia="zh-CN"/>
              </w:rPr>
            </w:pPr>
            <w:r>
              <w:rPr>
                <w:rFonts w:hint="eastAsia" w:ascii="楷体_GB2312" w:hAnsi="楷体_GB2312" w:eastAsia="楷体_GB2312" w:cs="楷体_GB2312"/>
                <w:color w:val="auto"/>
                <w:vertAlign w:val="baseline"/>
                <w:lang w:val="en-US" w:eastAsia="zh-CN"/>
              </w:rPr>
              <w:t>（公章） 年  月  日</w:t>
            </w:r>
          </w:p>
        </w:tc>
        <w:tc>
          <w:tcPr>
            <w:tcW w:w="2349" w:type="dxa"/>
            <w:tcBorders>
              <w:bottom w:val="single" w:color="auto" w:sz="4" w:space="0"/>
            </w:tcBorders>
            <w:noWrap w:val="0"/>
            <w:vAlign w:val="top"/>
          </w:tcPr>
          <w:p w14:paraId="3317F064">
            <w:pPr>
              <w:jc w:val="left"/>
              <w:rPr>
                <w:rFonts w:hint="eastAsia" w:ascii="楷体_GB2312" w:hAnsi="楷体_GB2312" w:eastAsia="楷体_GB2312" w:cs="楷体_GB2312"/>
                <w:color w:val="auto"/>
                <w:vertAlign w:val="baseline"/>
                <w:lang w:val="en-US" w:eastAsia="zh-CN"/>
              </w:rPr>
            </w:pPr>
            <w:r>
              <w:rPr>
                <w:rFonts w:hint="eastAsia" w:ascii="楷体_GB2312" w:hAnsi="楷体_GB2312" w:eastAsia="楷体_GB2312" w:cs="楷体_GB2312"/>
                <w:color w:val="auto"/>
                <w:vertAlign w:val="baseline"/>
                <w:lang w:val="en-US" w:eastAsia="zh-CN"/>
              </w:rPr>
              <w:t>监理单位签字：</w:t>
            </w:r>
          </w:p>
          <w:p w14:paraId="05A6A1FB">
            <w:pPr>
              <w:rPr>
                <w:rFonts w:hint="eastAsia" w:ascii="楷体_GB2312" w:hAnsi="楷体_GB2312" w:eastAsia="楷体_GB2312" w:cs="楷体_GB2312"/>
                <w:color w:val="auto"/>
                <w:vertAlign w:val="baseline"/>
                <w:lang w:val="en-US" w:eastAsia="zh-CN"/>
              </w:rPr>
            </w:pPr>
          </w:p>
          <w:p w14:paraId="745465E2">
            <w:pPr>
              <w:rPr>
                <w:rFonts w:hint="eastAsia" w:ascii="楷体_GB2312" w:hAnsi="楷体_GB2312" w:eastAsia="楷体_GB2312" w:cs="楷体_GB2312"/>
                <w:color w:val="auto"/>
                <w:vertAlign w:val="baseline"/>
                <w:lang w:val="en-US" w:eastAsia="zh-CN"/>
              </w:rPr>
            </w:pPr>
          </w:p>
          <w:p w14:paraId="09EC82A1">
            <w:pPr>
              <w:pStyle w:val="7"/>
              <w:rPr>
                <w:rFonts w:hint="eastAsia" w:ascii="楷体_GB2312" w:hAnsi="楷体_GB2312" w:eastAsia="楷体_GB2312" w:cs="楷体_GB2312"/>
                <w:color w:val="auto"/>
                <w:vertAlign w:val="baseline"/>
                <w:lang w:val="en-US" w:eastAsia="zh-CN"/>
              </w:rPr>
            </w:pPr>
          </w:p>
          <w:p w14:paraId="4619E1C7">
            <w:pPr>
              <w:pStyle w:val="7"/>
              <w:rPr>
                <w:rFonts w:hint="eastAsia" w:ascii="楷体_GB2312" w:hAnsi="楷体_GB2312" w:eastAsia="楷体_GB2312" w:cs="楷体_GB2312"/>
                <w:color w:val="auto"/>
                <w:vertAlign w:val="baseline"/>
                <w:lang w:val="en-US" w:eastAsia="zh-CN"/>
              </w:rPr>
            </w:pPr>
          </w:p>
          <w:p w14:paraId="07D269F7">
            <w:pPr>
              <w:pStyle w:val="7"/>
              <w:rPr>
                <w:rFonts w:hint="eastAsia" w:ascii="楷体_GB2312" w:hAnsi="楷体_GB2312" w:eastAsia="楷体_GB2312" w:cs="楷体_GB2312"/>
                <w:color w:val="auto"/>
                <w:vertAlign w:val="baseline"/>
                <w:lang w:val="en-US" w:eastAsia="zh-CN"/>
              </w:rPr>
            </w:pPr>
          </w:p>
          <w:p w14:paraId="72424903">
            <w:pPr>
              <w:rPr>
                <w:rFonts w:hint="eastAsia" w:ascii="楷体_GB2312" w:hAnsi="楷体_GB2312" w:eastAsia="楷体_GB2312" w:cs="楷体_GB2312"/>
                <w:color w:val="auto"/>
                <w:vertAlign w:val="baseline"/>
                <w:lang w:val="en-US" w:eastAsia="zh-CN"/>
              </w:rPr>
            </w:pPr>
          </w:p>
          <w:p w14:paraId="1071BAF2">
            <w:pPr>
              <w:rPr>
                <w:rFonts w:hint="eastAsia" w:ascii="楷体_GB2312" w:hAnsi="楷体_GB2312" w:eastAsia="楷体_GB2312" w:cs="楷体_GB2312"/>
                <w:color w:val="auto"/>
                <w:vertAlign w:val="baseline"/>
                <w:lang w:val="en-US" w:eastAsia="zh-CN"/>
              </w:rPr>
            </w:pPr>
            <w:r>
              <w:rPr>
                <w:rFonts w:hint="eastAsia" w:ascii="楷体_GB2312" w:hAnsi="楷体_GB2312" w:eastAsia="楷体_GB2312" w:cs="楷体_GB2312"/>
                <w:color w:val="auto"/>
                <w:vertAlign w:val="baseline"/>
                <w:lang w:val="en-US" w:eastAsia="zh-CN"/>
              </w:rPr>
              <w:t>（公章）  年  月   日</w:t>
            </w:r>
          </w:p>
        </w:tc>
        <w:tc>
          <w:tcPr>
            <w:tcW w:w="2329" w:type="dxa"/>
            <w:gridSpan w:val="2"/>
            <w:tcBorders>
              <w:bottom w:val="single" w:color="auto" w:sz="4" w:space="0"/>
            </w:tcBorders>
            <w:noWrap w:val="0"/>
            <w:vAlign w:val="top"/>
          </w:tcPr>
          <w:p w14:paraId="3CAA49F9">
            <w:pPr>
              <w:jc w:val="left"/>
              <w:rPr>
                <w:rFonts w:hint="eastAsia" w:ascii="楷体_GB2312" w:hAnsi="楷体_GB2312" w:eastAsia="楷体_GB2312" w:cs="楷体_GB2312"/>
                <w:color w:val="auto"/>
                <w:vertAlign w:val="baseline"/>
                <w:lang w:val="en-US" w:eastAsia="zh-CN"/>
              </w:rPr>
            </w:pPr>
            <w:r>
              <w:rPr>
                <w:rFonts w:hint="eastAsia" w:ascii="楷体_GB2312" w:hAnsi="楷体_GB2312" w:eastAsia="楷体_GB2312" w:cs="楷体_GB2312"/>
                <w:color w:val="auto"/>
                <w:vertAlign w:val="baseline"/>
                <w:lang w:val="en-US" w:eastAsia="zh-CN"/>
              </w:rPr>
              <w:t>造价咨询单位签字：</w:t>
            </w:r>
          </w:p>
          <w:p w14:paraId="3CDE589D">
            <w:pPr>
              <w:rPr>
                <w:rFonts w:hint="eastAsia" w:ascii="楷体_GB2312" w:hAnsi="楷体_GB2312" w:eastAsia="楷体_GB2312" w:cs="楷体_GB2312"/>
                <w:color w:val="auto"/>
                <w:vertAlign w:val="baseline"/>
                <w:lang w:val="en-US" w:eastAsia="zh-CN"/>
              </w:rPr>
            </w:pPr>
          </w:p>
          <w:p w14:paraId="7203891E">
            <w:pPr>
              <w:rPr>
                <w:rFonts w:hint="eastAsia" w:ascii="楷体_GB2312" w:hAnsi="楷体_GB2312" w:eastAsia="楷体_GB2312" w:cs="楷体_GB2312"/>
                <w:color w:val="auto"/>
                <w:vertAlign w:val="baseline"/>
                <w:lang w:val="en-US" w:eastAsia="zh-CN"/>
              </w:rPr>
            </w:pPr>
          </w:p>
          <w:p w14:paraId="78ECB58F">
            <w:pPr>
              <w:rPr>
                <w:rFonts w:hint="eastAsia" w:ascii="楷体_GB2312" w:hAnsi="楷体_GB2312" w:eastAsia="楷体_GB2312" w:cs="楷体_GB2312"/>
                <w:color w:val="auto"/>
                <w:vertAlign w:val="baseline"/>
                <w:lang w:val="en-US" w:eastAsia="zh-CN"/>
              </w:rPr>
            </w:pPr>
          </w:p>
          <w:p w14:paraId="0AB2ECC9">
            <w:pPr>
              <w:pStyle w:val="7"/>
              <w:rPr>
                <w:rFonts w:hint="eastAsia" w:ascii="楷体_GB2312" w:hAnsi="楷体_GB2312" w:eastAsia="楷体_GB2312" w:cs="楷体_GB2312"/>
                <w:color w:val="auto"/>
                <w:vertAlign w:val="baseline"/>
                <w:lang w:val="en-US" w:eastAsia="zh-CN"/>
              </w:rPr>
            </w:pPr>
          </w:p>
          <w:p w14:paraId="504A183A">
            <w:pPr>
              <w:pStyle w:val="7"/>
              <w:rPr>
                <w:rFonts w:hint="eastAsia" w:ascii="楷体_GB2312" w:hAnsi="楷体_GB2312" w:eastAsia="楷体_GB2312" w:cs="楷体_GB2312"/>
                <w:color w:val="auto"/>
                <w:vertAlign w:val="baseline"/>
                <w:lang w:val="en-US" w:eastAsia="zh-CN"/>
              </w:rPr>
            </w:pPr>
          </w:p>
          <w:p w14:paraId="294A4F03">
            <w:pPr>
              <w:pStyle w:val="7"/>
              <w:rPr>
                <w:rFonts w:hint="eastAsia" w:ascii="楷体_GB2312" w:hAnsi="楷体_GB2312" w:eastAsia="楷体_GB2312" w:cs="楷体_GB2312"/>
                <w:color w:val="auto"/>
                <w:vertAlign w:val="baseline"/>
                <w:lang w:val="en-US" w:eastAsia="zh-CN"/>
              </w:rPr>
            </w:pPr>
          </w:p>
          <w:p w14:paraId="477922B4">
            <w:pPr>
              <w:rPr>
                <w:rFonts w:hint="eastAsia" w:ascii="楷体_GB2312" w:hAnsi="楷体_GB2312" w:eastAsia="楷体_GB2312" w:cs="楷体_GB2312"/>
                <w:color w:val="auto"/>
                <w:vertAlign w:val="baseline"/>
                <w:lang w:val="en-US" w:eastAsia="zh-CN"/>
              </w:rPr>
            </w:pPr>
            <w:r>
              <w:rPr>
                <w:rFonts w:hint="eastAsia" w:ascii="楷体_GB2312" w:hAnsi="楷体_GB2312" w:eastAsia="楷体_GB2312" w:cs="楷体_GB2312"/>
                <w:color w:val="auto"/>
                <w:vertAlign w:val="baseline"/>
                <w:lang w:val="en-US" w:eastAsia="zh-CN"/>
              </w:rPr>
              <w:t>（公章）  年  月   日</w:t>
            </w:r>
          </w:p>
        </w:tc>
        <w:tc>
          <w:tcPr>
            <w:tcW w:w="2645" w:type="dxa"/>
            <w:gridSpan w:val="2"/>
            <w:tcBorders>
              <w:bottom w:val="single" w:color="auto" w:sz="4" w:space="0"/>
            </w:tcBorders>
            <w:noWrap w:val="0"/>
            <w:vAlign w:val="top"/>
          </w:tcPr>
          <w:p w14:paraId="0F014096">
            <w:pPr>
              <w:jc w:val="left"/>
              <w:rPr>
                <w:rFonts w:hint="eastAsia" w:ascii="楷体_GB2312" w:hAnsi="楷体_GB2312" w:eastAsia="楷体_GB2312" w:cs="楷体_GB2312"/>
                <w:color w:val="auto"/>
                <w:vertAlign w:val="baseline"/>
                <w:lang w:val="en-US" w:eastAsia="zh-CN"/>
              </w:rPr>
            </w:pPr>
            <w:r>
              <w:rPr>
                <w:rFonts w:hint="eastAsia" w:ascii="楷体_GB2312" w:hAnsi="楷体_GB2312" w:eastAsia="楷体_GB2312" w:cs="楷体_GB2312"/>
                <w:color w:val="auto"/>
                <w:vertAlign w:val="baseline"/>
                <w:lang w:val="en-US" w:eastAsia="zh-CN"/>
              </w:rPr>
              <w:t>建设单位签字：</w:t>
            </w:r>
          </w:p>
          <w:p w14:paraId="3D7346B2">
            <w:pPr>
              <w:rPr>
                <w:rFonts w:hint="eastAsia" w:ascii="楷体_GB2312" w:hAnsi="楷体_GB2312" w:eastAsia="楷体_GB2312" w:cs="楷体_GB2312"/>
                <w:color w:val="auto"/>
                <w:vertAlign w:val="baseline"/>
                <w:lang w:val="en-US" w:eastAsia="zh-CN"/>
              </w:rPr>
            </w:pPr>
          </w:p>
          <w:p w14:paraId="232FEC68">
            <w:pPr>
              <w:pStyle w:val="7"/>
              <w:rPr>
                <w:rFonts w:hint="eastAsia" w:ascii="楷体_GB2312" w:hAnsi="楷体_GB2312" w:eastAsia="楷体_GB2312" w:cs="楷体_GB2312"/>
                <w:color w:val="auto"/>
                <w:lang w:val="en-US" w:eastAsia="zh-CN"/>
              </w:rPr>
            </w:pPr>
          </w:p>
          <w:p w14:paraId="1533EACE">
            <w:pPr>
              <w:rPr>
                <w:rFonts w:hint="eastAsia" w:ascii="楷体_GB2312" w:hAnsi="楷体_GB2312" w:eastAsia="楷体_GB2312" w:cs="楷体_GB2312"/>
                <w:color w:val="auto"/>
                <w:vertAlign w:val="baseline"/>
                <w:lang w:val="en-US" w:eastAsia="zh-CN"/>
              </w:rPr>
            </w:pPr>
            <w:r>
              <w:rPr>
                <w:rFonts w:hint="eastAsia" w:ascii="楷体_GB2312" w:hAnsi="楷体_GB2312" w:eastAsia="楷体_GB2312" w:cs="楷体_GB2312"/>
                <w:color w:val="auto"/>
                <w:vertAlign w:val="baseline"/>
                <w:lang w:val="en-US" w:eastAsia="zh-CN"/>
              </w:rPr>
              <w:t>工程预决算科：</w:t>
            </w:r>
          </w:p>
          <w:p w14:paraId="5A931EFB">
            <w:pPr>
              <w:rPr>
                <w:rFonts w:hint="eastAsia" w:ascii="楷体_GB2312" w:hAnsi="楷体_GB2312" w:eastAsia="楷体_GB2312" w:cs="楷体_GB2312"/>
                <w:color w:val="auto"/>
                <w:vertAlign w:val="baseline"/>
                <w:lang w:val="en-US" w:eastAsia="zh-CN"/>
              </w:rPr>
            </w:pPr>
          </w:p>
          <w:p w14:paraId="06BB810C">
            <w:pPr>
              <w:pStyle w:val="7"/>
              <w:ind w:left="0" w:leftChars="0" w:firstLine="0" w:firstLineChars="0"/>
              <w:rPr>
                <w:rFonts w:hint="eastAsia" w:ascii="楷体_GB2312" w:hAnsi="楷体_GB2312" w:eastAsia="楷体_GB2312" w:cs="楷体_GB2312"/>
                <w:color w:val="auto"/>
                <w:lang w:val="en-US" w:eastAsia="zh-CN"/>
              </w:rPr>
            </w:pPr>
            <w:r>
              <w:rPr>
                <w:rFonts w:hint="eastAsia" w:ascii="楷体_GB2312" w:hAnsi="楷体_GB2312" w:eastAsia="楷体_GB2312" w:cs="楷体_GB2312"/>
                <w:color w:val="auto"/>
                <w:vertAlign w:val="baseline"/>
                <w:lang w:val="en-US" w:eastAsia="zh-CN"/>
              </w:rPr>
              <w:t>分管领导：</w:t>
            </w:r>
          </w:p>
          <w:p w14:paraId="75C862DB">
            <w:pPr>
              <w:rPr>
                <w:rFonts w:hint="eastAsia" w:ascii="楷体_GB2312" w:hAnsi="楷体_GB2312" w:eastAsia="楷体_GB2312" w:cs="楷体_GB2312"/>
                <w:color w:val="auto"/>
                <w:vertAlign w:val="baseline"/>
                <w:lang w:val="en-US" w:eastAsia="zh-CN"/>
              </w:rPr>
            </w:pPr>
          </w:p>
          <w:p w14:paraId="24FB04BE">
            <w:pPr>
              <w:rPr>
                <w:rFonts w:hint="eastAsia" w:ascii="楷体_GB2312" w:hAnsi="楷体_GB2312" w:eastAsia="楷体_GB2312" w:cs="楷体_GB2312"/>
                <w:color w:val="auto"/>
                <w:vertAlign w:val="baseline"/>
                <w:lang w:val="en-US" w:eastAsia="zh-CN"/>
              </w:rPr>
            </w:pPr>
            <w:r>
              <w:rPr>
                <w:rFonts w:hint="eastAsia" w:ascii="楷体_GB2312" w:hAnsi="楷体_GB2312" w:eastAsia="楷体_GB2312" w:cs="楷体_GB2312"/>
                <w:color w:val="auto"/>
                <w:vertAlign w:val="baseline"/>
                <w:lang w:val="en-US" w:eastAsia="zh-CN"/>
              </w:rPr>
              <w:t>（公章）    年  月   日</w:t>
            </w:r>
          </w:p>
        </w:tc>
      </w:tr>
    </w:tbl>
    <w:p w14:paraId="7C000CF9">
      <w:pPr>
        <w:pStyle w:val="7"/>
        <w:widowControl w:val="0"/>
        <w:numPr>
          <w:ilvl w:val="0"/>
          <w:numId w:val="0"/>
        </w:numPr>
        <w:spacing w:line="312" w:lineRule="auto"/>
        <w:jc w:val="left"/>
        <w:rPr>
          <w:rFonts w:hint="eastAsia" w:ascii="楷体_GB2312" w:hAnsi="楷体_GB2312" w:eastAsia="楷体_GB2312" w:cs="楷体_GB2312"/>
          <w:color w:val="auto"/>
          <w:sz w:val="18"/>
          <w:szCs w:val="18"/>
          <w:vertAlign w:val="baseline"/>
          <w:lang w:val="en-US" w:eastAsia="zh-CN"/>
        </w:rPr>
      </w:pPr>
      <w:r>
        <w:rPr>
          <w:rFonts w:hint="eastAsia" w:ascii="楷体_GB2312" w:hAnsi="楷体_GB2312" w:eastAsia="楷体_GB2312" w:cs="楷体_GB2312"/>
          <w:color w:val="auto"/>
          <w:sz w:val="18"/>
          <w:szCs w:val="18"/>
          <w:vertAlign w:val="baseline"/>
          <w:lang w:val="en-US" w:eastAsia="zh-CN"/>
        </w:rPr>
        <w:t>注：1.本表格一式三份，工程预决算科一份，施工单位二份。</w:t>
      </w:r>
    </w:p>
    <w:p w14:paraId="46C0505A">
      <w:pPr>
        <w:pStyle w:val="7"/>
        <w:widowControl w:val="0"/>
        <w:numPr>
          <w:ilvl w:val="0"/>
          <w:numId w:val="0"/>
        </w:numPr>
        <w:spacing w:line="312" w:lineRule="auto"/>
        <w:ind w:left="420" w:leftChars="0"/>
        <w:jc w:val="left"/>
        <w:rPr>
          <w:rFonts w:hint="eastAsia" w:ascii="楷体_GB2312" w:hAnsi="楷体_GB2312" w:eastAsia="楷体_GB2312" w:cs="楷体_GB2312"/>
          <w:color w:val="auto"/>
          <w:sz w:val="18"/>
          <w:szCs w:val="18"/>
          <w:vertAlign w:val="baseline"/>
          <w:lang w:val="en-US" w:eastAsia="zh-CN"/>
        </w:rPr>
      </w:pPr>
      <w:r>
        <w:rPr>
          <w:rFonts w:hint="eastAsia" w:ascii="楷体_GB2312" w:hAnsi="楷体_GB2312" w:eastAsia="楷体_GB2312" w:cs="楷体_GB2312"/>
          <w:color w:val="auto"/>
          <w:sz w:val="18"/>
          <w:szCs w:val="18"/>
          <w:vertAlign w:val="baseline"/>
          <w:lang w:val="en-US" w:eastAsia="zh-CN"/>
        </w:rPr>
        <w:t>2.由施工单位填报，并完成各方签字盖章确认后，作为变更结算依据。</w:t>
      </w:r>
    </w:p>
    <w:p w14:paraId="0AD4ED18">
      <w:pPr>
        <w:pStyle w:val="7"/>
        <w:widowControl w:val="0"/>
        <w:numPr>
          <w:ilvl w:val="0"/>
          <w:numId w:val="0"/>
        </w:numPr>
        <w:spacing w:line="312" w:lineRule="auto"/>
        <w:ind w:left="420" w:leftChars="0"/>
        <w:jc w:val="left"/>
        <w:rPr>
          <w:rFonts w:hint="default"/>
          <w:color w:val="auto"/>
          <w:vertAlign w:val="baseline"/>
          <w:lang w:val="en-US" w:eastAsia="zh-CN"/>
        </w:rPr>
      </w:pPr>
      <w:r>
        <w:rPr>
          <w:rFonts w:hint="eastAsia" w:ascii="楷体_GB2312" w:hAnsi="楷体_GB2312" w:eastAsia="楷体_GB2312" w:cs="楷体_GB2312"/>
          <w:color w:val="auto"/>
          <w:sz w:val="18"/>
          <w:szCs w:val="18"/>
          <w:vertAlign w:val="baseline"/>
          <w:lang w:val="en-US" w:eastAsia="zh-CN"/>
        </w:rPr>
        <w:t>3.工程变更所涉及内容可以用图纸计量的，不允许以现场核量单为结算依据。</w:t>
      </w:r>
    </w:p>
    <w:p w14:paraId="6116856E">
      <w:pPr>
        <w:pStyle w:val="12"/>
        <w:rPr>
          <w:rFonts w:hint="eastAsia" w:ascii="宋体" w:hAnsi="宋体" w:eastAsia="宋体" w:cs="宋体"/>
          <w:color w:val="auto"/>
          <w:sz w:val="24"/>
          <w:szCs w:val="24"/>
        </w:rPr>
      </w:pPr>
    </w:p>
    <w:p w14:paraId="49E0D835">
      <w:pPr>
        <w:spacing w:line="360" w:lineRule="auto"/>
        <w:rPr>
          <w:rFonts w:hint="eastAsia" w:ascii="宋体" w:hAnsi="宋体"/>
          <w:b/>
          <w:color w:val="auto"/>
          <w:sz w:val="24"/>
          <w:szCs w:val="24"/>
          <w:highlight w:val="none"/>
        </w:rPr>
      </w:pPr>
    </w:p>
    <w:p w14:paraId="4617B122">
      <w:pPr>
        <w:spacing w:line="360" w:lineRule="auto"/>
        <w:rPr>
          <w:rFonts w:ascii="宋体" w:hAnsi="宋体"/>
          <w:b/>
          <w:color w:val="auto"/>
          <w:sz w:val="24"/>
          <w:szCs w:val="24"/>
          <w:highlight w:val="none"/>
        </w:rPr>
      </w:pPr>
      <w:r>
        <w:rPr>
          <w:rFonts w:hint="eastAsia" w:ascii="宋体" w:hAnsi="宋体"/>
          <w:b/>
          <w:color w:val="auto"/>
          <w:sz w:val="24"/>
          <w:szCs w:val="24"/>
          <w:highlight w:val="none"/>
        </w:rPr>
        <w:t>备注：以下制度</w:t>
      </w:r>
      <w:r>
        <w:rPr>
          <w:rFonts w:hint="eastAsia" w:ascii="宋体" w:hAnsi="宋体"/>
          <w:b/>
          <w:color w:val="auto"/>
          <w:sz w:val="24"/>
          <w:szCs w:val="24"/>
          <w:highlight w:val="none"/>
          <w:lang w:eastAsia="zh-CN"/>
        </w:rPr>
        <w:t>及附件</w:t>
      </w:r>
      <w:r>
        <w:rPr>
          <w:rFonts w:hint="eastAsia" w:ascii="宋体" w:hAnsi="宋体"/>
          <w:b/>
          <w:color w:val="auto"/>
          <w:sz w:val="24"/>
          <w:szCs w:val="24"/>
          <w:highlight w:val="none"/>
        </w:rPr>
        <w:t>均为合同的组成部分</w:t>
      </w:r>
    </w:p>
    <w:p w14:paraId="08C949B7">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s="宋体"/>
          <w:color w:val="auto"/>
          <w:sz w:val="24"/>
          <w:szCs w:val="24"/>
          <w:highlight w:val="none"/>
        </w:rPr>
        <w:t>鄂尔多斯市政府投资项目代建中心</w:t>
      </w:r>
      <w:r>
        <w:rPr>
          <w:rFonts w:hint="eastAsia" w:ascii="宋体" w:hAnsi="宋体"/>
          <w:color w:val="auto"/>
          <w:sz w:val="24"/>
          <w:szCs w:val="24"/>
          <w:highlight w:val="none"/>
        </w:rPr>
        <w:t>工程管理实施制度》</w:t>
      </w:r>
    </w:p>
    <w:p w14:paraId="2220E2CA">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2、《</w:t>
      </w:r>
      <w:r>
        <w:rPr>
          <w:rFonts w:hint="eastAsia" w:ascii="宋体" w:hAnsi="宋体" w:cs="宋体"/>
          <w:color w:val="auto"/>
          <w:sz w:val="24"/>
          <w:szCs w:val="24"/>
          <w:highlight w:val="none"/>
        </w:rPr>
        <w:t>鄂尔多斯市政府投资项目代建中心</w:t>
      </w:r>
      <w:r>
        <w:rPr>
          <w:rFonts w:hint="eastAsia" w:ascii="宋体" w:hAnsi="宋体"/>
          <w:color w:val="auto"/>
          <w:sz w:val="24"/>
          <w:szCs w:val="24"/>
          <w:highlight w:val="none"/>
        </w:rPr>
        <w:t>工程质量验收管理制度》；</w:t>
      </w:r>
    </w:p>
    <w:p w14:paraId="0E7E225D">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3、《</w:t>
      </w:r>
      <w:r>
        <w:rPr>
          <w:rFonts w:hint="eastAsia" w:ascii="宋体" w:hAnsi="宋体" w:cs="宋体"/>
          <w:color w:val="auto"/>
          <w:sz w:val="24"/>
          <w:szCs w:val="24"/>
          <w:highlight w:val="none"/>
        </w:rPr>
        <w:t>鄂尔多斯市政府投资项目代建中心</w:t>
      </w:r>
      <w:r>
        <w:rPr>
          <w:rFonts w:hint="eastAsia" w:ascii="宋体" w:hAnsi="宋体"/>
          <w:color w:val="auto"/>
          <w:sz w:val="24"/>
          <w:szCs w:val="24"/>
          <w:highlight w:val="none"/>
        </w:rPr>
        <w:t>施工单位履约评价管理制度》；</w:t>
      </w:r>
    </w:p>
    <w:p w14:paraId="7D69D4DB">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4、</w:t>
      </w:r>
      <w:r>
        <w:rPr>
          <w:rFonts w:hint="eastAsia" w:ascii="宋体" w:hAnsi="宋体" w:cs="宋体"/>
          <w:color w:val="auto"/>
          <w:sz w:val="24"/>
          <w:szCs w:val="24"/>
          <w:highlight w:val="none"/>
        </w:rPr>
        <w:t>《鄂尔多斯市政府投资项目代建中心</w:t>
      </w:r>
      <w:r>
        <w:rPr>
          <w:rFonts w:hint="eastAsia" w:ascii="宋体" w:hAnsi="宋体"/>
          <w:color w:val="auto"/>
          <w:sz w:val="24"/>
          <w:szCs w:val="24"/>
          <w:highlight w:val="none"/>
        </w:rPr>
        <w:t>园林绿化工程验收制度》；</w:t>
      </w:r>
    </w:p>
    <w:p w14:paraId="37489A8C">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5、《</w:t>
      </w:r>
      <w:r>
        <w:rPr>
          <w:rFonts w:hint="eastAsia" w:ascii="宋体" w:hAnsi="宋体" w:cs="宋体"/>
          <w:color w:val="auto"/>
          <w:sz w:val="24"/>
          <w:szCs w:val="24"/>
          <w:highlight w:val="none"/>
        </w:rPr>
        <w:t>鄂尔多斯市政府投资项目代建中心</w:t>
      </w:r>
      <w:r>
        <w:rPr>
          <w:rFonts w:hint="eastAsia" w:ascii="宋体" w:hAnsi="宋体"/>
          <w:color w:val="auto"/>
          <w:sz w:val="24"/>
          <w:szCs w:val="24"/>
          <w:highlight w:val="none"/>
        </w:rPr>
        <w:t>工验工计价及进度款支付管理流程》；</w:t>
      </w:r>
    </w:p>
    <w:p w14:paraId="7A7986AB">
      <w:pPr>
        <w:spacing w:line="360" w:lineRule="auto"/>
        <w:ind w:firstLine="480"/>
        <w:rPr>
          <w:rFonts w:ascii="宋体" w:hAnsi="宋体"/>
          <w:color w:val="auto"/>
          <w:sz w:val="24"/>
          <w:szCs w:val="24"/>
          <w:highlight w:val="none"/>
        </w:rPr>
      </w:pPr>
      <w:r>
        <w:rPr>
          <w:rFonts w:hint="eastAsia" w:ascii="宋体" w:hAnsi="宋体"/>
          <w:color w:val="auto"/>
          <w:sz w:val="24"/>
          <w:szCs w:val="24"/>
          <w:highlight w:val="none"/>
        </w:rPr>
        <w:t>6、《鄂尔多斯市政府投资项目代建中心工程结算工作规程》</w:t>
      </w:r>
      <w:r>
        <w:rPr>
          <w:rFonts w:hint="eastAsia" w:ascii="宋体" w:hAnsi="宋体"/>
          <w:color w:val="auto"/>
          <w:sz w:val="24"/>
          <w:szCs w:val="24"/>
          <w:highlight w:val="none"/>
          <w:lang w:eastAsia="zh-CN"/>
        </w:rPr>
        <w:t>（试行）</w:t>
      </w:r>
      <w:r>
        <w:rPr>
          <w:rFonts w:hint="eastAsia" w:ascii="宋体" w:hAnsi="宋体"/>
          <w:color w:val="auto"/>
          <w:sz w:val="24"/>
          <w:szCs w:val="24"/>
          <w:highlight w:val="none"/>
        </w:rPr>
        <w:t>；</w:t>
      </w:r>
    </w:p>
    <w:p w14:paraId="1F6E4589">
      <w:pPr>
        <w:spacing w:line="360" w:lineRule="auto"/>
        <w:ind w:firstLine="480"/>
        <w:rPr>
          <w:rFonts w:hint="eastAsia" w:ascii="宋体" w:hAnsi="宋体"/>
          <w:color w:val="auto"/>
          <w:sz w:val="24"/>
          <w:szCs w:val="24"/>
          <w:highlight w:val="none"/>
        </w:rPr>
      </w:pPr>
      <w:r>
        <w:rPr>
          <w:rFonts w:hint="eastAsia" w:ascii="宋体" w:hAnsi="宋体"/>
          <w:color w:val="auto"/>
          <w:sz w:val="24"/>
          <w:szCs w:val="24"/>
          <w:highlight w:val="none"/>
        </w:rPr>
        <w:t>7、《鄂尔多斯市政府投资项目代建中心农民工工资发放监督管理制度》；</w:t>
      </w:r>
    </w:p>
    <w:p w14:paraId="133FA442">
      <w:pPr>
        <w:spacing w:line="360" w:lineRule="auto"/>
        <w:ind w:firstLine="480"/>
        <w:rPr>
          <w:rFonts w:hint="eastAsia" w:eastAsia="宋体"/>
          <w:color w:val="auto"/>
          <w:lang w:val="en-US" w:eastAsia="zh-CN"/>
        </w:rPr>
      </w:pPr>
      <w:r>
        <w:rPr>
          <w:rFonts w:hint="eastAsia" w:ascii="宋体" w:hAnsi="宋体" w:eastAsia="宋体"/>
          <w:color w:val="auto"/>
          <w:sz w:val="24"/>
          <w:szCs w:val="24"/>
          <w:highlight w:val="none"/>
          <w:lang w:val="en-US" w:eastAsia="zh-CN"/>
        </w:rPr>
        <w:t>8、《</w:t>
      </w:r>
      <w:r>
        <w:rPr>
          <w:rFonts w:hint="eastAsia" w:ascii="宋体" w:hAnsi="宋体" w:eastAsia="宋体"/>
          <w:color w:val="auto"/>
          <w:sz w:val="24"/>
          <w:szCs w:val="24"/>
          <w:highlight w:val="none"/>
        </w:rPr>
        <w:t>鄂尔多斯市政府投资项目代建中心</w:t>
      </w:r>
      <w:r>
        <w:rPr>
          <w:rFonts w:hint="eastAsia" w:ascii="宋体" w:hAnsi="宋体" w:eastAsia="宋体"/>
          <w:color w:val="auto"/>
          <w:sz w:val="24"/>
          <w:szCs w:val="24"/>
          <w:highlight w:val="none"/>
          <w:lang w:eastAsia="zh-CN"/>
        </w:rPr>
        <w:t>工程</w:t>
      </w:r>
      <w:r>
        <w:rPr>
          <w:rFonts w:hint="eastAsia" w:ascii="宋体" w:hAnsi="宋体" w:eastAsia="宋体"/>
          <w:color w:val="auto"/>
          <w:sz w:val="24"/>
          <w:szCs w:val="24"/>
          <w:highlight w:val="none"/>
        </w:rPr>
        <w:t>变更</w:t>
      </w:r>
      <w:r>
        <w:rPr>
          <w:rFonts w:hint="eastAsia" w:ascii="宋体" w:hAnsi="宋体"/>
          <w:color w:val="auto"/>
          <w:sz w:val="24"/>
          <w:szCs w:val="24"/>
          <w:highlight w:val="none"/>
          <w:lang w:eastAsia="zh-CN"/>
        </w:rPr>
        <w:t>管理制度</w:t>
      </w:r>
      <w:r>
        <w:rPr>
          <w:rFonts w:hint="eastAsia" w:ascii="宋体" w:hAnsi="宋体" w:eastAsia="宋体"/>
          <w:color w:val="auto"/>
          <w:sz w:val="24"/>
          <w:szCs w:val="24"/>
          <w:highlight w:val="none"/>
          <w:lang w:val="en-US" w:eastAsia="zh-CN"/>
        </w:rPr>
        <w:t>》。</w:t>
      </w:r>
    </w:p>
    <w:p w14:paraId="793B0E03">
      <w:pPr>
        <w:spacing w:line="360" w:lineRule="auto"/>
        <w:ind w:firstLine="480"/>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 xml:space="preserve"> </w:t>
      </w:r>
    </w:p>
    <w:p w14:paraId="1AFC04D9">
      <w:pPr>
        <w:spacing w:line="360" w:lineRule="auto"/>
        <w:rPr>
          <w:rFonts w:hint="default" w:ascii="宋体" w:hAnsi="宋体" w:eastAsia="宋体" w:cs="Times New Roman"/>
          <w:b/>
          <w:color w:val="auto"/>
          <w:sz w:val="24"/>
          <w:szCs w:val="24"/>
          <w:highlight w:val="none"/>
          <w:lang w:val="en-US"/>
        </w:rPr>
      </w:pPr>
      <w:r>
        <w:rPr>
          <w:rFonts w:hint="eastAsia" w:ascii="宋体" w:hAnsi="宋体"/>
          <w:b/>
          <w:color w:val="auto"/>
          <w:sz w:val="24"/>
          <w:szCs w:val="24"/>
          <w:highlight w:val="none"/>
        </w:rPr>
        <w:t>发包人：(</w:t>
      </w:r>
      <w:r>
        <w:rPr>
          <w:rFonts w:hint="eastAsia" w:ascii="宋体" w:hAnsi="宋体"/>
          <w:b/>
          <w:color w:val="auto"/>
          <w:sz w:val="24"/>
          <w:szCs w:val="24"/>
          <w:highlight w:val="none"/>
          <w:lang w:eastAsia="zh-CN"/>
        </w:rPr>
        <w:t>盖</w:t>
      </w:r>
      <w:r>
        <w:rPr>
          <w:rFonts w:hint="eastAsia" w:ascii="宋体" w:hAnsi="宋体"/>
          <w:b/>
          <w:color w:val="auto"/>
          <w:sz w:val="24"/>
          <w:szCs w:val="24"/>
          <w:highlight w:val="none"/>
        </w:rPr>
        <w:t>章) 鄂尔多斯市政府投资           承包人：(</w:t>
      </w:r>
      <w:r>
        <w:rPr>
          <w:rFonts w:hint="eastAsia" w:ascii="宋体" w:hAnsi="宋体"/>
          <w:b/>
          <w:color w:val="auto"/>
          <w:sz w:val="24"/>
          <w:szCs w:val="24"/>
          <w:highlight w:val="none"/>
          <w:lang w:eastAsia="zh-CN"/>
        </w:rPr>
        <w:t>盖</w:t>
      </w:r>
      <w:r>
        <w:rPr>
          <w:rFonts w:hint="eastAsia" w:ascii="宋体" w:hAnsi="宋体"/>
          <w:b/>
          <w:color w:val="auto"/>
          <w:sz w:val="24"/>
          <w:szCs w:val="24"/>
          <w:highlight w:val="none"/>
        </w:rPr>
        <w:t xml:space="preserve">章) </w:t>
      </w:r>
      <w:r>
        <w:rPr>
          <w:rFonts w:hint="eastAsia" w:ascii="宋体" w:hAnsi="宋体" w:cs="Times New Roman"/>
          <w:b/>
          <w:color w:val="auto"/>
          <w:sz w:val="24"/>
          <w:szCs w:val="24"/>
          <w:highlight w:val="none"/>
          <w:lang w:val="en-US" w:eastAsia="zh-CN"/>
        </w:rPr>
        <w:t xml:space="preserve"> </w:t>
      </w:r>
    </w:p>
    <w:p w14:paraId="51894A0A">
      <w:pPr>
        <w:spacing w:line="360" w:lineRule="auto"/>
        <w:ind w:firstLine="2168" w:firstLineChars="900"/>
        <w:rPr>
          <w:rFonts w:hint="eastAsia" w:ascii="宋体" w:hAnsi="宋体" w:eastAsia="宋体"/>
          <w:color w:val="auto"/>
          <w:sz w:val="24"/>
          <w:szCs w:val="24"/>
          <w:highlight w:val="none"/>
          <w:lang w:val="en-US" w:eastAsia="zh-CN"/>
        </w:rPr>
      </w:pPr>
      <w:r>
        <w:rPr>
          <w:rFonts w:hint="eastAsia" w:ascii="宋体" w:hAnsi="宋体" w:eastAsia="宋体" w:cs="Times New Roman"/>
          <w:b/>
          <w:color w:val="auto"/>
          <w:sz w:val="24"/>
          <w:szCs w:val="24"/>
          <w:highlight w:val="none"/>
        </w:rPr>
        <w:t xml:space="preserve">项目代建中心             </w:t>
      </w:r>
      <w:r>
        <w:rPr>
          <w:rFonts w:hint="eastAsia" w:ascii="宋体" w:hAnsi="宋体" w:eastAsia="宋体" w:cs="Times New Roman"/>
          <w:b/>
          <w:color w:val="auto"/>
          <w:sz w:val="24"/>
          <w:szCs w:val="24"/>
          <w:highlight w:val="none"/>
          <w:lang w:val="en-US" w:eastAsia="zh-CN"/>
        </w:rPr>
        <w:t xml:space="preserve">         </w:t>
      </w:r>
      <w:r>
        <w:rPr>
          <w:rFonts w:hint="eastAsia" w:ascii="宋体" w:hAnsi="宋体" w:eastAsia="宋体" w:cs="Times New Roman"/>
          <w:b/>
          <w:color w:val="auto"/>
          <w:sz w:val="24"/>
          <w:szCs w:val="24"/>
          <w:highlight w:val="none"/>
        </w:rPr>
        <w:t xml:space="preserve"> </w:t>
      </w:r>
      <w:r>
        <w:rPr>
          <w:rFonts w:hint="eastAsia" w:ascii="宋体" w:hAnsi="宋体" w:eastAsia="宋体" w:cs="Times New Roman"/>
          <w:b/>
          <w:color w:val="auto"/>
          <w:sz w:val="24"/>
          <w:szCs w:val="24"/>
          <w:highlight w:val="none"/>
          <w:lang w:val="en-US" w:eastAsia="zh-CN"/>
        </w:rPr>
        <w:t xml:space="preserve">  </w:t>
      </w:r>
      <w:r>
        <w:rPr>
          <w:rFonts w:hint="eastAsia" w:ascii="宋体" w:hAnsi="宋体" w:cs="Times New Roman"/>
          <w:b/>
          <w:color w:val="auto"/>
          <w:sz w:val="24"/>
          <w:szCs w:val="24"/>
          <w:highlight w:val="none"/>
          <w:lang w:val="en-US" w:eastAsia="zh-CN"/>
        </w:rPr>
        <w:t xml:space="preserve">   </w:t>
      </w:r>
    </w:p>
    <w:p w14:paraId="17C4B8A4">
      <w:pPr>
        <w:spacing w:line="360" w:lineRule="auto"/>
        <w:rPr>
          <w:rFonts w:ascii="宋体" w:hAnsi="宋体"/>
          <w:color w:val="auto"/>
          <w:sz w:val="24"/>
          <w:szCs w:val="24"/>
          <w:highlight w:val="none"/>
        </w:rPr>
      </w:pPr>
      <w:r>
        <w:rPr>
          <w:rFonts w:hint="eastAsia" w:ascii="宋体" w:hAnsi="宋体"/>
          <w:color w:val="auto"/>
          <w:sz w:val="24"/>
          <w:szCs w:val="24"/>
          <w:highlight w:val="none"/>
        </w:rPr>
        <w:t>法定代表人或其授权委托人</w:t>
      </w:r>
      <w:r>
        <w:rPr>
          <w:rFonts w:ascii="宋体" w:hAnsi="宋体"/>
          <w:color w:val="auto"/>
          <w:sz w:val="24"/>
          <w:szCs w:val="24"/>
          <w:highlight w:val="none"/>
        </w:rPr>
        <w:t xml:space="preserve">：                </w:t>
      </w:r>
      <w:r>
        <w:rPr>
          <w:rFonts w:hint="eastAsia" w:ascii="宋体" w:hAnsi="宋体"/>
          <w:color w:val="auto"/>
          <w:sz w:val="24"/>
          <w:szCs w:val="24"/>
          <w:highlight w:val="none"/>
        </w:rPr>
        <w:t xml:space="preserve">  法定代表人或其授权委托人：</w:t>
      </w:r>
    </w:p>
    <w:p w14:paraId="40C66FFE">
      <w:pPr>
        <w:spacing w:line="360" w:lineRule="auto"/>
        <w:rPr>
          <w:rFonts w:ascii="宋体" w:hAnsi="宋体"/>
          <w:color w:val="auto"/>
          <w:sz w:val="24"/>
          <w:szCs w:val="24"/>
          <w:highlight w:val="none"/>
          <w:u w:val="single"/>
        </w:rPr>
      </w:pPr>
      <w:r>
        <w:rPr>
          <w:rFonts w:hint="eastAsia" w:ascii="宋体" w:hAnsi="宋体"/>
          <w:color w:val="auto"/>
          <w:sz w:val="24"/>
          <w:szCs w:val="24"/>
          <w:highlight w:val="none"/>
        </w:rPr>
        <w:t>（签字）                                   （签字）</w:t>
      </w:r>
    </w:p>
    <w:p w14:paraId="552771F7">
      <w:pPr>
        <w:spacing w:line="360" w:lineRule="auto"/>
        <w:rPr>
          <w:rFonts w:ascii="宋体" w:hAnsi="宋体"/>
          <w:color w:val="auto"/>
          <w:sz w:val="24"/>
          <w:szCs w:val="24"/>
          <w:highlight w:val="none"/>
        </w:rPr>
      </w:pPr>
    </w:p>
    <w:p w14:paraId="1B139E5C">
      <w:pPr>
        <w:spacing w:line="360" w:lineRule="auto"/>
        <w:rPr>
          <w:rFonts w:ascii="宋体" w:hAnsi="宋体"/>
          <w:color w:val="auto"/>
          <w:highlight w:val="none"/>
        </w:rPr>
        <w:sectPr>
          <w:headerReference r:id="rId10" w:type="default"/>
          <w:footerReference r:id="rId11" w:type="default"/>
          <w:pgSz w:w="11906" w:h="16838"/>
          <w:pgMar w:top="1417" w:right="1555" w:bottom="1417" w:left="1531" w:header="851" w:footer="992" w:gutter="0"/>
          <w:pgNumType w:fmt="decimal"/>
          <w:cols w:space="720" w:num="1"/>
          <w:titlePg/>
          <w:rtlGutter w:val="0"/>
          <w:docGrid w:type="lines" w:linePitch="312" w:charSpace="0"/>
        </w:sectPr>
      </w:pPr>
      <w:r>
        <w:rPr>
          <w:rFonts w:hint="eastAsia" w:ascii="宋体" w:hAnsi="宋体"/>
          <w:color w:val="auto"/>
          <w:sz w:val="24"/>
          <w:szCs w:val="24"/>
          <w:highlight w:val="none"/>
        </w:rPr>
        <w:t>签</w:t>
      </w:r>
      <w:r>
        <w:rPr>
          <w:rFonts w:hint="eastAsia" w:ascii="宋体" w:hAnsi="宋体"/>
          <w:color w:val="auto"/>
          <w:sz w:val="24"/>
          <w:szCs w:val="24"/>
          <w:highlight w:val="none"/>
          <w:lang w:eastAsia="zh-CN"/>
        </w:rPr>
        <w:t>订</w:t>
      </w:r>
      <w:r>
        <w:rPr>
          <w:rFonts w:hint="eastAsia" w:ascii="宋体" w:hAnsi="宋体"/>
          <w:color w:val="auto"/>
          <w:sz w:val="24"/>
          <w:szCs w:val="24"/>
          <w:highlight w:val="none"/>
        </w:rPr>
        <w:t>日期：</w:t>
      </w:r>
      <w:r>
        <w:rPr>
          <w:rFonts w:hint="eastAsia" w:ascii="宋体" w:hAnsi="宋体"/>
          <w:color w:val="auto"/>
          <w:sz w:val="24"/>
          <w:szCs w:val="24"/>
          <w:highlight w:val="none"/>
          <w:lang w:val="en-US" w:eastAsia="zh-CN"/>
        </w:rPr>
        <w:t>2025</w:t>
      </w:r>
      <w:r>
        <w:rPr>
          <w:rFonts w:hint="eastAsia" w:ascii="宋体" w:hAnsi="宋体"/>
          <w:color w:val="auto"/>
          <w:sz w:val="24"/>
          <w:szCs w:val="24"/>
          <w:highlight w:val="none"/>
        </w:rPr>
        <w:t xml:space="preserve">年 </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 xml:space="preserve"> 日</w:t>
      </w:r>
    </w:p>
    <w:p w14:paraId="4F250897">
      <w:pPr>
        <w:spacing w:line="540" w:lineRule="exact"/>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rPr>
        <w:t>附件六、项目管理机构配备表</w:t>
      </w:r>
      <w:r>
        <w:rPr>
          <w:rFonts w:hint="eastAsia" w:ascii="宋体" w:hAnsi="宋体"/>
          <w:color w:val="auto"/>
          <w:sz w:val="24"/>
          <w:szCs w:val="24"/>
          <w:highlight w:val="none"/>
          <w:lang w:val="en-US" w:eastAsia="zh-CN"/>
        </w:rPr>
        <w:t xml:space="preserve"> </w:t>
      </w:r>
    </w:p>
    <w:p w14:paraId="65E3AECE">
      <w:pPr>
        <w:pStyle w:val="3"/>
        <w:ind w:left="0" w:leftChars="0" w:firstLine="0" w:firstLineChars="0"/>
        <w:rPr>
          <w:rFonts w:hint="eastAsia" w:eastAsia="宋体"/>
          <w:color w:val="auto"/>
          <w:highlight w:val="none"/>
          <w:lang w:eastAsia="zh-CN"/>
        </w:rPr>
      </w:pPr>
    </w:p>
    <w:p w14:paraId="42BC0966">
      <w:pPr>
        <w:spacing w:line="220" w:lineRule="atLeast"/>
        <w:rPr>
          <w:rFonts w:hint="eastAsia" w:ascii="宋体" w:hAnsi="宋体"/>
          <w:color w:val="auto"/>
          <w:sz w:val="24"/>
          <w:szCs w:val="24"/>
          <w:highlight w:val="none"/>
        </w:rPr>
      </w:pPr>
    </w:p>
    <w:p w14:paraId="2D1D4AD7">
      <w:pPr>
        <w:spacing w:line="220" w:lineRule="atLeast"/>
        <w:rPr>
          <w:rFonts w:hint="eastAsia" w:ascii="宋体" w:hAnsi="宋体" w:eastAsia="宋体"/>
          <w:color w:val="auto"/>
          <w:sz w:val="24"/>
          <w:szCs w:val="24"/>
          <w:highlight w:val="none"/>
          <w:lang w:eastAsia="zh-CN"/>
        </w:rPr>
      </w:pPr>
    </w:p>
    <w:p w14:paraId="5A55599D">
      <w:pPr>
        <w:spacing w:line="220" w:lineRule="atLeast"/>
        <w:rPr>
          <w:rFonts w:hint="eastAsia" w:ascii="宋体" w:hAnsi="宋体"/>
          <w:color w:val="auto"/>
          <w:sz w:val="24"/>
          <w:szCs w:val="24"/>
          <w:highlight w:val="none"/>
        </w:rPr>
      </w:pPr>
    </w:p>
    <w:p w14:paraId="0A058462">
      <w:pPr>
        <w:spacing w:line="220" w:lineRule="atLeast"/>
        <w:rPr>
          <w:rFonts w:hint="eastAsia" w:ascii="宋体" w:hAnsi="宋体"/>
          <w:color w:val="auto"/>
          <w:sz w:val="24"/>
          <w:szCs w:val="24"/>
          <w:highlight w:val="none"/>
        </w:rPr>
      </w:pPr>
    </w:p>
    <w:p w14:paraId="590225D9">
      <w:pPr>
        <w:spacing w:line="220" w:lineRule="atLeast"/>
        <w:rPr>
          <w:rFonts w:hint="eastAsia" w:ascii="宋体" w:hAnsi="宋体"/>
          <w:color w:val="auto"/>
          <w:sz w:val="24"/>
          <w:szCs w:val="24"/>
          <w:highlight w:val="none"/>
        </w:rPr>
      </w:pPr>
    </w:p>
    <w:p w14:paraId="4F85C3E1">
      <w:pPr>
        <w:spacing w:line="220" w:lineRule="atLeast"/>
        <w:rPr>
          <w:rFonts w:hint="eastAsia" w:ascii="宋体" w:hAnsi="宋体"/>
          <w:color w:val="auto"/>
          <w:sz w:val="24"/>
          <w:szCs w:val="24"/>
          <w:highlight w:val="none"/>
        </w:rPr>
      </w:pPr>
    </w:p>
    <w:p w14:paraId="1562D697">
      <w:pPr>
        <w:pStyle w:val="2"/>
        <w:rPr>
          <w:rFonts w:hint="eastAsia" w:ascii="宋体" w:hAnsi="宋体"/>
          <w:color w:val="auto"/>
          <w:sz w:val="24"/>
          <w:szCs w:val="24"/>
          <w:highlight w:val="none"/>
        </w:rPr>
      </w:pPr>
    </w:p>
    <w:p w14:paraId="23343292">
      <w:pPr>
        <w:rPr>
          <w:rFonts w:hint="eastAsia"/>
          <w:color w:val="auto"/>
        </w:rPr>
      </w:pPr>
    </w:p>
    <w:p w14:paraId="79CE73E4">
      <w:pPr>
        <w:spacing w:line="220" w:lineRule="atLeast"/>
        <w:rPr>
          <w:rFonts w:hint="eastAsia" w:ascii="宋体" w:hAnsi="宋体"/>
          <w:color w:val="auto"/>
          <w:sz w:val="24"/>
          <w:szCs w:val="24"/>
          <w:highlight w:val="none"/>
        </w:rPr>
      </w:pPr>
      <w:r>
        <w:rPr>
          <w:rFonts w:hint="eastAsia" w:ascii="宋体" w:hAnsi="宋体"/>
          <w:color w:val="auto"/>
          <w:sz w:val="24"/>
          <w:szCs w:val="24"/>
          <w:highlight w:val="none"/>
        </w:rPr>
        <w:t>附件七、中标通知书</w:t>
      </w:r>
    </w:p>
    <w:p w14:paraId="3C5A974A">
      <w:pPr>
        <w:pStyle w:val="3"/>
        <w:ind w:left="0" w:leftChars="0" w:firstLine="0" w:firstLineChars="0"/>
        <w:rPr>
          <w:rFonts w:hint="eastAsia" w:eastAsia="宋体"/>
          <w:color w:val="auto"/>
          <w:highlight w:val="none"/>
          <w:lang w:eastAsia="zh-CN"/>
        </w:rPr>
      </w:pPr>
    </w:p>
    <w:p w14:paraId="352A34F2">
      <w:pPr>
        <w:spacing w:line="220" w:lineRule="atLeast"/>
        <w:rPr>
          <w:rFonts w:hint="eastAsia" w:ascii="宋体" w:hAnsi="宋体"/>
          <w:color w:val="auto"/>
          <w:sz w:val="24"/>
          <w:szCs w:val="24"/>
          <w:highlight w:val="none"/>
        </w:rPr>
      </w:pPr>
    </w:p>
    <w:p w14:paraId="7409D3C4">
      <w:pPr>
        <w:spacing w:line="220" w:lineRule="atLeast"/>
        <w:rPr>
          <w:rFonts w:hint="eastAsia" w:ascii="宋体" w:hAnsi="宋体"/>
          <w:color w:val="auto"/>
          <w:sz w:val="24"/>
          <w:szCs w:val="24"/>
          <w:highlight w:val="none"/>
        </w:rPr>
      </w:pPr>
    </w:p>
    <w:p w14:paraId="13948B47">
      <w:pPr>
        <w:spacing w:line="220" w:lineRule="atLeast"/>
        <w:rPr>
          <w:rFonts w:hint="eastAsia" w:ascii="宋体" w:hAnsi="宋体"/>
          <w:color w:val="auto"/>
          <w:sz w:val="24"/>
          <w:szCs w:val="24"/>
          <w:highlight w:val="none"/>
        </w:rPr>
      </w:pPr>
    </w:p>
    <w:p w14:paraId="5C3AD184">
      <w:pPr>
        <w:spacing w:line="220" w:lineRule="atLeast"/>
        <w:rPr>
          <w:rFonts w:hint="eastAsia" w:ascii="宋体" w:hAnsi="宋体"/>
          <w:color w:val="auto"/>
          <w:sz w:val="24"/>
          <w:szCs w:val="24"/>
          <w:highlight w:val="none"/>
        </w:rPr>
      </w:pPr>
    </w:p>
    <w:p w14:paraId="1CAE426A">
      <w:pPr>
        <w:spacing w:line="220" w:lineRule="atLeast"/>
        <w:rPr>
          <w:rFonts w:hint="eastAsia" w:ascii="宋体" w:hAnsi="宋体"/>
          <w:color w:val="auto"/>
          <w:sz w:val="24"/>
          <w:szCs w:val="24"/>
          <w:highlight w:val="none"/>
        </w:rPr>
      </w:pPr>
    </w:p>
    <w:p w14:paraId="1C0CBEBF">
      <w:pPr>
        <w:spacing w:line="220" w:lineRule="atLeast"/>
        <w:rPr>
          <w:rFonts w:hint="eastAsia" w:ascii="宋体" w:hAnsi="宋体"/>
          <w:color w:val="auto"/>
          <w:sz w:val="24"/>
          <w:szCs w:val="24"/>
          <w:highlight w:val="none"/>
        </w:rPr>
      </w:pPr>
    </w:p>
    <w:p w14:paraId="4AA7096E">
      <w:pPr>
        <w:spacing w:line="220" w:lineRule="atLeast"/>
        <w:rPr>
          <w:rFonts w:hint="eastAsia" w:ascii="宋体" w:hAnsi="宋体"/>
          <w:color w:val="auto"/>
          <w:sz w:val="24"/>
          <w:szCs w:val="24"/>
          <w:highlight w:val="none"/>
        </w:rPr>
      </w:pPr>
    </w:p>
    <w:p w14:paraId="7A31C165">
      <w:pPr>
        <w:spacing w:line="220" w:lineRule="atLeast"/>
        <w:rPr>
          <w:rFonts w:hint="eastAsia" w:ascii="宋体" w:hAnsi="宋体"/>
          <w:color w:val="auto"/>
          <w:sz w:val="24"/>
          <w:szCs w:val="24"/>
          <w:highlight w:val="none"/>
        </w:rPr>
      </w:pPr>
    </w:p>
    <w:p w14:paraId="7ADE461F">
      <w:pPr>
        <w:spacing w:line="220" w:lineRule="atLeast"/>
        <w:rPr>
          <w:rFonts w:hint="eastAsia" w:ascii="宋体" w:hAnsi="宋体"/>
          <w:color w:val="auto"/>
          <w:sz w:val="24"/>
          <w:szCs w:val="24"/>
          <w:highlight w:val="none"/>
          <w:lang w:val="en-US" w:eastAsia="zh-CN"/>
        </w:rPr>
      </w:pPr>
      <w:r>
        <w:rPr>
          <w:rFonts w:hint="eastAsia" w:ascii="宋体" w:hAnsi="宋体"/>
          <w:color w:val="auto"/>
          <w:sz w:val="24"/>
          <w:szCs w:val="24"/>
          <w:highlight w:val="none"/>
        </w:rPr>
        <w:t>附件八、投标</w:t>
      </w:r>
      <w:r>
        <w:rPr>
          <w:rFonts w:hint="eastAsia" w:ascii="宋体" w:hAnsi="宋体"/>
          <w:color w:val="auto"/>
          <w:sz w:val="24"/>
          <w:szCs w:val="24"/>
          <w:highlight w:val="none"/>
          <w:lang w:eastAsia="zh-CN"/>
        </w:rPr>
        <w:t>承诺函</w:t>
      </w:r>
      <w:r>
        <w:rPr>
          <w:rFonts w:hint="eastAsia" w:ascii="宋体" w:hAnsi="宋体"/>
          <w:color w:val="auto"/>
          <w:sz w:val="24"/>
          <w:szCs w:val="24"/>
          <w:highlight w:val="none"/>
          <w:lang w:val="en-US" w:eastAsia="zh-CN"/>
        </w:rPr>
        <w:t xml:space="preserve"> </w:t>
      </w:r>
    </w:p>
    <w:p w14:paraId="6BC8AA3D">
      <w:pPr>
        <w:pStyle w:val="2"/>
        <w:rPr>
          <w:rFonts w:hint="eastAsia" w:eastAsia="宋体"/>
          <w:color w:val="auto"/>
          <w:lang w:val="en-US" w:eastAsia="zh-CN"/>
        </w:rPr>
      </w:pPr>
    </w:p>
    <w:p w14:paraId="173683BC">
      <w:pPr>
        <w:pStyle w:val="3"/>
        <w:ind w:left="0" w:leftChars="0" w:firstLine="0" w:firstLineChars="0"/>
        <w:rPr>
          <w:rFonts w:hint="eastAsia" w:ascii="宋体" w:hAnsi="宋体" w:eastAsia="宋体"/>
          <w:color w:val="auto"/>
          <w:sz w:val="24"/>
          <w:szCs w:val="24"/>
          <w:highlight w:val="none"/>
          <w:lang w:eastAsia="zh-CN"/>
        </w:rPr>
      </w:pPr>
    </w:p>
    <w:p w14:paraId="4C6D87AB">
      <w:pPr>
        <w:rPr>
          <w:rFonts w:hint="eastAsia" w:ascii="宋体" w:hAnsi="宋体"/>
          <w:color w:val="auto"/>
          <w:sz w:val="24"/>
          <w:szCs w:val="24"/>
          <w:highlight w:val="none"/>
        </w:rPr>
      </w:pPr>
    </w:p>
    <w:p w14:paraId="1FE0D81D">
      <w:pPr>
        <w:rPr>
          <w:rFonts w:hint="eastAsia" w:ascii="宋体" w:hAnsi="宋体"/>
          <w:color w:val="auto"/>
          <w:sz w:val="24"/>
          <w:szCs w:val="24"/>
          <w:highlight w:val="none"/>
        </w:rPr>
      </w:pPr>
    </w:p>
    <w:p w14:paraId="49C367B3">
      <w:pPr>
        <w:rPr>
          <w:rFonts w:hint="eastAsia" w:ascii="宋体" w:hAnsi="宋体"/>
          <w:color w:val="auto"/>
          <w:sz w:val="24"/>
          <w:szCs w:val="24"/>
          <w:highlight w:val="none"/>
        </w:rPr>
      </w:pPr>
    </w:p>
    <w:p w14:paraId="2033E689">
      <w:pPr>
        <w:rPr>
          <w:rFonts w:hint="eastAsia" w:ascii="宋体" w:hAnsi="宋体"/>
          <w:color w:val="auto"/>
          <w:sz w:val="24"/>
          <w:szCs w:val="24"/>
          <w:highlight w:val="none"/>
        </w:rPr>
      </w:pPr>
    </w:p>
    <w:p w14:paraId="76D029DA">
      <w:pPr>
        <w:rPr>
          <w:rFonts w:hint="eastAsia" w:ascii="宋体" w:hAnsi="宋体"/>
          <w:color w:val="auto"/>
          <w:sz w:val="24"/>
          <w:szCs w:val="24"/>
          <w:highlight w:val="none"/>
        </w:rPr>
      </w:pPr>
    </w:p>
    <w:p w14:paraId="65931978">
      <w:pPr>
        <w:rPr>
          <w:color w:val="auto"/>
          <w:highlight w:val="none"/>
        </w:rPr>
      </w:pPr>
      <w:r>
        <w:rPr>
          <w:rFonts w:hint="eastAsia" w:ascii="宋体" w:hAnsi="宋体"/>
          <w:color w:val="auto"/>
          <w:sz w:val="24"/>
          <w:szCs w:val="24"/>
          <w:highlight w:val="none"/>
        </w:rPr>
        <w:t>附件九、农民工工资支付承诺书</w:t>
      </w:r>
      <w:r>
        <w:rPr>
          <w:rFonts w:hint="eastAsia" w:ascii="宋体" w:hAnsi="宋体"/>
          <w:color w:val="auto"/>
          <w:sz w:val="24"/>
          <w:szCs w:val="24"/>
          <w:highlight w:val="none"/>
          <w:lang w:val="en-US" w:eastAsia="zh-CN"/>
        </w:rPr>
        <w:t xml:space="preserve"> </w:t>
      </w:r>
    </w:p>
    <w:p w14:paraId="1871D39D">
      <w:pPr>
        <w:rPr>
          <w:rFonts w:hint="eastAsia" w:eastAsia="宋体"/>
          <w:color w:val="auto"/>
          <w:highlight w:val="none"/>
          <w:lang w:eastAsia="zh-CN"/>
        </w:rPr>
      </w:pPr>
      <w:bookmarkStart w:id="27" w:name="_GoBack"/>
      <w:bookmarkEnd w:id="27"/>
    </w:p>
    <w:p w14:paraId="1547572A">
      <w:pPr>
        <w:rPr>
          <w:color w:val="auto"/>
        </w:rPr>
      </w:pPr>
    </w:p>
    <w:sectPr>
      <w:pgSz w:w="11906" w:h="16838"/>
      <w:pgMar w:top="1417" w:right="1800" w:bottom="1417" w:left="1800" w:header="851" w:footer="992" w:gutter="0"/>
      <w:pgNumType w:fmt="decimal"/>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EE7B24A-A86F-4F68-9915-625C373C67B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5AF0F7AA-CD31-4F61-ADFE-B724F78B1EA0}"/>
  </w:font>
  <w:font w:name="Garamond">
    <w:altName w:val="PMingLiU-ExtB"/>
    <w:panose1 w:val="02020404030301010803"/>
    <w:charset w:val="00"/>
    <w:family w:val="roman"/>
    <w:pitch w:val="default"/>
    <w:sig w:usb0="00000000" w:usb1="00000000" w:usb2="00000000" w:usb3="00000000" w:csb0="0000009F" w:csb1="00000000"/>
  </w:font>
  <w:font w:name="Noto Serif Bengali">
    <w:altName w:val="PMingLiU-ExtB"/>
    <w:panose1 w:val="02020502040504020204"/>
    <w:charset w:val="00"/>
    <w:family w:val="auto"/>
    <w:pitch w:val="default"/>
    <w:sig w:usb0="00000000" w:usb1="00000000" w:usb2="00000000" w:usb3="00000000" w:csb0="00000001" w:csb1="00000000"/>
  </w:font>
  <w:font w:name="仿宋_GB2312">
    <w:panose1 w:val="02010609030101010101"/>
    <w:charset w:val="86"/>
    <w:family w:val="auto"/>
    <w:pitch w:val="default"/>
    <w:sig w:usb0="00000001" w:usb1="080E0000" w:usb2="00000000" w:usb3="00000000" w:csb0="00040000" w:csb1="00000000"/>
    <w:embedRegular r:id="rId3" w:fontKey="{5E0B1A6A-E93E-4694-9C13-9D1F57AE99F6}"/>
  </w:font>
  <w:font w:name="Lucida Sans Unicode">
    <w:panose1 w:val="020B0602030504020204"/>
    <w:charset w:val="00"/>
    <w:family w:val="auto"/>
    <w:pitch w:val="default"/>
    <w:sig w:usb0="80001AFF" w:usb1="0000396B" w:usb2="00000000" w:usb3="00000000" w:csb0="200000BF" w:csb1="D7F70000"/>
    <w:embedRegular r:id="rId4" w:fontKey="{E5A36E51-74B0-437B-95B0-E670AC4DA04C}"/>
  </w:font>
  <w:font w:name="MingLiU_HKSCS">
    <w:panose1 w:val="02020500000000000000"/>
    <w:charset w:val="88"/>
    <w:family w:val="roman"/>
    <w:pitch w:val="default"/>
    <w:sig w:usb0="A00002FF" w:usb1="38CFFCFA" w:usb2="00000016" w:usb3="00000000" w:csb0="00100001" w:csb1="00000000"/>
    <w:embedRegular r:id="rId5" w:fontKey="{B3DE167A-7C63-4F5F-89A5-A3C54B77544A}"/>
  </w:font>
  <w:font w:name="仿宋">
    <w:panose1 w:val="02010609060101010101"/>
    <w:charset w:val="86"/>
    <w:family w:val="auto"/>
    <w:pitch w:val="default"/>
    <w:sig w:usb0="800002BF" w:usb1="38CF7CFA" w:usb2="00000016" w:usb3="00000000" w:csb0="00040001" w:csb1="00000000"/>
    <w:embedRegular r:id="rId6" w:fontKey="{3AEC9654-C7FF-4993-8251-B18BE8D8F53F}"/>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embedRegular r:id="rId7" w:fontKey="{DEF1AB91-AEF3-4244-B5FE-2C8BE2AD366E}"/>
  </w:font>
  <w:font w:name="Wingdings 2">
    <w:panose1 w:val="05020102010507070707"/>
    <w:charset w:val="02"/>
    <w:family w:val="auto"/>
    <w:pitch w:val="default"/>
    <w:sig w:usb0="00000000" w:usb1="00000000" w:usb2="00000000" w:usb3="00000000" w:csb0="80000000" w:csb1="00000000"/>
    <w:embedRegular r:id="rId8" w:fontKey="{75100973-8B33-4DEF-8019-30863CE5E982}"/>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DBF408">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4281B3">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5E4281B3">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94A9AD">
    <w:pPr>
      <w:spacing w:before="1" w:line="179" w:lineRule="auto"/>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posOffset>2717165</wp:posOffset>
              </wp:positionH>
              <wp:positionV relativeFrom="paragraph">
                <wp:posOffset>-463550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8D6AA1">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13.95pt;margin-top:-36.5pt;height:144pt;width:144pt;mso-position-horizontal-relative:margin;mso-wrap-style:none;z-index:251661312;mso-width-relative:page;mso-height-relative:page;" filled="f" stroked="f" coordsize="21600,21600" o:gfxdata="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ULsXt2QAAAAsBAAAPAAAAAAAAAAEAIAAAACIAAABkcnMvZG93bnJldi54&#10;bWxQSwECFAAUAAAACACHTuJA/1tBazICAABjBAAADgAAAAAAAAABACAAAAAoAQAAZHJzL2Uyb0Rv&#10;Yy54bWxQSwUGAAAAAAYABgBZAQAAzAUAAAAA&#10;">
              <v:fill on="f" focussize="0,0"/>
              <v:stroke on="f" weight="0.5pt"/>
              <v:imagedata o:title=""/>
              <o:lock v:ext="edit" aspectratio="f"/>
              <v:textbox inset="0mm,0mm,0mm,0mm" style="mso-fit-shape-to-text:t;">
                <w:txbxContent>
                  <w:p w14:paraId="7C8D6AA1">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9CDD5">
    <w:pPr>
      <w:pStyle w:val="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F6394E">
                          <w:pPr>
                            <w:pStyle w:val="4"/>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54F6394E">
                    <w:pPr>
                      <w:pStyle w:val="4"/>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D389DD">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8D191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648D191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BA29D">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-312420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B802A33">
                          <w:pPr>
                            <w:pStyle w:val="4"/>
                            <w:rPr>
                              <w:b w:val="0"/>
                              <w:bCs w:val="0"/>
                              <w:sz w:val="24"/>
                              <w:szCs w:val="24"/>
                            </w:rPr>
                          </w:pPr>
                          <w:r>
                            <w:rPr>
                              <w:rFonts w:hint="eastAsia" w:ascii="宋体" w:hAnsi="宋体" w:eastAsia="宋体" w:cs="宋体"/>
                              <w:b w:val="0"/>
                              <w:bCs w:val="0"/>
                              <w:sz w:val="28"/>
                              <w:szCs w:val="28"/>
                            </w:rPr>
                            <w:fldChar w:fldCharType="begin"/>
                          </w:r>
                          <w:r>
                            <w:rPr>
                              <w:rFonts w:hint="eastAsia" w:ascii="宋体" w:hAnsi="宋体" w:eastAsia="宋体" w:cs="宋体"/>
                              <w:b w:val="0"/>
                              <w:bCs w:val="0"/>
                              <w:sz w:val="28"/>
                              <w:szCs w:val="28"/>
                            </w:rPr>
                            <w:instrText xml:space="preserve"> PAGE  \* MERGEFORMAT </w:instrText>
                          </w:r>
                          <w:r>
                            <w:rPr>
                              <w:rFonts w:hint="eastAsia" w:ascii="宋体" w:hAnsi="宋体" w:eastAsia="宋体" w:cs="宋体"/>
                              <w:b w:val="0"/>
                              <w:bCs w:val="0"/>
                              <w:sz w:val="28"/>
                              <w:szCs w:val="28"/>
                            </w:rPr>
                            <w:fldChar w:fldCharType="separate"/>
                          </w:r>
                          <w:r>
                            <w:rPr>
                              <w:rFonts w:hint="eastAsia" w:ascii="宋体" w:hAnsi="宋体" w:eastAsia="宋体" w:cs="宋体"/>
                              <w:b w:val="0"/>
                              <w:bCs w:val="0"/>
                              <w:sz w:val="28"/>
                              <w:szCs w:val="28"/>
                            </w:rPr>
                            <w:t>1</w:t>
                          </w:r>
                          <w:r>
                            <w:rPr>
                              <w:rFonts w:hint="eastAsia" w:ascii="宋体" w:hAnsi="宋体" w:eastAsia="宋体" w:cs="宋体"/>
                              <w:b w:val="0"/>
                              <w:bCs w:val="0"/>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24.6pt;height:144pt;width:144pt;mso-position-horizontal:outside;mso-position-horizontal-relative:margin;mso-wrap-style:none;z-index:251659264;mso-width-relative:page;mso-height-relative:page;" filled="f" stroked="f" coordsize="21600,21600" o:gfxdata="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5oMH19UAAAAIAQAADwAAAAAAAAABACAAAAAiAAAAZHJzL2Rvd25y&#10;ZXYueG1sUEsBAhQAFAAAAAgAh07iQMT0TX7IAQAAmQMAAA4AAAAAAAAAAQAgAAAAJAEAAGRycy9l&#10;Mm9Eb2MueG1sUEsFBgAAAAAGAAYAWQEAAF4FAAAAAA==&#10;">
              <v:fill on="f" focussize="0,0"/>
              <v:stroke on="f"/>
              <v:imagedata o:title=""/>
              <o:lock v:ext="edit" aspectratio="f"/>
              <v:textbox inset="0mm,0mm,0mm,0mm" style="mso-fit-shape-to-text:t;">
                <w:txbxContent>
                  <w:p w14:paraId="2B802A33">
                    <w:pPr>
                      <w:pStyle w:val="4"/>
                      <w:rPr>
                        <w:b w:val="0"/>
                        <w:bCs w:val="0"/>
                        <w:sz w:val="24"/>
                        <w:szCs w:val="24"/>
                      </w:rPr>
                    </w:pPr>
                    <w:r>
                      <w:rPr>
                        <w:rFonts w:hint="eastAsia" w:ascii="宋体" w:hAnsi="宋体" w:eastAsia="宋体" w:cs="宋体"/>
                        <w:b w:val="0"/>
                        <w:bCs w:val="0"/>
                        <w:sz w:val="28"/>
                        <w:szCs w:val="28"/>
                      </w:rPr>
                      <w:fldChar w:fldCharType="begin"/>
                    </w:r>
                    <w:r>
                      <w:rPr>
                        <w:rFonts w:hint="eastAsia" w:ascii="宋体" w:hAnsi="宋体" w:eastAsia="宋体" w:cs="宋体"/>
                        <w:b w:val="0"/>
                        <w:bCs w:val="0"/>
                        <w:sz w:val="28"/>
                        <w:szCs w:val="28"/>
                      </w:rPr>
                      <w:instrText xml:space="preserve"> PAGE  \* MERGEFORMAT </w:instrText>
                    </w:r>
                    <w:r>
                      <w:rPr>
                        <w:rFonts w:hint="eastAsia" w:ascii="宋体" w:hAnsi="宋体" w:eastAsia="宋体" w:cs="宋体"/>
                        <w:b w:val="0"/>
                        <w:bCs w:val="0"/>
                        <w:sz w:val="28"/>
                        <w:szCs w:val="28"/>
                      </w:rPr>
                      <w:fldChar w:fldCharType="separate"/>
                    </w:r>
                    <w:r>
                      <w:rPr>
                        <w:rFonts w:hint="eastAsia" w:ascii="宋体" w:hAnsi="宋体" w:eastAsia="宋体" w:cs="宋体"/>
                        <w:b w:val="0"/>
                        <w:bCs w:val="0"/>
                        <w:sz w:val="28"/>
                        <w:szCs w:val="28"/>
                      </w:rPr>
                      <w:t>1</w:t>
                    </w:r>
                    <w:r>
                      <w:rPr>
                        <w:rFonts w:hint="eastAsia" w:ascii="宋体" w:hAnsi="宋体" w:eastAsia="宋体" w:cs="宋体"/>
                        <w:b w:val="0"/>
                        <w:bCs w:val="0"/>
                        <w:sz w:val="28"/>
                        <w:szCs w:val="28"/>
                      </w:rPr>
                      <w:fldChar w:fldCharType="end"/>
                    </w:r>
                  </w:p>
                </w:txbxContent>
              </v:textbox>
            </v:shape>
          </w:pict>
        </mc:Fallback>
      </mc:AlternateContent>
    </w:r>
  </w:p>
  <w:p w14:paraId="1887FC12">
    <w:pPr>
      <w:pStyle w:val="4"/>
      <w:jc w:val="right"/>
      <w:rPr>
        <w:rFonts w:ascii="宋体" w:hAnsi="宋体"/>
        <w:sz w:val="28"/>
        <w:szCs w:val="28"/>
      </w:rPr>
    </w:pPr>
  </w:p>
  <w:p w14:paraId="0E0E7C2B">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B42D7">
    <w:pPr>
      <w:pStyle w:val="4"/>
      <w:jc w:val="right"/>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13E5C0">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14:paraId="1A13E5C0">
                    <w:pPr>
                      <w:pStyle w:val="4"/>
                    </w:pPr>
                    <w:r>
                      <w:fldChar w:fldCharType="begin"/>
                    </w:r>
                    <w:r>
                      <w:instrText xml:space="preserve"> PAGE  \* MERGEFORMAT </w:instrText>
                    </w:r>
                    <w:r>
                      <w:fldChar w:fldCharType="separate"/>
                    </w:r>
                    <w:r>
                      <w:t>1</w:t>
                    </w:r>
                    <w:r>
                      <w:fldChar w:fldCharType="end"/>
                    </w:r>
                  </w:p>
                </w:txbxContent>
              </v:textbox>
            </v:shape>
          </w:pict>
        </mc:Fallback>
      </mc:AlternateContent>
    </w:r>
  </w:p>
  <w:p w14:paraId="17A41726">
    <w:pPr>
      <w:pStyle w:val="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F4DCC3">
    <w:pPr>
      <w:pStyle w:val="4"/>
      <w:jc w:val="right"/>
      <w:rPr>
        <w:rFonts w:ascii="宋体" w:hAnsi="宋体"/>
        <w:sz w:val="28"/>
        <w:szCs w:val="28"/>
      </w:rPr>
    </w:pPr>
    <w:r>
      <w:rPr>
        <w:sz w:val="2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4C0064">
                          <w:pPr>
                            <w:pStyle w:val="4"/>
                          </w:pPr>
                          <w:r>
                            <w:fldChar w:fldCharType="begin"/>
                          </w:r>
                          <w:r>
                            <w:instrText xml:space="preserve"> PAGE  \* MERGEFORMAT </w:instrText>
                          </w:r>
                          <w:r>
                            <w:fldChar w:fldCharType="separate"/>
                          </w:r>
                          <w:r>
                            <w:t>114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7E4C0064">
                    <w:pPr>
                      <w:pStyle w:val="4"/>
                    </w:pPr>
                    <w:r>
                      <w:fldChar w:fldCharType="begin"/>
                    </w:r>
                    <w:r>
                      <w:instrText xml:space="preserve"> PAGE  \* MERGEFORMAT </w:instrText>
                    </w:r>
                    <w:r>
                      <w:fldChar w:fldCharType="separate"/>
                    </w:r>
                    <w:r>
                      <w:t>114</w:t>
                    </w:r>
                    <w:r>
                      <w:fldChar w:fldCharType="end"/>
                    </w:r>
                  </w:p>
                </w:txbxContent>
              </v:textbox>
            </v:shape>
          </w:pict>
        </mc:Fallback>
      </mc:AlternateContent>
    </w:r>
  </w:p>
  <w:p w14:paraId="7F30B00E">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7F50E">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EE27E">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3D0A89"/>
    <w:multiLevelType w:val="singleLevel"/>
    <w:tmpl w:val="853D0A89"/>
    <w:lvl w:ilvl="0" w:tentative="0">
      <w:start w:val="2"/>
      <w:numFmt w:val="decimal"/>
      <w:lvlText w:val="%1."/>
      <w:lvlJc w:val="left"/>
      <w:pPr>
        <w:tabs>
          <w:tab w:val="left" w:pos="312"/>
        </w:tabs>
      </w:pPr>
    </w:lvl>
  </w:abstractNum>
  <w:abstractNum w:abstractNumId="1">
    <w:nsid w:val="CBF44FF6"/>
    <w:multiLevelType w:val="singleLevel"/>
    <w:tmpl w:val="CBF44FF6"/>
    <w:lvl w:ilvl="0" w:tentative="0">
      <w:start w:val="1"/>
      <w:numFmt w:val="chineseCounting"/>
      <w:suff w:val="nothing"/>
      <w:lvlText w:val="（%1）"/>
      <w:lvlJc w:val="left"/>
      <w:pPr>
        <w:ind w:left="0" w:firstLine="397"/>
      </w:pPr>
      <w:rPr>
        <w:rFonts w:hint="eastAsia"/>
      </w:rPr>
    </w:lvl>
  </w:abstractNum>
  <w:abstractNum w:abstractNumId="2">
    <w:nsid w:val="DAC01B85"/>
    <w:multiLevelType w:val="singleLevel"/>
    <w:tmpl w:val="DAC01B85"/>
    <w:lvl w:ilvl="0" w:tentative="0">
      <w:start w:val="1"/>
      <w:numFmt w:val="chineseCounting"/>
      <w:suff w:val="nothing"/>
      <w:lvlText w:val="（%1）"/>
      <w:lvlJc w:val="left"/>
      <w:pPr>
        <w:ind w:left="0" w:firstLine="420"/>
      </w:pPr>
      <w:rPr>
        <w:rFonts w:hint="eastAsia"/>
      </w:rPr>
    </w:lvl>
  </w:abstractNum>
  <w:abstractNum w:abstractNumId="3">
    <w:nsid w:val="F2B9FF2E"/>
    <w:multiLevelType w:val="singleLevel"/>
    <w:tmpl w:val="F2B9FF2E"/>
    <w:lvl w:ilvl="0" w:tentative="0">
      <w:start w:val="1"/>
      <w:numFmt w:val="chineseCounting"/>
      <w:suff w:val="nothing"/>
      <w:lvlText w:val="（%1）"/>
      <w:lvlJc w:val="left"/>
      <w:pPr>
        <w:ind w:left="0" w:firstLine="420"/>
      </w:pPr>
      <w:rPr>
        <w:rFonts w:hint="eastAsia"/>
      </w:rPr>
    </w:lvl>
  </w:abstractNum>
  <w:abstractNum w:abstractNumId="4">
    <w:nsid w:val="F3619A92"/>
    <w:multiLevelType w:val="singleLevel"/>
    <w:tmpl w:val="F3619A92"/>
    <w:lvl w:ilvl="0" w:tentative="0">
      <w:start w:val="1"/>
      <w:numFmt w:val="chineseCounting"/>
      <w:suff w:val="nothing"/>
      <w:lvlText w:val="（%1）"/>
      <w:lvlJc w:val="left"/>
      <w:pPr>
        <w:ind w:left="0" w:firstLine="420"/>
      </w:pPr>
      <w:rPr>
        <w:rFonts w:hint="eastAsia"/>
      </w:rPr>
    </w:lvl>
  </w:abstractNum>
  <w:abstractNum w:abstractNumId="5">
    <w:nsid w:val="00000001"/>
    <w:multiLevelType w:val="singleLevel"/>
    <w:tmpl w:val="00000001"/>
    <w:lvl w:ilvl="0" w:tentative="0">
      <w:start w:val="1"/>
      <w:numFmt w:val="chineseCounting"/>
      <w:suff w:val="nothing"/>
      <w:lvlText w:val="（%1）"/>
      <w:lvlJc w:val="left"/>
      <w:rPr>
        <w:rFonts w:hint="eastAsia"/>
      </w:rPr>
    </w:lvl>
  </w:abstractNum>
  <w:abstractNum w:abstractNumId="6">
    <w:nsid w:val="00000002"/>
    <w:multiLevelType w:val="singleLevel"/>
    <w:tmpl w:val="00000002"/>
    <w:lvl w:ilvl="0" w:tentative="0">
      <w:start w:val="1"/>
      <w:numFmt w:val="decimal"/>
      <w:suff w:val="nothing"/>
      <w:lvlText w:val="（%1）"/>
      <w:lvlJc w:val="left"/>
    </w:lvl>
  </w:abstractNum>
  <w:abstractNum w:abstractNumId="7">
    <w:nsid w:val="04974062"/>
    <w:multiLevelType w:val="singleLevel"/>
    <w:tmpl w:val="04974062"/>
    <w:lvl w:ilvl="0" w:tentative="0">
      <w:start w:val="1"/>
      <w:numFmt w:val="chineseCounting"/>
      <w:suff w:val="nothing"/>
      <w:lvlText w:val="（%1）"/>
      <w:lvlJc w:val="left"/>
      <w:rPr>
        <w:rFonts w:hint="eastAsia"/>
      </w:rPr>
    </w:lvl>
  </w:abstractNum>
  <w:abstractNum w:abstractNumId="8">
    <w:nsid w:val="146A566D"/>
    <w:multiLevelType w:val="singleLevel"/>
    <w:tmpl w:val="146A566D"/>
    <w:lvl w:ilvl="0" w:tentative="0">
      <w:start w:val="1"/>
      <w:numFmt w:val="lowerLetter"/>
      <w:lvlText w:val="%1."/>
      <w:lvlJc w:val="left"/>
      <w:pPr>
        <w:tabs>
          <w:tab w:val="left" w:pos="312"/>
        </w:tabs>
        <w:ind w:left="0" w:firstLine="0"/>
      </w:pPr>
    </w:lvl>
  </w:abstractNum>
  <w:abstractNum w:abstractNumId="9">
    <w:nsid w:val="150651C3"/>
    <w:multiLevelType w:val="singleLevel"/>
    <w:tmpl w:val="150651C3"/>
    <w:lvl w:ilvl="0" w:tentative="0">
      <w:start w:val="2"/>
      <w:numFmt w:val="chineseCounting"/>
      <w:suff w:val="space"/>
      <w:lvlText w:val="第%1章"/>
      <w:lvlJc w:val="left"/>
      <w:rPr>
        <w:rFonts w:hint="eastAsia"/>
      </w:rPr>
    </w:lvl>
  </w:abstractNum>
  <w:abstractNum w:abstractNumId="10">
    <w:nsid w:val="1A6BC033"/>
    <w:multiLevelType w:val="singleLevel"/>
    <w:tmpl w:val="1A6BC033"/>
    <w:lvl w:ilvl="0" w:tentative="0">
      <w:start w:val="1"/>
      <w:numFmt w:val="chineseCounting"/>
      <w:suff w:val="nothing"/>
      <w:lvlText w:val="（%1）"/>
      <w:lvlJc w:val="left"/>
      <w:pPr>
        <w:ind w:left="0" w:firstLine="420"/>
      </w:pPr>
      <w:rPr>
        <w:rFonts w:hint="eastAsia"/>
      </w:rPr>
    </w:lvl>
  </w:abstractNum>
  <w:abstractNum w:abstractNumId="11">
    <w:nsid w:val="34BC74C3"/>
    <w:multiLevelType w:val="singleLevel"/>
    <w:tmpl w:val="34BC74C3"/>
    <w:lvl w:ilvl="0" w:tentative="0">
      <w:start w:val="2"/>
      <w:numFmt w:val="chineseCounting"/>
      <w:suff w:val="nothing"/>
      <w:lvlText w:val="（%1）"/>
      <w:lvlJc w:val="left"/>
      <w:rPr>
        <w:rFonts w:hint="eastAsia"/>
      </w:rPr>
    </w:lvl>
  </w:abstractNum>
  <w:abstractNum w:abstractNumId="12">
    <w:nsid w:val="67BD370A"/>
    <w:multiLevelType w:val="singleLevel"/>
    <w:tmpl w:val="67BD370A"/>
    <w:lvl w:ilvl="0" w:tentative="0">
      <w:start w:val="8"/>
      <w:numFmt w:val="chineseCounting"/>
      <w:suff w:val="space"/>
      <w:lvlText w:val="第%1章"/>
      <w:lvlJc w:val="left"/>
    </w:lvl>
  </w:abstractNum>
  <w:abstractNum w:abstractNumId="13">
    <w:nsid w:val="67CFA563"/>
    <w:multiLevelType w:val="singleLevel"/>
    <w:tmpl w:val="67CFA563"/>
    <w:lvl w:ilvl="0" w:tentative="0">
      <w:start w:val="7"/>
      <w:numFmt w:val="chineseCounting"/>
      <w:suff w:val="space"/>
      <w:lvlText w:val="第%1章"/>
      <w:lvlJc w:val="left"/>
    </w:lvl>
  </w:abstractNum>
  <w:abstractNum w:abstractNumId="14">
    <w:nsid w:val="67CFB684"/>
    <w:multiLevelType w:val="singleLevel"/>
    <w:tmpl w:val="67CFB684"/>
    <w:lvl w:ilvl="0" w:tentative="0">
      <w:start w:val="10"/>
      <w:numFmt w:val="chineseCounting"/>
      <w:suff w:val="space"/>
      <w:lvlText w:val="第%1章"/>
      <w:lvlJc w:val="left"/>
    </w:lvl>
  </w:abstractNum>
  <w:abstractNum w:abstractNumId="15">
    <w:nsid w:val="67D139A4"/>
    <w:multiLevelType w:val="singleLevel"/>
    <w:tmpl w:val="67D139A4"/>
    <w:lvl w:ilvl="0" w:tentative="0">
      <w:start w:val="2"/>
      <w:numFmt w:val="decimal"/>
      <w:suff w:val="nothing"/>
      <w:lvlText w:val="%1."/>
      <w:lvlJc w:val="left"/>
    </w:lvl>
  </w:abstractNum>
  <w:abstractNum w:abstractNumId="16">
    <w:nsid w:val="6BE87DBB"/>
    <w:multiLevelType w:val="singleLevel"/>
    <w:tmpl w:val="6BE87DBB"/>
    <w:lvl w:ilvl="0" w:tentative="0">
      <w:start w:val="2"/>
      <w:numFmt w:val="decimal"/>
      <w:suff w:val="nothing"/>
      <w:lvlText w:val="（%1）"/>
      <w:lvlJc w:val="left"/>
    </w:lvl>
  </w:abstractNum>
  <w:abstractNum w:abstractNumId="17">
    <w:nsid w:val="74E7E5F4"/>
    <w:multiLevelType w:val="singleLevel"/>
    <w:tmpl w:val="74E7E5F4"/>
    <w:lvl w:ilvl="0" w:tentative="0">
      <w:start w:val="1"/>
      <w:numFmt w:val="chineseCounting"/>
      <w:suff w:val="nothing"/>
      <w:lvlText w:val="（%1）"/>
      <w:lvlJc w:val="left"/>
      <w:pPr>
        <w:ind w:left="0" w:firstLine="420"/>
      </w:pPr>
      <w:rPr>
        <w:rFonts w:hint="eastAsia"/>
      </w:rPr>
    </w:lvl>
  </w:abstractNum>
  <w:num w:numId="1">
    <w:abstractNumId w:val="16"/>
  </w:num>
  <w:num w:numId="2">
    <w:abstractNumId w:val="0"/>
  </w:num>
  <w:num w:numId="3">
    <w:abstractNumId w:val="6"/>
  </w:num>
  <w:num w:numId="4">
    <w:abstractNumId w:val="8"/>
    <w:lvlOverride w:ilvl="0">
      <w:startOverride w:val="1"/>
    </w:lvlOverride>
  </w:num>
  <w:num w:numId="5">
    <w:abstractNumId w:val="10"/>
  </w:num>
  <w:num w:numId="6">
    <w:abstractNumId w:val="3"/>
  </w:num>
  <w:num w:numId="7">
    <w:abstractNumId w:val="4"/>
  </w:num>
  <w:num w:numId="8">
    <w:abstractNumId w:val="2"/>
  </w:num>
  <w:num w:numId="9">
    <w:abstractNumId w:val="17"/>
  </w:num>
  <w:num w:numId="10">
    <w:abstractNumId w:val="1"/>
  </w:num>
  <w:num w:numId="11">
    <w:abstractNumId w:val="5"/>
  </w:num>
  <w:num w:numId="12">
    <w:abstractNumId w:val="9"/>
  </w:num>
  <w:num w:numId="13">
    <w:abstractNumId w:val="13"/>
  </w:num>
  <w:num w:numId="14">
    <w:abstractNumId w:val="11"/>
  </w:num>
  <w:num w:numId="15">
    <w:abstractNumId w:val="7"/>
  </w:num>
  <w:num w:numId="16">
    <w:abstractNumId w:val="12"/>
  </w:num>
  <w:num w:numId="17">
    <w:abstractNumId w:val="1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dit="readOnly" w:formatting="1" w:enforcement="1" w:cryptProviderType="rsaFull" w:cryptAlgorithmClass="hash" w:cryptAlgorithmType="typeAny" w:cryptAlgorithmSid="4" w:cryptSpinCount="0" w:hash="+b493t4CkGcGQU0PhUza3U6S/pU=" w:salt="ROZmchFRdrz3Hk/UQYdu8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252DD9"/>
    <w:rsid w:val="04EF1B11"/>
    <w:rsid w:val="0A9210C2"/>
    <w:rsid w:val="1F59243B"/>
    <w:rsid w:val="237DEF6F"/>
    <w:rsid w:val="28252DD9"/>
    <w:rsid w:val="2ED9DD57"/>
    <w:rsid w:val="2FDD4076"/>
    <w:rsid w:val="31012C04"/>
    <w:rsid w:val="3BEE18FA"/>
    <w:rsid w:val="3E23EB22"/>
    <w:rsid w:val="3F132B91"/>
    <w:rsid w:val="3F3FE533"/>
    <w:rsid w:val="3FE7FA25"/>
    <w:rsid w:val="41CD7422"/>
    <w:rsid w:val="4EEFC7B9"/>
    <w:rsid w:val="4F242B90"/>
    <w:rsid w:val="53802A3B"/>
    <w:rsid w:val="53FF9B45"/>
    <w:rsid w:val="547D95F5"/>
    <w:rsid w:val="5A3B0686"/>
    <w:rsid w:val="5A9418A9"/>
    <w:rsid w:val="5C5A3BAE"/>
    <w:rsid w:val="5DFF45C4"/>
    <w:rsid w:val="5EFF3159"/>
    <w:rsid w:val="5FBB44B2"/>
    <w:rsid w:val="6BFFC48F"/>
    <w:rsid w:val="6CDB5496"/>
    <w:rsid w:val="6FFFEF7D"/>
    <w:rsid w:val="77BF6F3A"/>
    <w:rsid w:val="7AAF94DD"/>
    <w:rsid w:val="7AFD6262"/>
    <w:rsid w:val="7BEEB900"/>
    <w:rsid w:val="7FE93D1A"/>
    <w:rsid w:val="7FFEAB25"/>
    <w:rsid w:val="BDFF895D"/>
    <w:rsid w:val="CFBFD461"/>
    <w:rsid w:val="D97134F0"/>
    <w:rsid w:val="DE87F227"/>
    <w:rsid w:val="E6FE0FB5"/>
    <w:rsid w:val="EF0FB3BE"/>
    <w:rsid w:val="EF7F836D"/>
    <w:rsid w:val="F7DB242B"/>
    <w:rsid w:val="F7FC0C62"/>
    <w:rsid w:val="F7FC2527"/>
    <w:rsid w:val="FBEE8E91"/>
    <w:rsid w:val="FE1FF5C3"/>
    <w:rsid w:val="FF3C5A1A"/>
    <w:rsid w:val="FF6FF770"/>
    <w:rsid w:val="FF7FF978"/>
    <w:rsid w:val="FFD5E45F"/>
    <w:rsid w:val="FFFF7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Web)"/>
    <w:basedOn w:val="1"/>
    <w:next w:val="1"/>
    <w:qFormat/>
    <w:uiPriority w:val="0"/>
    <w:pPr>
      <w:widowControl/>
      <w:spacing w:before="100" w:beforeAutospacing="1" w:after="100" w:afterAutospacing="1" w:line="330" w:lineRule="atLeast"/>
      <w:jc w:val="left"/>
    </w:pPr>
    <w:rPr>
      <w:rFonts w:ascii="宋体" w:hAnsi="宋体" w:cs="宋体"/>
      <w:kern w:val="0"/>
      <w:sz w:val="22"/>
    </w:rPr>
  </w:style>
  <w:style w:type="paragraph" w:styleId="3">
    <w:name w:val="Block Text"/>
    <w:basedOn w:val="1"/>
    <w:qFormat/>
    <w:uiPriority w:val="0"/>
    <w:pPr>
      <w:widowControl/>
      <w:tabs>
        <w:tab w:val="right" w:pos="8640"/>
      </w:tabs>
      <w:spacing w:after="120"/>
      <w:ind w:left="1440" w:leftChars="700" w:right="1440"/>
    </w:pPr>
    <w:rPr>
      <w:rFonts w:ascii="Garamond" w:hAnsi="Garamond" w:eastAsia="Times New Roman"/>
      <w:spacing w:val="-2"/>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39"/>
    <w:pPr>
      <w:spacing w:before="120" w:after="120"/>
      <w:jc w:val="left"/>
    </w:pPr>
    <w:rPr>
      <w:b/>
      <w:caps/>
      <w:sz w:val="20"/>
    </w:rPr>
  </w:style>
  <w:style w:type="paragraph" w:styleId="7">
    <w:name w:val="Body Text First Indent"/>
    <w:basedOn w:val="1"/>
    <w:next w:val="1"/>
    <w:qFormat/>
    <w:uiPriority w:val="0"/>
    <w:pPr>
      <w:spacing w:line="312" w:lineRule="auto"/>
      <w:ind w:firstLine="420"/>
    </w:pPr>
  </w:style>
  <w:style w:type="table" w:styleId="9">
    <w:name w:val="Table Grid"/>
    <w:basedOn w:val="8"/>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qFormat/>
    <w:uiPriority w:val="99"/>
    <w:rPr>
      <w:color w:val="0D203D"/>
      <w:u w:val="none"/>
    </w:rPr>
  </w:style>
  <w:style w:type="paragraph" w:customStyle="1" w:styleId="12">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customStyle="1" w:styleId="13">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列出段落1"/>
    <w:basedOn w:val="1"/>
    <w:qFormat/>
    <w:uiPriority w:val="34"/>
    <w:pPr>
      <w:ind w:firstLine="420" w:firstLineChars="200"/>
    </w:pPr>
    <w:rPr>
      <w:szCs w:val="20"/>
    </w:rPr>
  </w:style>
  <w:style w:type="character" w:customStyle="1" w:styleId="15">
    <w:name w:val="font3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header" Target="header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5.wmf"/><Relationship Id="rId16" Type="http://schemas.openxmlformats.org/officeDocument/2006/relationships/image" Target="media/image4.wmf"/><Relationship Id="rId15" Type="http://schemas.openxmlformats.org/officeDocument/2006/relationships/image" Target="media/image3.wmf"/><Relationship Id="rId14" Type="http://schemas.openxmlformats.org/officeDocument/2006/relationships/image" Target="media/image2.wmf"/><Relationship Id="rId13" Type="http://schemas.openxmlformats.org/officeDocument/2006/relationships/image" Target="media/image1.wmf"/><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header" Target="header2.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132</Pages>
  <Words>1081</Words>
  <Characters>1192</Characters>
  <Lines>0</Lines>
  <Paragraphs>0</Paragraphs>
  <TotalTime>19</TotalTime>
  <ScaleCrop>false</ScaleCrop>
  <LinksUpToDate>false</LinksUpToDate>
  <CharactersWithSpaces>1246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2025-04-04T23:08:00Z</dcterms:created>
  <dc:creator>ㅤ⠀⠀ㅤ⠀⠀ㅤ</dc:creator>
  <cp:lastModifiedBy>刘元（小号）</cp:lastModifiedBy>
  <dcterms:modified xsi:type="dcterms:W3CDTF">2025-07-18T02:42:57Z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316C01A4B34842EE8F3B5B295600511E_13</vt:lpwstr>
  </property>
  <property fmtid="{D5CDD505-2E9C-101B-9397-08002B2CF9AE}" pid="4" name="KSOTemplateDocerSaveRecord">
    <vt:lpwstr>eyJoZGlkIjoiNTEyOWUwMjAyYzg3YmNiYTJhYzgwMDkxNjMyNDI2Y2YiLCJ1c2VySWQiOiI2Nzc1Mzc5NDMifQ==</vt:lpwstr>
  </property>
</Properties>
</file>