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19304">
      <w:pPr>
        <w:jc w:val="center"/>
        <w:rPr>
          <w:rFonts w:hint="eastAsia"/>
          <w:b/>
          <w:bCs/>
          <w:sz w:val="52"/>
          <w:szCs w:val="60"/>
          <w:lang w:val="en-US" w:eastAsia="zh-CN"/>
        </w:rPr>
      </w:pPr>
      <w:r>
        <w:rPr>
          <w:rFonts w:hint="eastAsia"/>
          <w:b/>
          <w:bCs/>
          <w:sz w:val="52"/>
          <w:szCs w:val="60"/>
          <w:lang w:val="en-US" w:eastAsia="zh-CN"/>
        </w:rPr>
        <w:t>印刷经营许可证</w:t>
      </w:r>
    </w:p>
    <w:p w14:paraId="49491CCD">
      <w:pPr>
        <w:jc w:val="left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（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投标人须提供有效的《印刷经营许可证》，证书需在有效期内，经营范围需包含本次采购相关业务。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95879"/>
    <w:rsid w:val="5D695879"/>
    <w:rsid w:val="7A4B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2026-03-26T01:53:00Z</dcterms:created>
  <dc:creator>苏日娜</dc:creator>
  <cp:lastModifiedBy>苏日娜</cp:lastModifiedBy>
  <dcterms:modified xsi:type="dcterms:W3CDTF">2026-03-26T02:03:55Z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264731234A9A464DB4D6C06055541870_11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