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购买人民调解服务项目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鄂尔多斯市东胜区司法局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内蒙古精瑞项目管理有限公司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ESZCDSS-C-F-250005</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内蒙古精瑞项目管理有限公司</w:t>
      </w:r>
      <w:r>
        <w:rPr>
          <w:rFonts w:ascii="仿宋_GB2312" w:hAnsi="仿宋_GB2312" w:cs="仿宋_GB2312" w:eastAsia="仿宋_GB2312"/>
        </w:rPr>
        <w:t xml:space="preserve"> 受 </w:t>
      </w:r>
      <w:r>
        <w:rPr>
          <w:rFonts w:ascii="仿宋_GB2312" w:hAnsi="仿宋_GB2312" w:cs="仿宋_GB2312" w:eastAsia="仿宋_GB2312"/>
        </w:rPr>
        <w:t>鄂尔多斯市东胜区司法局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购买人民调解服务项目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购买人民调解服务项目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ESZCDSS-C-F-250005</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428[2025]00035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2,273,000.00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购买人民调解服务项目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2,273,000.00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租赁和商务服务业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方式：在线获取。获取采购文件时，需登录“政府采购云平台”，按照“交易执行→应标→项目应标→未参与项目”步骤，填写联系人相关信息确认参与后，即为成功“在线获取”。 售价： 免费获取</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内蒙古精瑞项目管理有限公司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内蒙古自治区鄂尔多斯市东胜区建设街道纺织东街27号金色阳光大酒店11层1118号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冯万顺</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15561121295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鄂尔多斯市东胜区司法局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鄂尔多斯市东胜区</w:t>
      </w:r>
    </w:p>
    <w:p>
      <w:pPr>
        <w:pStyle w:val="null5"/>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康振国</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0477-8338677</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代理服务费收费标准：参照内工建协（2022）34号文件“关于印发《内蒙古自治区建设工程招标代理服务收费指导意见》的通知”收费标准计取收费</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鄂尔多斯市东胜区司法局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内蒙古精瑞项目管理有限公司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 xml:space="preserve"> 购买人民调解服务项目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自合同签订之日起一年</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鄂尔多斯市东胜区</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1、签订合同后支付12%，达到付款条件起10日，支付合同总金额的12.00%</w:t>
            </w:r>
          </w:p>
          <w:p>
            <w:pPr>
              <w:pStyle w:val="null5"/>
              <w:jc w:val="left"/>
            </w:pPr>
            <w:r>
              <w:rPr>
                <w:rFonts w:ascii="仿宋_GB2312" w:hAnsi="仿宋_GB2312" w:cs="仿宋_GB2312" w:eastAsia="仿宋_GB2312"/>
              </w:rPr>
              <w:t>2、按月支付8%，达到付款条件起10日，支付合同总金额的8.00%</w:t>
            </w:r>
          </w:p>
          <w:p>
            <w:pPr>
              <w:pStyle w:val="null5"/>
              <w:jc w:val="left"/>
            </w:pPr>
            <w:r>
              <w:rPr>
                <w:rFonts w:ascii="仿宋_GB2312" w:hAnsi="仿宋_GB2312" w:cs="仿宋_GB2312" w:eastAsia="仿宋_GB2312"/>
              </w:rPr>
              <w:t>3、按月支付8%，达到付款条件起10日，支付合同总金额的8.00%</w:t>
            </w:r>
          </w:p>
          <w:p>
            <w:pPr>
              <w:pStyle w:val="null5"/>
              <w:jc w:val="left"/>
            </w:pPr>
            <w:r>
              <w:rPr>
                <w:rFonts w:ascii="仿宋_GB2312" w:hAnsi="仿宋_GB2312" w:cs="仿宋_GB2312" w:eastAsia="仿宋_GB2312"/>
              </w:rPr>
              <w:t>4、按月支付8%，达到付款条件起10日，支付合同总金额的8.00%</w:t>
            </w:r>
          </w:p>
          <w:p>
            <w:pPr>
              <w:pStyle w:val="null5"/>
              <w:jc w:val="left"/>
            </w:pPr>
            <w:r>
              <w:rPr>
                <w:rFonts w:ascii="仿宋_GB2312" w:hAnsi="仿宋_GB2312" w:cs="仿宋_GB2312" w:eastAsia="仿宋_GB2312"/>
              </w:rPr>
              <w:t>5、按月支付8%，达到付款条件起10日，支付合同总金额的8.00%</w:t>
            </w:r>
          </w:p>
          <w:p>
            <w:pPr>
              <w:pStyle w:val="null5"/>
              <w:jc w:val="left"/>
            </w:pPr>
            <w:r>
              <w:rPr>
                <w:rFonts w:ascii="仿宋_GB2312" w:hAnsi="仿宋_GB2312" w:cs="仿宋_GB2312" w:eastAsia="仿宋_GB2312"/>
              </w:rPr>
              <w:t>6、按月支付8%，达到付款条件起10日，支付合同总金额的8.00%</w:t>
            </w:r>
          </w:p>
          <w:p>
            <w:pPr>
              <w:pStyle w:val="null5"/>
              <w:jc w:val="left"/>
            </w:pPr>
            <w:r>
              <w:rPr>
                <w:rFonts w:ascii="仿宋_GB2312" w:hAnsi="仿宋_GB2312" w:cs="仿宋_GB2312" w:eastAsia="仿宋_GB2312"/>
              </w:rPr>
              <w:t>7、按月支付8%，达到付款条件起10日，支付合同总金额的8.00%</w:t>
            </w:r>
          </w:p>
          <w:p>
            <w:pPr>
              <w:pStyle w:val="null5"/>
              <w:jc w:val="left"/>
            </w:pPr>
            <w:r>
              <w:rPr>
                <w:rFonts w:ascii="仿宋_GB2312" w:hAnsi="仿宋_GB2312" w:cs="仿宋_GB2312" w:eastAsia="仿宋_GB2312"/>
              </w:rPr>
              <w:t>8、按月支付8%，达到付款条件起10日，支付合同总金额的8.00%</w:t>
            </w:r>
          </w:p>
          <w:p>
            <w:pPr>
              <w:pStyle w:val="null5"/>
              <w:jc w:val="left"/>
            </w:pPr>
            <w:r>
              <w:rPr>
                <w:rFonts w:ascii="仿宋_GB2312" w:hAnsi="仿宋_GB2312" w:cs="仿宋_GB2312" w:eastAsia="仿宋_GB2312"/>
              </w:rPr>
              <w:t>9、按月支付8%，达到付款条件起10日，支付合同总金额的8.00%</w:t>
            </w:r>
          </w:p>
          <w:p>
            <w:pPr>
              <w:pStyle w:val="null5"/>
              <w:jc w:val="left"/>
            </w:pPr>
            <w:r>
              <w:rPr>
                <w:rFonts w:ascii="仿宋_GB2312" w:hAnsi="仿宋_GB2312" w:cs="仿宋_GB2312" w:eastAsia="仿宋_GB2312"/>
              </w:rPr>
              <w:t>10、按月支付8%，达到付款条件起10日，支付合同总金额的8.00%</w:t>
            </w:r>
          </w:p>
          <w:p>
            <w:pPr>
              <w:pStyle w:val="null5"/>
              <w:jc w:val="left"/>
            </w:pPr>
            <w:r>
              <w:rPr>
                <w:rFonts w:ascii="仿宋_GB2312" w:hAnsi="仿宋_GB2312" w:cs="仿宋_GB2312" w:eastAsia="仿宋_GB2312"/>
              </w:rPr>
              <w:t>11、按月支付8%，达到付款条件起10日，支付合同总金额的8.00%</w:t>
            </w:r>
          </w:p>
          <w:p>
            <w:pPr>
              <w:pStyle w:val="null5"/>
              <w:jc w:val="left"/>
            </w:pPr>
            <w:r>
              <w:rPr>
                <w:rFonts w:ascii="仿宋_GB2312" w:hAnsi="仿宋_GB2312" w:cs="仿宋_GB2312" w:eastAsia="仿宋_GB2312"/>
              </w:rPr>
              <w:t>12、按月支付8%，达到付款条件起10日，支付合同总金额的8.00%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标的名称：购买人民调解服务项目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4"/>
                <w:color w:val="000000"/>
              </w:rPr>
              <w:t>1、承接主体聘用具有丰富法律知识和人民调解工作经验，经司法行政机关备案的人民调解员和基层法律服务工作者开展人民调解服务；</w:t>
            </w:r>
          </w:p>
          <w:p>
            <w:pPr>
              <w:pStyle w:val="null5"/>
              <w:jc w:val="both"/>
            </w:pPr>
            <w:r>
              <w:rPr>
                <w:rFonts w:ascii="仿宋_GB2312" w:hAnsi="仿宋_GB2312" w:cs="仿宋_GB2312" w:eastAsia="仿宋_GB2312"/>
                <w:sz w:val="24"/>
                <w:color w:val="000000"/>
              </w:rPr>
              <w:t>2、为相关部门、群众咨询人民调解相关政策、事项提供服务；对辖区内民间矛盾纠纷进行排查，并针对排查出的矛盾纠纷向相关部门提出处置意见；通过组织专题活动、印发资料、制作广告和刊播专题等方式，提供法律知识普及教育、医疗纠纷等调解咨询和服务、宣传人民调解法、人民调解工作。</w:t>
            </w:r>
          </w:p>
          <w:p>
            <w:pPr>
              <w:pStyle w:val="null5"/>
              <w:jc w:val="both"/>
            </w:pPr>
            <w:r>
              <w:rPr>
                <w:rFonts w:ascii="仿宋_GB2312" w:hAnsi="仿宋_GB2312" w:cs="仿宋_GB2312" w:eastAsia="仿宋_GB2312"/>
                <w:sz w:val="24"/>
                <w:color w:val="000000"/>
              </w:rPr>
              <w:t>3、组织开展企业个人法律体检活动、司法诉求解答、风险防控提示、代写法律文书等多项法律服务。</w:t>
            </w:r>
          </w:p>
          <w:p>
            <w:pPr>
              <w:pStyle w:val="null5"/>
              <w:jc w:val="both"/>
            </w:pPr>
            <w:r>
              <w:rPr>
                <w:rFonts w:ascii="仿宋_GB2312" w:hAnsi="仿宋_GB2312" w:cs="仿宋_GB2312" w:eastAsia="仿宋_GB2312"/>
                <w:sz w:val="24"/>
                <w:color w:val="000000"/>
              </w:rPr>
              <w:t>4、人民调解队伍培训服务。受采购人委托对人民调解员进行业务培训。为人民调解员业务培训提供师资、场所、教材等服务。重点培训《人民调解法》民商法等法律法规，矛盾纠纷案件调解程序调解方法技巧“司法厅基层基础工作平台”矛盾纠纷案件录入方法、人民调解统计分析报告的撰写方法等内容。</w:t>
            </w:r>
          </w:p>
          <w:p>
            <w:pPr>
              <w:pStyle w:val="null5"/>
              <w:jc w:val="both"/>
            </w:pPr>
            <w:r>
              <w:rPr>
                <w:rFonts w:ascii="仿宋_GB2312" w:hAnsi="仿宋_GB2312" w:cs="仿宋_GB2312" w:eastAsia="仿宋_GB2312"/>
                <w:sz w:val="24"/>
                <w:color w:val="000000"/>
              </w:rPr>
              <w:t>5、进行人民调解矛盾纠纷分析调判工作及理论研究；对每季度、年度调解案件的调解成功率、协议履行情况进行评估，并举出重点案例分析调解失败、协议未能履行的原因，采取相应的改正措施。</w:t>
            </w:r>
          </w:p>
          <w:p>
            <w:pPr>
              <w:pStyle w:val="null5"/>
              <w:jc w:val="left"/>
            </w:pPr>
            <w:r>
              <w:rPr>
                <w:rFonts w:ascii="仿宋_GB2312" w:hAnsi="仿宋_GB2312" w:cs="仿宋_GB2312" w:eastAsia="仿宋_GB2312"/>
                <w:sz w:val="24"/>
                <w:color w:val="000000"/>
              </w:rPr>
              <w:t>6、人民调解规范化标识制作以及其他人民调解辅助性工作；人民调解员基本信息以及调解案件的录入；矛盾纠纷排查化解记载、案卷制作等。</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务机关提供的纳税凭据或银行入账单为准）2.提供递交响应文件截止之日前一年内（至少一个月）缴纳社会保险的凭证。（以专用收据或社会保险缴纳清单为准）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不接受联合体投标</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1.服务方案详细、全面，具有很强的针对性和可操作性。对各项工作任务有清晰的规划和具体的实施步骤，能够充分满足服务要求。得10分； 2. 服务方案较为详细，有一定的针对性和可操作性。对主要工作任务有明确的安排，但在细节方面可能存在一些不足。得8分； 3. 服务方案基本完整，但缺乏一定的针对性和创新性。能够满足基本的服务要求，但在实施过程中可能需要进一步完善。得6分； 4. 服务方案较为简单，对工作任务的描述不够清晰。在实施过程中可能会面临一些困难，需要较多的指导和督促。得4分； 5.服务方案不完整，无法满足服务要求。得2分； 6.不提供不得分。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保密方案</w:t>
            </w:r>
          </w:p>
        </w:tc>
        <w:tc>
          <w:tcPr>
            <w:tcW w:type="dxa" w:w="3115"/>
          </w:tcPr>
          <w:p>
            <w:pPr>
              <w:pStyle w:val="null5"/>
              <w:jc w:val="left"/>
            </w:pPr>
            <w:r>
              <w:rPr>
                <w:rFonts w:ascii="仿宋_GB2312" w:hAnsi="仿宋_GB2312" w:cs="仿宋_GB2312" w:eastAsia="仿宋_GB2312"/>
              </w:rPr>
              <w:t>1.保密措施严密，涵盖了服务过程中的各个环节。有明确的保密制度和责任人，能够有效保护相关信息的安全。得10分； 2. 保密措施较为完善，对重要信息的保护有一定的措施。但在一些细节方面可能需要进一步加强。得8分； 3.保密方案基本可行，但在保密制度和措施的执行上可能存在一些漏洞。得6分； 4.保密方案较为简单，对保密工作的重视程度不够。在实际操作中可能会存在较大的风险。得4分； 5. 没有保密方案或保密措施严重不足，无法保证信息的安全。得2分； 6.不提供不得分。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1.培训方案科学合理，内容丰富，形式多样。能够根据不同的培训对象制定个性化的培训计划，提高培训效果。得10分； 2.培训方案较为合理，有一定的针对性和实用性。但在培训内容和方法上可能需要进一步优化。得8分； 3.培训方案基本可行，但在培训的深度和广度上可能存在一些不足。得6分； 4. 培训方案较为简单，培训内容和方法单一。在实际操作中可能难以达到预期的培训效果。得4分； 5.没有培训方案或培训方案不合理，无法满足培训需求。得2分； 6.不提供不得分。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项目难点及解析</w:t>
            </w:r>
          </w:p>
        </w:tc>
        <w:tc>
          <w:tcPr>
            <w:tcW w:type="dxa" w:w="3115"/>
          </w:tcPr>
          <w:p>
            <w:pPr>
              <w:pStyle w:val="null5"/>
              <w:jc w:val="left"/>
            </w:pPr>
            <w:r>
              <w:rPr>
                <w:rFonts w:ascii="仿宋_GB2312" w:hAnsi="仿宋_GB2312" w:cs="仿宋_GB2312" w:eastAsia="仿宋_GB2312"/>
              </w:rPr>
              <w:t>1.对项目难点认识深刻，分析准确，提出的解决方案切实可行。能够充分考虑各种可能出现的情况，制定相应的应对措施。得10分； 2.对项目难点有一定的认识，分析较为合理，提出的解决方案具 有一定的可行性。但在一些细节方面可能需要进一步完善。得8分； 3. 能够识别项目中的难点，但分析不够深入，解决方案不够具体。在实际操作中可能需要根据具体情况进行调整。得6分； 4.对项目难点的认识较为模糊，分析不够准确，提出的解决方案可行性不高。得4分； 5. 没有对项目难点进行分析或分析错误，无法提出有效的解决方案。得2分； 6.不提供不得分。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应急管理方案</w:t>
            </w:r>
          </w:p>
        </w:tc>
        <w:tc>
          <w:tcPr>
            <w:tcW w:type="dxa" w:w="3115"/>
          </w:tcPr>
          <w:p>
            <w:pPr>
              <w:pStyle w:val="null5"/>
              <w:jc w:val="left"/>
            </w:pPr>
            <w:r>
              <w:rPr>
                <w:rFonts w:ascii="仿宋_GB2312" w:hAnsi="仿宋_GB2312" w:cs="仿宋_GB2312" w:eastAsia="仿宋_GB2312"/>
              </w:rPr>
              <w:t>1.应急管理方案完善，能够快速、有效地应对各种突发事件。有明确的应急组织机构和职责分工，应急响应流程清晰，物资保障充足。得10分； 2.应急管理方案较为完善，对常见的突发事件有一定的应对措施。但在一些细节方面可能需要进一步加强。得8分； 3. 应急管理方案基本可行，但在应急响应速度和处理能力上可能存在一些不足。得6分； 4. 应急管理方案较为简单，对突发事件的应对能力有限。在实际操作中可能会面临较大的风险。得4分； 5.没有应急管理方案或应急管理方案不合理，无法应对突发事件。得2分； 6.不提供不得分。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人员合理化配置方案</w:t>
            </w:r>
          </w:p>
        </w:tc>
        <w:tc>
          <w:tcPr>
            <w:tcW w:type="dxa" w:w="3115"/>
          </w:tcPr>
          <w:p>
            <w:pPr>
              <w:pStyle w:val="null5"/>
              <w:jc w:val="left"/>
            </w:pPr>
            <w:r>
              <w:rPr>
                <w:rFonts w:ascii="仿宋_GB2312" w:hAnsi="仿宋_GB2312" w:cs="仿宋_GB2312" w:eastAsia="仿宋_GB2312"/>
              </w:rPr>
              <w:t>1.人员配置合理，能够充分发挥每个人的专业优势。有明确的岗位职责和工作流程，人员之间协作顺畅。得10分； 2.人员配置较为合理，基本能够满足服务要求。但在人员的专业搭配和协作方面可 能需要进一步优化。得8分； 3.人员配置基本可行，但在人员的数量和素质上可能存在一些不足。得6分； 4.人员配置不合理，存在人员短缺或职责不清的情况。在实际操作中可能会影响服务质量。得4分； 5.没有人员配置方案或人员配置方案不合理，无法满足服务要求。得2分； 6.不提供不得分。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安全保障方案</w:t>
            </w:r>
          </w:p>
        </w:tc>
        <w:tc>
          <w:tcPr>
            <w:tcW w:type="dxa" w:w="3115"/>
          </w:tcPr>
          <w:p>
            <w:pPr>
              <w:pStyle w:val="null5"/>
              <w:jc w:val="left"/>
            </w:pPr>
            <w:r>
              <w:rPr>
                <w:rFonts w:ascii="仿宋_GB2312" w:hAnsi="仿宋_GB2312" w:cs="仿宋_GB2312" w:eastAsia="仿宋_GB2312"/>
              </w:rPr>
              <w:t>1.安全保障措施严密，能够有效预防和应对各种安全风险。有明确的安全管理制度和责任人，安全检查和隐患排查工作到位。得10分； 2. 安全保障措施较为完善，对主要的安全风险有一定的防范措 施。但在一些细节方面可能需要进一步加强。得8分； 3. 安全保障方案基本可行，但在安全管理的力度和效果上可能存在一些不足。得6分；得6分； 4. 安全保障方案较为简单，对安全风险的认识不够充分。在实际 操作中可能会存在较大的安全隐患。得4分； 5.没有安全保障方案或 安全保障措施严重不足，无法保证服务过程中的安全。得2分； 6.不提供不得分。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供应商近三年（2021年1月1日至今）的服务类企业业绩（响应文件中附协议书或服务合同扫描件并加盖公章），每提供一份有效材料，得2分，最高得20分。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