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车辆加油服务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鄂尔多斯市东胜区市政事业服务中心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鄂尔多斯市公共资源交易中心东胜区分中心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ESZCDS-G-F-250002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鄂尔多斯市公共资源交易中心东胜区分中心</w:t>
      </w:r>
      <w:r>
        <w:rPr>
          <w:rFonts w:ascii="仿宋_GB2312" w:hAnsi="仿宋_GB2312" w:cs="仿宋_GB2312" w:eastAsia="仿宋_GB2312"/>
        </w:rPr>
        <w:t xml:space="preserve"> 受 </w:t>
      </w:r>
      <w:r>
        <w:rPr>
          <w:rFonts w:ascii="仿宋_GB2312" w:hAnsi="仿宋_GB2312" w:cs="仿宋_GB2312" w:eastAsia="仿宋_GB2312"/>
        </w:rPr>
        <w:t>鄂尔多斯市东胜区市政事业服务中心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车辆加油服务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车辆加油服务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ESZCDS-G-F-250002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428[2025]00067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采购车辆加油服务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鄂尔多斯市公共资源交易中心东胜区分中心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内蒙古自治区鄂尔多斯市东胜区铁西联邦大厦8楼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秦先生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15049871777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鄂尔多斯市东胜区市政事业服务中心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鄂尔多斯市东胜区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高静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13789776650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鄂尔多斯市东胜区市政事业服务中心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鄂尔多斯市公共资源交易中心东胜区分中心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东胜区市政事业服务中心采购车辆加油服务项目，具体采购情况如下，整包为92#汽油，0#-35#柴油，预算金额为100万元，数量：实时油价为基数计算。</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1、每月按实际使用油量向专用油卡充值，达到付款条件起3日，支付合同总金额的100.00%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标的名称：采购车辆加油服务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1.92#汽油、0#-35#柴油</w:t>
            </w:r>
          </w:p>
          <w:p>
            <w:pPr>
              <w:pStyle w:val="null5"/>
              <w:jc w:val="left"/>
            </w:pPr>
            <w:r>
              <w:rPr>
                <w:rFonts w:ascii="仿宋_GB2312" w:hAnsi="仿宋_GB2312" w:cs="仿宋_GB2312" w:eastAsia="仿宋_GB2312"/>
              </w:rPr>
              <w:t>2.采购单位在供应商经营的加油站中享受7天，全天24小时制的加油服务。</w:t>
            </w:r>
          </w:p>
          <w:p>
            <w:pPr>
              <w:pStyle w:val="null5"/>
              <w:jc w:val="left"/>
            </w:pPr>
            <w:r>
              <w:rPr>
                <w:rFonts w:ascii="仿宋_GB2312" w:hAnsi="仿宋_GB2312" w:cs="仿宋_GB2312" w:eastAsia="仿宋_GB2312"/>
              </w:rPr>
              <w:t>3.供应商的经营站点在东胜区城区内，供应商需有多个（大于等于5个）站点来满足加油服务。</w:t>
            </w:r>
          </w:p>
          <w:p>
            <w:pPr>
              <w:pStyle w:val="null5"/>
              <w:jc w:val="left"/>
            </w:pPr>
            <w:r>
              <w:rPr>
                <w:rFonts w:ascii="仿宋_GB2312" w:hAnsi="仿宋_GB2312" w:cs="仿宋_GB2312" w:eastAsia="仿宋_GB2312"/>
              </w:rPr>
              <w:t>4.严格执行国家标准和行业标准，确保油品质量和标准计量，定期提供检验检定合格 证书或报告。</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非客观评分</w:t>
            </w:r>
          </w:p>
        </w:tc>
        <w:tc>
          <w:tcPr>
            <w:tcW w:type="dxa" w:w="3115"/>
          </w:tcPr>
          <w:p>
            <w:pPr>
              <w:pStyle w:val="null5"/>
              <w:jc w:val="left"/>
            </w:pPr>
            <w:r>
              <w:rPr>
                <w:rFonts w:ascii="仿宋_GB2312" w:hAnsi="仿宋_GB2312" w:cs="仿宋_GB2312" w:eastAsia="仿宋_GB2312"/>
              </w:rPr>
              <w:t>油品来源 10.0分 根据油品来源渠道和油品保障措施综合分析评分，优秀得10分，良好得6分，一般得2分，不提供不得分。（提供相关证明附投标文件 中）。 售后服务 30.0分 提供得售后服务承诺和应急响应预案的合理性进行评审，优秀得分30分、良好得20分、不提供不得分。 加油设备 10.0分 依据消防设施设备、油机、精密度配备情况综合评分，优秀得10分 ，良好得6分，一般得2分，不提供不得分。（提供相关证明附投标文件中）。</w:t>
            </w:r>
          </w:p>
        </w:tc>
        <w:tc>
          <w:tcPr>
            <w:tcW w:type="dxa" w:w="1038"/>
          </w:tcPr>
          <w:p>
            <w:pPr>
              <w:pStyle w:val="null5"/>
              <w:jc w:val="right"/>
            </w:pPr>
            <w:r>
              <w:rPr>
                <w:rFonts w:ascii="仿宋_GB2312" w:hAnsi="仿宋_GB2312" w:cs="仿宋_GB2312" w:eastAsia="仿宋_GB2312"/>
              </w:rPr>
              <w:t>50.00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客观评分</w:t>
            </w:r>
          </w:p>
        </w:tc>
        <w:tc>
          <w:tcPr>
            <w:tcW w:type="dxa" w:w="3115"/>
          </w:tcPr>
          <w:p>
            <w:pPr>
              <w:pStyle w:val="null5"/>
              <w:jc w:val="left"/>
            </w:pPr>
            <w:r>
              <w:rPr>
                <w:rFonts w:ascii="仿宋_GB2312" w:hAnsi="仿宋_GB2312" w:cs="仿宋_GB2312" w:eastAsia="仿宋_GB2312"/>
              </w:rPr>
              <w:t>业绩 10.0分 近三年内与本项目相同或类似业绩，每提供一个得2分，最高得分10 分； 不提供不得分。注：中标通知书或者合同需提供扫描件附投标文 件中。 信用 5.0分 投 标单位存在上级单位或政府机构被公开通报，属于警告通报的，每 有一次扣1分，属于 被取消年度入围资格的，每有一次扣2分，扣完 为止；未被通报的得3分，没有通报及取 消得满分5分。 储油及运输能力 3.0分1、供应商有自有油库的（提供相关证明材料），得1分；2、有合格的成 品油供油渠道的（提供相关证明材料），得1分；3、有配套运输公司的（提供相关证明材料，经营范围需包含危化品运输），得1分，满分3分。 服务便利性 2.0分 承诺7天*24小时加油服务得0.5分， 油紧张时优先供给得1分，加油 高峰时绿色通道得0.5分，该项评审因素全能满足得2分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投标报价得分</w:t>
            </w:r>
          </w:p>
        </w:tc>
        <w:tc>
          <w:tcPr>
            <w:tcW w:type="dxa" w:w="3115"/>
          </w:tcPr>
          <w:p>
            <w:pPr>
              <w:pStyle w:val="null5"/>
              <w:jc w:val="left"/>
            </w:pPr>
            <w:r>
              <w:rPr>
                <w:rFonts w:ascii="仿宋_GB2312" w:hAnsi="仿宋_GB2312" w:cs="仿宋_GB2312" w:eastAsia="仿宋_GB2312"/>
              </w:rPr>
              <w:t>投标报价得分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