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执法执勤运行保障服务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鄂尔多斯市东胜区机关事务服务中心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内蒙古筑茗恒业项目管理有限公司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ESZCDSS-G-F-250013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内蒙古筑茗恒业项目管理有限公司</w:t>
      </w:r>
      <w:r>
        <w:rPr>
          <w:rFonts w:ascii="仿宋_GB2312" w:hAnsi="仿宋_GB2312" w:cs="仿宋_GB2312" w:eastAsia="仿宋_GB2312"/>
        </w:rPr>
        <w:t xml:space="preserve"> 受 </w:t>
      </w:r>
      <w:r>
        <w:rPr>
          <w:rFonts w:ascii="仿宋_GB2312" w:hAnsi="仿宋_GB2312" w:cs="仿宋_GB2312" w:eastAsia="仿宋_GB2312"/>
        </w:rPr>
        <w:t>鄂尔多斯市东胜区机关事务服务中心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执法执勤运行保障服务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执法执勤运行保障服务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ESZCDSS-G-F-250013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428[2025]00127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10,370,000.00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执法执勤运行保障服务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10,370,000.00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内蒙古筑茗恒业项目管理有限公司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内蒙古自治区鄂尔多斯市东胜区三江尊园C区20-105</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刘晓燕</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13624879826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鄂尔多斯市东胜区机关事务服务中心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乌达木</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0477-8381070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代理服务费收费标准：按原内工建协2022 34号文件规定收取中标服务费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鄂尔多斯市东胜区机关事务服务中心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内蒙古筑茗恒业项目管理有限公司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开标结束后资格审查时，投标人未被列入失信被执行人、税收违法黑名单、政府采购严重违法失信行为记录名单。（响应文件须提供相关网站查询截图）</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执法执勤车辆老旧，经常出现故障，严重影像正常工作运作，现根据需求计划租赁国产新能源中型越野车24辆、燃油皮卡6辆，共计30辆〕</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合同签订后30日内将车辆交付采购人，分期付款结束后车辆继续由甲方无偿使用至报废。</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采购人规定的地点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1、车辆交付使用后甲方向乙方支付中标金额的20%； 一次性支付，达到付款条件起7日，支付合同总金额的20.00%</w:t>
            </w:r>
          </w:p>
          <w:p>
            <w:pPr>
              <w:pStyle w:val="null5"/>
              <w:jc w:val="left"/>
            </w:pPr>
            <w:r>
              <w:rPr>
                <w:rFonts w:ascii="仿宋_GB2312" w:hAnsi="仿宋_GB2312" w:cs="仿宋_GB2312" w:eastAsia="仿宋_GB2312"/>
              </w:rPr>
              <w:t>2、2026年（项目绩效评价结束后）支付中标金额的20%；一次性支付，达到付款条件起7日，支付合同总金额的20.00%</w:t>
            </w:r>
          </w:p>
          <w:p>
            <w:pPr>
              <w:pStyle w:val="null5"/>
              <w:jc w:val="left"/>
            </w:pPr>
            <w:r>
              <w:rPr>
                <w:rFonts w:ascii="仿宋_GB2312" w:hAnsi="仿宋_GB2312" w:cs="仿宋_GB2312" w:eastAsia="仿宋_GB2312"/>
              </w:rPr>
              <w:t>3、2027年（项目绩效评价结束后）支付中标金额的20%；一次性支付，达到付款条件起7日，支付合同总金额的20.00%</w:t>
            </w:r>
          </w:p>
          <w:p>
            <w:pPr>
              <w:pStyle w:val="null5"/>
              <w:jc w:val="left"/>
            </w:pPr>
            <w:r>
              <w:rPr>
                <w:rFonts w:ascii="仿宋_GB2312" w:hAnsi="仿宋_GB2312" w:cs="仿宋_GB2312" w:eastAsia="仿宋_GB2312"/>
              </w:rPr>
              <w:t>4、2028年（项目绩效评价结束后）支付中标金额的20%；一次性支付，达到付款条件起7日，支付合同总金额的20.00%</w:t>
            </w:r>
          </w:p>
          <w:p>
            <w:pPr>
              <w:pStyle w:val="null5"/>
              <w:jc w:val="left"/>
            </w:pPr>
            <w:r>
              <w:rPr>
                <w:rFonts w:ascii="仿宋_GB2312" w:hAnsi="仿宋_GB2312" w:cs="仿宋_GB2312" w:eastAsia="仿宋_GB2312"/>
              </w:rPr>
              <w:t>5、2029年（项目绩效评价结束后）支付中标金额的20%；一次性支付，达到付款条件起7日，支付合同总金额的20.00%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供应商需提供2名车辆调度员来保障租赁服务工作高效。调度员要求男性，年龄不超过40周岁，服务期间2名调度员全年工作日期间归采购人管理，调度员的工资及社会保障由中标供应商承担。2名调度员工作情况一并纳入本项目绩效评价，与本项目付款挂钩。调度员在服务期间不满足采购人要求或者不服从采购人管理的，采购人有权提出更换，中标供应商如不配合此项工作，采购人将根据调度员考核制度扣除相应的租赁费。具体考核办法，详见附件。</w:t>
              <w:br/>
              <w:br/>
              <w:t>特别约定：（1）租赁期内车辆所有权归属租赁服务公司，采购方享有无条件使用权。（2）每期付款前成交供应商需提供等额发票，否则采购方有权拒绝支付租赁费。</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全部为出厂新车，达到车辆上路使用标准。</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租赁期：合同签订至车辆报废为止。</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标的名称：执法执勤运行保障服务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总体服务方案</w:t>
            </w:r>
          </w:p>
        </w:tc>
        <w:tc>
          <w:tcPr>
            <w:tcW w:type="dxa" w:w="3115"/>
          </w:tcPr>
          <w:p>
            <w:pPr>
              <w:pStyle w:val="null5"/>
              <w:jc w:val="left"/>
            </w:pPr>
            <w:r>
              <w:rPr>
                <w:rFonts w:ascii="仿宋_GB2312" w:hAnsi="仿宋_GB2312" w:cs="仿宋_GB2312" w:eastAsia="仿宋_GB2312"/>
              </w:rPr>
              <w:t>根据投标供应商提供的整体服务方案进行综合评分，包含但不限于以下内容:1.车辆管理制度，本项最多8分。①车辆性能与配置，最多得2分;②车辆调配与使用，最多得2分;③车辆存放与保管，最多得2分;④车辆事故处理与保险，最多得2分;2.车辆保养维修方案，本项最多4分。①车辆状态的监测及管理，最多得2分;②车辆维护与保养服务，最多得2分;3.质量管理和保障措施，本项最多4分。①内部质量管控机构，最多得2分；②保证服务质量措施，最多得2分; 4.安全管理方案措施，本项最多9分。①对本项目制定的以租代购车安全管理措施进行综合评定，响应文件中对此项进行描述最大限度满足采购人使用需求、制定应急预案包含但不限于以下内容:1.恶劣天气(包括但不限于应对大风、大雨、大雪、冰雹等)的应急管理方案，最多得3分;②车辆应急、事故处理预案，(例:如车辆因电池等发生的自燃等)、移交车辆之前的安全措施最多得3分;③应急人员及应急机具配备，包含但不限于服务人员的人身健康及安全管理、车辆的设备情况(车辆监控和空调等情况)、车辆的安全设施(安全锤、灭火器等情况)，最多得3分。</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车辆保养维修方案</w:t>
            </w:r>
          </w:p>
        </w:tc>
        <w:tc>
          <w:tcPr>
            <w:tcW w:type="dxa" w:w="3115"/>
          </w:tcPr>
          <w:p>
            <w:pPr>
              <w:pStyle w:val="null5"/>
              <w:jc w:val="left"/>
            </w:pPr>
            <w:r>
              <w:rPr>
                <w:rFonts w:ascii="仿宋_GB2312" w:hAnsi="仿宋_GB2312" w:cs="仿宋_GB2312" w:eastAsia="仿宋_GB2312"/>
              </w:rPr>
              <w:t>根据供应商针对本项目提供的车辆保养维修方案，从(1)日常检查(2)定期保养(3)维修措施(4)轮胎、刹车等更换措施(5)车辆清洁与护理5个方面进行评审，每有方案一项最多得3分，本项最多得15分，提供内容不符合采购需求扣除1-2分，不提供不得分(提供内容不符合采购需求是指内容缺项漏项、不完整或缺少关键点;未对相应项或关键点做出解释说明;对同一问题前后表述矛盾;客观上有先后顺序的，存在逻辑错误或漏洞;存在科学原理或常识错误;不利于本项目目标的实现、现有技术条件下不可能出现的情形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服务人员专业性</w:t>
            </w:r>
          </w:p>
        </w:tc>
        <w:tc>
          <w:tcPr>
            <w:tcW w:type="dxa" w:w="3115"/>
          </w:tcPr>
          <w:p>
            <w:pPr>
              <w:pStyle w:val="null5"/>
              <w:jc w:val="left"/>
            </w:pPr>
            <w:r>
              <w:rPr>
                <w:rFonts w:ascii="仿宋_GB2312" w:hAnsi="仿宋_GB2312" w:cs="仿宋_GB2312" w:eastAsia="仿宋_GB2312"/>
              </w:rPr>
              <w:t>供应商提供的本项目相关技术服务人员具备专业技术职称证书的（助理工程师（含）以上证书），每提供一人加2分，最高得20分（提供相关证书复印件及本单位社保缴纳证明）</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投标企业近3年（2022年至今）承揽过类似租赁业务，每有一项业绩得3分，最多得12分（类似业绩指车辆租赁服务业绩，提供合同扫描件，未提供的不得分）。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增值服务</w:t>
            </w:r>
          </w:p>
        </w:tc>
        <w:tc>
          <w:tcPr>
            <w:tcW w:type="dxa" w:w="3115"/>
          </w:tcPr>
          <w:p>
            <w:pPr>
              <w:pStyle w:val="null5"/>
              <w:jc w:val="left"/>
            </w:pPr>
            <w:r>
              <w:rPr>
                <w:rFonts w:ascii="仿宋_GB2312" w:hAnsi="仿宋_GB2312" w:cs="仿宋_GB2312" w:eastAsia="仿宋_GB2312"/>
              </w:rPr>
              <w:t>供应商提供以下增值服务： 1、在满足50次免费洗车服务的前提下，每增加5次加1分，最高得3分；2、投标供应商在满足车辆缴纳基础保险：强制保险、车损险、第三者责任险（不低于100万元）、座位险（每座不低于10万）、每增加10万保额加1分，每增加一项附加险种加1分，最高得7分。 3、为所有租赁车辆每免费提供一次上门常规检查服务加1分，最高得5分。4、新能源车型每免费提供一次动力电池健康度检测/燃油车辆动力系统检查，加1分，最多加3分。 注：以上增值服务需提供承诺书格式自拟。</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