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2025年课本</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鄂尔多斯市东胜区东联现代高级中学</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鄂尔多斯市公共资源交易中心东胜区分中心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ESZCDS-G-H-250004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鄂尔多斯市公共资源交易中心东胜区分中心</w:t>
      </w:r>
      <w:r>
        <w:rPr>
          <w:rFonts w:ascii="仿宋_GB2312" w:hAnsi="仿宋_GB2312" w:cs="仿宋_GB2312" w:eastAsia="仿宋_GB2312"/>
        </w:rPr>
        <w:t xml:space="preserve"> 受 </w:t>
      </w:r>
      <w:r>
        <w:rPr>
          <w:rFonts w:ascii="仿宋_GB2312" w:hAnsi="仿宋_GB2312" w:cs="仿宋_GB2312" w:eastAsia="仿宋_GB2312"/>
        </w:rPr>
        <w:t>鄂尔多斯市东胜区东联现代高级中学</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2025年课本</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2025年课本</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ESZCDS-G-H-250004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428[2025]00121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1,499,956.20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2025年课本</w:t>
            </w:r>
          </w:p>
        </w:tc>
        <w:tc>
          <w:tcPr>
            <w:tcW w:type="dxa" w:w="831"/>
          </w:tcPr>
          <w:p>
            <w:pPr>
              <w:pStyle w:val="null5"/>
              <w:jc w:val="right"/>
            </w:pPr>
            <w:r>
              <w:rPr>
                <w:rFonts w:ascii="仿宋_GB2312" w:hAnsi="仿宋_GB2312" w:cs="仿宋_GB2312" w:eastAsia="仿宋_GB2312"/>
              </w:rPr>
              <w:t>79,375.00</w:t>
            </w:r>
          </w:p>
        </w:tc>
        <w:tc>
          <w:tcPr>
            <w:tcW w:type="dxa" w:w="831"/>
          </w:tcPr>
          <w:p>
            <w:pPr>
              <w:pStyle w:val="null5"/>
              <w:jc w:val="right"/>
            </w:pPr>
            <w:r>
              <w:rPr>
                <w:rFonts w:ascii="仿宋_GB2312" w:hAnsi="仿宋_GB2312" w:cs="仿宋_GB2312" w:eastAsia="仿宋_GB2312"/>
              </w:rPr>
              <w:t>1,499,956.20</w:t>
            </w:r>
          </w:p>
        </w:tc>
        <w:tc>
          <w:tcPr>
            <w:tcW w:type="dxa" w:w="831"/>
          </w:tcPr>
          <w:p>
            <w:pPr>
              <w:pStyle w:val="null5"/>
              <w:jc w:val="left"/>
            </w:pPr>
            <w:r>
              <w:rPr>
                <w:rFonts w:ascii="仿宋_GB2312" w:hAnsi="仿宋_GB2312" w:cs="仿宋_GB2312" w:eastAsia="仿宋_GB2312"/>
              </w:rPr>
              <w:t>本</w:t>
            </w:r>
          </w:p>
        </w:tc>
        <w:tc>
          <w:tcPr>
            <w:tcW w:type="dxa" w:w="831"/>
          </w:tcPr>
          <w:p>
            <w:pPr>
              <w:pStyle w:val="null5"/>
              <w:jc w:val="left"/>
            </w:pPr>
            <w:r>
              <w:rPr>
                <w:rFonts w:ascii="仿宋_GB2312" w:hAnsi="仿宋_GB2312" w:cs="仿宋_GB2312" w:eastAsia="仿宋_GB2312"/>
              </w:rPr>
              <w:t>零售业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鄂尔多斯市公共资源交易中心东胜区分中心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内蒙古自治区鄂尔多斯市东胜区铁西联邦大厦8楼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秦先生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15049871777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鄂尔多斯市东胜区东联现代高级中学</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乔佳露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15704969330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鄂尔多斯市东胜区东联现代高级中学</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鄂尔多斯市公共资源交易中心东胜区分中心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教材为国家规定的学生用书，为刚需必须采购物品</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合同签订后30个日历日内交货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鄂尔多斯市东胜区东联现代高级中学</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1、分为上下两学期，达到付款条件起7日，支付合同总金额的100.00%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标的名称：2025年课本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1.主要内容： 在教育部和自治区教育行政部门公布的普通高中教学用书目录内，经盟市选定后的国家课程 、地方课程教科书和民族语言授课学校学生用书、教师教学用书。（具体数量、品种详见附件信息中需 求明细》）</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2.质量要求： （1）教科书必须是正版教材。按国家课程标准编写、版权合法。按照国家普通高中教材印制标准和自治区物价管理部门规定的教材质量标准进行印制。对教材发放中的差错，或所供教材存在装订、印刷、缺损及污损等质量问题须在10个工作日内提供无偿调换。对发放过程形成的余书，提供无偿 退货服务； （2）要求至少提供半年的质保期（其中，纳入循环使用范畴的品种应满足相应要求）。质保期内发生的人工费、材料费、因质量问题更换教材所发生的相关费用，应全部免费提供。投标单位承诺的质保期高于半年的，从其承诺。</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3.服务要求： （1）供应商发货须有随货清单和标签单及货物标签；清单上应详细列明当批教材的种类 、书名、编者、出版社、版别、单价、数量（含总数量）、码洋（含总码洋）。（2）应将所供书籍全部 派送到规定学校。（3）根据教科书的特性和特殊要求，采取防潮、防水、防腐蚀霉变等安全措施，并按 技术标准包装，满足长途运输和反复装卸的需要。 （4）付款方式采用先到货后付款结算方式。根据确定的书籍质量及数量要求对发放的书籍进行验收、抽检。</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技术部分46.00分</w:t>
            </w:r>
          </w:p>
          <w:p>
            <w:pPr>
              <w:pStyle w:val="null5"/>
              <w:jc w:val="left"/>
            </w:pPr>
            <w:r>
              <w:rPr>
                <w:rFonts w:ascii="仿宋_GB2312" w:hAnsi="仿宋_GB2312" w:cs="仿宋_GB2312" w:eastAsia="仿宋_GB2312"/>
              </w:rPr>
              <w:t>商务部分24.00分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实施方案1</w:t>
            </w:r>
          </w:p>
        </w:tc>
        <w:tc>
          <w:tcPr>
            <w:tcW w:type="dxa" w:w="3115"/>
          </w:tcPr>
          <w:p>
            <w:pPr>
              <w:pStyle w:val="null5"/>
              <w:jc w:val="left"/>
            </w:pPr>
            <w:r>
              <w:rPr>
                <w:rFonts w:ascii="仿宋_GB2312" w:hAnsi="仿宋_GB2312" w:cs="仿宋_GB2312" w:eastAsia="仿宋_GB2312"/>
              </w:rPr>
              <w:t>1.供货方案切实可行（0-3分），交货期计划 完整，基本达到采购项目要求 （0-3分）。2 .有完善的质量保证措施和具体举措（0-3分 ），能够全部满 足教科书印刷、装帧、搬运 等全部要求（0-3分）。3.有完整的货物配送 、 搬运等管理计划（0-3分），全部达到防 潮、防水、防腐蚀霉变等安全措 施，并满足 长途运输和反复装卸需要（0-3分）。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实施方案2</w:t>
            </w:r>
          </w:p>
        </w:tc>
        <w:tc>
          <w:tcPr>
            <w:tcW w:type="dxa" w:w="3115"/>
          </w:tcPr>
          <w:p>
            <w:pPr>
              <w:pStyle w:val="null5"/>
              <w:jc w:val="left"/>
            </w:pPr>
            <w:r>
              <w:rPr>
                <w:rFonts w:ascii="仿宋_GB2312" w:hAnsi="仿宋_GB2312" w:cs="仿宋_GB2312" w:eastAsia="仿宋_GB2312"/>
              </w:rPr>
              <w:t>能够按时保证全部供书全部“课前到书”（6 分），其中：能够保证学生用书全部“ 课前 到书”（4分）。能够保证国家课程教材全部 “课前到书”（3分）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1、对本项目投标人所配备的从业人员数量 和工作经验应符合项目要求， 配备从业人员 6人及以上得（3分），未达到不得分。2、 从业人员具有2年以上工作经验得 （2分 ）</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售后服务方案承诺</w:t>
            </w:r>
          </w:p>
        </w:tc>
        <w:tc>
          <w:tcPr>
            <w:tcW w:type="dxa" w:w="3115"/>
          </w:tcPr>
          <w:p>
            <w:pPr>
              <w:pStyle w:val="null5"/>
              <w:jc w:val="left"/>
            </w:pPr>
            <w:r>
              <w:rPr>
                <w:rFonts w:ascii="仿宋_GB2312" w:hAnsi="仿宋_GB2312" w:cs="仿宋_GB2312" w:eastAsia="仿宋_GB2312"/>
              </w:rPr>
              <w:t>1、根据招标文件要求，提供售后服务方案 合理完善（0-3分），有售后服 务点（0-3分 ）。2、售后服务承诺及保证完善具体（0-2 分），对教材发 放中的差错，或所供教材存 在装订、印刷、缺损及污损等质量及时响应 （ 0-3分），并承诺5个工作日调换到位（0- 3分）。3、具有良好的售后服务 能力（0-2 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每提供一项类似业绩，得3分，最多得12分 ，以合同或中标通知书为准。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条件保障</w:t>
            </w:r>
          </w:p>
        </w:tc>
        <w:tc>
          <w:tcPr>
            <w:tcW w:type="dxa" w:w="3115"/>
          </w:tcPr>
          <w:p>
            <w:pPr>
              <w:pStyle w:val="null5"/>
              <w:jc w:val="left"/>
            </w:pPr>
            <w:r>
              <w:rPr>
                <w:rFonts w:ascii="仿宋_GB2312" w:hAnsi="仿宋_GB2312" w:cs="仿宋_GB2312" w:eastAsia="仿宋_GB2312"/>
              </w:rPr>
              <w:t>1、投标供应商有完善的供应网络（0-6分） 。 2、有良好的履约发行工作 条件和能力（ 0-6分）。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