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22F4E">
      <w:pPr>
        <w:adjustRightInd w:val="0"/>
        <w:snapToGrid w:val="0"/>
        <w:spacing w:after="312" w:afterLines="100" w:line="360" w:lineRule="auto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视频</w:t>
      </w:r>
      <w:r>
        <w:rPr>
          <w:rFonts w:hint="eastAsia" w:ascii="仿宋" w:hAnsi="仿宋" w:eastAsia="仿宋"/>
          <w:b/>
          <w:sz w:val="44"/>
          <w:szCs w:val="44"/>
        </w:rPr>
        <w:t>服务质量考核办法</w:t>
      </w:r>
    </w:p>
    <w:p w14:paraId="2BBDB57D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考核以日常检查和重点部位抽查相结合的方式进行，各项检查均由甲方指定人员负责。</w:t>
      </w:r>
    </w:p>
    <w:p w14:paraId="723D2053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项目费用根据考核结果发放，每个考核周期所涉及合同费用，不累计进入次期。</w:t>
      </w:r>
    </w:p>
    <w:p w14:paraId="63FEDCFB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考核原则</w:t>
      </w:r>
    </w:p>
    <w:p w14:paraId="0F64BB08">
      <w:p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视频</w:t>
      </w:r>
      <w:r>
        <w:rPr>
          <w:rFonts w:hint="eastAsia" w:ascii="仿宋" w:hAnsi="仿宋" w:eastAsia="仿宋"/>
          <w:bCs/>
          <w:sz w:val="28"/>
          <w:szCs w:val="28"/>
        </w:rPr>
        <w:t>服务质量考核办法以合同管理为基础，通过量化考核指标，完善对中标单位的日常管理，规范中标单位服务行为及完善服务质量并坚持以下原则：</w:t>
      </w:r>
    </w:p>
    <w:p w14:paraId="14005F11">
      <w:p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1.“公开、公平、公正”的原则；</w:t>
      </w:r>
    </w:p>
    <w:p w14:paraId="379779A0">
      <w:p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2.日常监管和定期抽查相结合；</w:t>
      </w:r>
    </w:p>
    <w:p w14:paraId="128ED955">
      <w:p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3.量化指标考核和服务效果考核相结合；</w:t>
      </w:r>
    </w:p>
    <w:p w14:paraId="19D11F40">
      <w:p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4.考核结果与支付服务费用对应的原则。</w:t>
      </w:r>
    </w:p>
    <w:p w14:paraId="1A5FFC3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甲方要实事求是进行日常考核，详细记录考核情况，并每周向乙方通报考核情况和相关记录，由乙方进行签字确认（一式两份，双方各自归档）。如双方对考核情况有异议，以甲方提供的相关记录和证据为最终依据。</w:t>
      </w:r>
    </w:p>
    <w:p w14:paraId="0095EAE4"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tbl>
      <w:tblPr>
        <w:tblStyle w:val="4"/>
        <w:tblW w:w="8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34"/>
        <w:gridCol w:w="2967"/>
        <w:gridCol w:w="1144"/>
        <w:gridCol w:w="2176"/>
      </w:tblGrid>
      <w:tr w14:paraId="62C9C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17" w:type="dxa"/>
            <w:vAlign w:val="center"/>
          </w:tcPr>
          <w:p w14:paraId="07A5B01F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区域</w:t>
            </w:r>
          </w:p>
        </w:tc>
        <w:tc>
          <w:tcPr>
            <w:tcW w:w="1134" w:type="dxa"/>
            <w:vAlign w:val="center"/>
          </w:tcPr>
          <w:p w14:paraId="1F330C92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考核内容</w:t>
            </w:r>
          </w:p>
        </w:tc>
        <w:tc>
          <w:tcPr>
            <w:tcW w:w="2967" w:type="dxa"/>
            <w:vAlign w:val="center"/>
          </w:tcPr>
          <w:p w14:paraId="6014BE5E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评分标准</w:t>
            </w:r>
          </w:p>
        </w:tc>
        <w:tc>
          <w:tcPr>
            <w:tcW w:w="1144" w:type="dxa"/>
            <w:vAlign w:val="center"/>
          </w:tcPr>
          <w:p w14:paraId="2951E508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分值</w:t>
            </w:r>
          </w:p>
        </w:tc>
        <w:tc>
          <w:tcPr>
            <w:tcW w:w="2176" w:type="dxa"/>
            <w:vAlign w:val="center"/>
          </w:tcPr>
          <w:p w14:paraId="09E8A3B3"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备注</w:t>
            </w:r>
          </w:p>
        </w:tc>
      </w:tr>
      <w:tr w14:paraId="16EEA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817" w:type="dxa"/>
            <w:vMerge w:val="restart"/>
            <w:vAlign w:val="center"/>
          </w:tcPr>
          <w:p w14:paraId="195C8552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全部工作区域</w:t>
            </w:r>
          </w:p>
          <w:p w14:paraId="547BE12D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  <w:p w14:paraId="33FDF33D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  <w:p w14:paraId="2F994020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  <w:p w14:paraId="76852FBF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  <w:p w14:paraId="0293C435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  <w:p w14:paraId="4C082DC0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  <w:p w14:paraId="015AA588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F29EAF5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视频前端</w:t>
            </w:r>
          </w:p>
          <w:p w14:paraId="1F7B5FD5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在线率（</w:t>
            </w:r>
            <w:r>
              <w:rPr>
                <w:rFonts w:ascii="仿宋" w:hAnsi="仿宋" w:eastAsia="仿宋"/>
                <w:szCs w:val="21"/>
              </w:rPr>
              <w:t>5</w:t>
            </w:r>
            <w:r>
              <w:rPr>
                <w:rFonts w:hint="eastAsia" w:ascii="仿宋" w:hAnsi="仿宋" w:eastAsia="仿宋"/>
                <w:szCs w:val="21"/>
              </w:rPr>
              <w:t>0分）</w:t>
            </w:r>
          </w:p>
        </w:tc>
        <w:tc>
          <w:tcPr>
            <w:tcW w:w="2967" w:type="dxa"/>
            <w:vAlign w:val="center"/>
          </w:tcPr>
          <w:p w14:paraId="4FE690F0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≥</w:t>
            </w:r>
            <w:r>
              <w:rPr>
                <w:rFonts w:ascii="仿宋" w:hAnsi="仿宋" w:eastAsia="仿宋"/>
                <w:szCs w:val="21"/>
              </w:rPr>
              <w:t>98</w:t>
            </w:r>
            <w:r>
              <w:rPr>
                <w:rFonts w:hint="eastAsia" w:ascii="仿宋" w:hAnsi="仿宋" w:eastAsia="仿宋"/>
                <w:szCs w:val="21"/>
              </w:rPr>
              <w:t>%，每高0.</w:t>
            </w:r>
            <w:r>
              <w:rPr>
                <w:rFonts w:ascii="仿宋" w:hAnsi="仿宋" w:eastAsia="仿宋"/>
                <w:szCs w:val="21"/>
              </w:rPr>
              <w:t>01</w:t>
            </w:r>
            <w:r>
              <w:rPr>
                <w:rFonts w:hint="eastAsia" w:ascii="仿宋" w:hAnsi="仿宋" w:eastAsia="仿宋"/>
                <w:szCs w:val="21"/>
              </w:rPr>
              <w:t>%加0</w:t>
            </w:r>
            <w:r>
              <w:rPr>
                <w:rFonts w:ascii="仿宋" w:hAnsi="仿宋" w:eastAsia="仿宋"/>
                <w:szCs w:val="21"/>
              </w:rPr>
              <w:t>.05</w:t>
            </w:r>
            <w:r>
              <w:rPr>
                <w:rFonts w:hint="eastAsia" w:ascii="仿宋" w:hAnsi="仿宋" w:eastAsia="仿宋"/>
                <w:szCs w:val="21"/>
              </w:rPr>
              <w:t>分</w:t>
            </w:r>
          </w:p>
        </w:tc>
        <w:tc>
          <w:tcPr>
            <w:tcW w:w="1144" w:type="dxa"/>
            <w:vAlign w:val="center"/>
          </w:tcPr>
          <w:p w14:paraId="5D1724BD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restart"/>
            <w:vAlign w:val="center"/>
          </w:tcPr>
          <w:p w14:paraId="77794197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周在线率取日在线率的平均值，月在线率取周在线率的平均值</w:t>
            </w:r>
          </w:p>
        </w:tc>
      </w:tr>
      <w:tr w14:paraId="2C822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atLeast"/>
          <w:jc w:val="center"/>
        </w:trPr>
        <w:tc>
          <w:tcPr>
            <w:tcW w:w="817" w:type="dxa"/>
            <w:vMerge w:val="continue"/>
            <w:vAlign w:val="center"/>
          </w:tcPr>
          <w:p w14:paraId="45306D2A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6C86F7D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67" w:type="dxa"/>
            <w:vAlign w:val="center"/>
          </w:tcPr>
          <w:p w14:paraId="798CB93C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＜</w:t>
            </w:r>
            <w:r>
              <w:rPr>
                <w:rFonts w:ascii="仿宋" w:hAnsi="仿宋" w:eastAsia="仿宋"/>
                <w:szCs w:val="21"/>
              </w:rPr>
              <w:t>98</w:t>
            </w:r>
            <w:r>
              <w:rPr>
                <w:rFonts w:hint="eastAsia" w:ascii="仿宋" w:hAnsi="仿宋" w:eastAsia="仿宋"/>
                <w:szCs w:val="21"/>
              </w:rPr>
              <w:t>%，每低0.</w:t>
            </w:r>
            <w:r>
              <w:rPr>
                <w:rFonts w:ascii="仿宋" w:hAnsi="仿宋" w:eastAsia="仿宋"/>
                <w:szCs w:val="21"/>
              </w:rPr>
              <w:t>01</w:t>
            </w:r>
            <w:r>
              <w:rPr>
                <w:rFonts w:hint="eastAsia" w:ascii="仿宋" w:hAnsi="仿宋" w:eastAsia="仿宋"/>
                <w:szCs w:val="21"/>
              </w:rPr>
              <w:t>%减0</w:t>
            </w:r>
            <w:r>
              <w:rPr>
                <w:rFonts w:ascii="仿宋" w:hAnsi="仿宋" w:eastAsia="仿宋"/>
                <w:szCs w:val="21"/>
              </w:rPr>
              <w:t>.05</w:t>
            </w:r>
            <w:r>
              <w:rPr>
                <w:rFonts w:hint="eastAsia" w:ascii="仿宋" w:hAnsi="仿宋" w:eastAsia="仿宋"/>
                <w:szCs w:val="21"/>
              </w:rPr>
              <w:t>分</w:t>
            </w:r>
          </w:p>
        </w:tc>
        <w:tc>
          <w:tcPr>
            <w:tcW w:w="1144" w:type="dxa"/>
            <w:vAlign w:val="center"/>
          </w:tcPr>
          <w:p w14:paraId="20B0655D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continue"/>
            <w:vAlign w:val="center"/>
          </w:tcPr>
          <w:p w14:paraId="561612EA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536E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  <w:jc w:val="center"/>
        </w:trPr>
        <w:tc>
          <w:tcPr>
            <w:tcW w:w="817" w:type="dxa"/>
            <w:vMerge w:val="continue"/>
            <w:vAlign w:val="center"/>
          </w:tcPr>
          <w:p w14:paraId="24EE88BE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B997112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视频前端、公安视频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链路</w:t>
            </w:r>
            <w:r>
              <w:rPr>
                <w:rFonts w:hint="eastAsia" w:ascii="仿宋" w:hAnsi="仿宋" w:eastAsia="仿宋"/>
                <w:szCs w:val="21"/>
              </w:rPr>
              <w:t>、公安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链路</w:t>
            </w:r>
            <w:r>
              <w:rPr>
                <w:rFonts w:hint="eastAsia" w:ascii="仿宋" w:hAnsi="仿宋" w:eastAsia="仿宋"/>
                <w:szCs w:val="21"/>
              </w:rPr>
              <w:t>接入点线路及设备（20分）</w:t>
            </w:r>
          </w:p>
        </w:tc>
        <w:tc>
          <w:tcPr>
            <w:tcW w:w="2967" w:type="dxa"/>
            <w:vAlign w:val="center"/>
          </w:tcPr>
          <w:p w14:paraId="5F6AF28C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按照甲方要求时间完成</w:t>
            </w:r>
          </w:p>
        </w:tc>
        <w:tc>
          <w:tcPr>
            <w:tcW w:w="1144" w:type="dxa"/>
            <w:vAlign w:val="center"/>
          </w:tcPr>
          <w:p w14:paraId="484B2D50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restart"/>
            <w:vAlign w:val="center"/>
          </w:tcPr>
          <w:p w14:paraId="44BB4D6F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甲方发现关键点位和设备故障（离线、图像质量差，时钟不准确，字符叠加不准确，），告知乙方按时修复，故障起算时间以甲方向乙方申报故障时间为准，恢复时间以乙方向甲方告知故障已修复并经甲方确认的时间为准。</w:t>
            </w:r>
          </w:p>
        </w:tc>
      </w:tr>
      <w:tr w14:paraId="7DA3E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atLeast"/>
          <w:jc w:val="center"/>
        </w:trPr>
        <w:tc>
          <w:tcPr>
            <w:tcW w:w="817" w:type="dxa"/>
            <w:vMerge w:val="continue"/>
            <w:vAlign w:val="center"/>
          </w:tcPr>
          <w:p w14:paraId="1309AADD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161C59F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67" w:type="dxa"/>
            <w:vAlign w:val="center"/>
          </w:tcPr>
          <w:p w14:paraId="76D1E78A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未按甲方要求时间完成，每次扣</w:t>
            </w:r>
            <w:r>
              <w:rPr>
                <w:rFonts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</w:rPr>
              <w:t>分</w:t>
            </w:r>
          </w:p>
        </w:tc>
        <w:tc>
          <w:tcPr>
            <w:tcW w:w="1144" w:type="dxa"/>
            <w:vAlign w:val="center"/>
          </w:tcPr>
          <w:p w14:paraId="6D580CD5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continue"/>
            <w:vAlign w:val="center"/>
          </w:tcPr>
          <w:p w14:paraId="4C1B82A6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57EA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817" w:type="dxa"/>
            <w:vMerge w:val="continue"/>
            <w:vAlign w:val="center"/>
          </w:tcPr>
          <w:p w14:paraId="285ABE9D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398B0A2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视频系统安全（1</w:t>
            </w:r>
            <w:r>
              <w:rPr>
                <w:rFonts w:ascii="仿宋" w:hAnsi="仿宋" w:eastAsia="仿宋"/>
                <w:szCs w:val="21"/>
              </w:rPr>
              <w:t>0</w:t>
            </w:r>
            <w:r>
              <w:rPr>
                <w:rFonts w:hint="eastAsia" w:ascii="仿宋" w:hAnsi="仿宋" w:eastAsia="仿宋"/>
                <w:szCs w:val="21"/>
              </w:rPr>
              <w:t>分）</w:t>
            </w:r>
          </w:p>
        </w:tc>
        <w:tc>
          <w:tcPr>
            <w:tcW w:w="2967" w:type="dxa"/>
            <w:vAlign w:val="center"/>
          </w:tcPr>
          <w:p w14:paraId="0AA6DB07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发生公安视频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链路</w:t>
            </w:r>
            <w:r>
              <w:rPr>
                <w:rFonts w:ascii="仿宋" w:hAnsi="仿宋" w:eastAsia="仿宋"/>
                <w:szCs w:val="21"/>
              </w:rPr>
              <w:t>一机两用</w:t>
            </w:r>
            <w:r>
              <w:rPr>
                <w:rFonts w:hint="eastAsia" w:ascii="仿宋" w:hAnsi="仿宋" w:eastAsia="仿宋"/>
                <w:szCs w:val="21"/>
              </w:rPr>
              <w:t>；</w:t>
            </w:r>
          </w:p>
          <w:p w14:paraId="109EB983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/>
                <w:szCs w:val="21"/>
              </w:rPr>
              <w:t>发生视频监控外泄事件。发生1起扣1</w:t>
            </w:r>
            <w:r>
              <w:rPr>
                <w:rFonts w:ascii="仿宋" w:hAnsi="仿宋" w:eastAsia="仿宋"/>
                <w:szCs w:val="21"/>
              </w:rPr>
              <w:t>0</w:t>
            </w:r>
            <w:r>
              <w:rPr>
                <w:rFonts w:hint="eastAsia" w:ascii="仿宋" w:hAnsi="仿宋" w:eastAsia="仿宋"/>
                <w:szCs w:val="21"/>
              </w:rPr>
              <w:t>分，无上限。</w:t>
            </w:r>
          </w:p>
        </w:tc>
        <w:tc>
          <w:tcPr>
            <w:tcW w:w="1144" w:type="dxa"/>
            <w:vAlign w:val="center"/>
          </w:tcPr>
          <w:p w14:paraId="73569EAF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restart"/>
            <w:vAlign w:val="center"/>
          </w:tcPr>
          <w:p w14:paraId="012EC2B7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9CE6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817" w:type="dxa"/>
            <w:vMerge w:val="continue"/>
            <w:vAlign w:val="center"/>
          </w:tcPr>
          <w:p w14:paraId="7E78A454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5F115D8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67" w:type="dxa"/>
            <w:vAlign w:val="center"/>
          </w:tcPr>
          <w:p w14:paraId="5D58384E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未</w:t>
            </w:r>
            <w:r>
              <w:rPr>
                <w:rFonts w:ascii="仿宋" w:hAnsi="仿宋" w:eastAsia="仿宋"/>
                <w:szCs w:val="21"/>
              </w:rPr>
              <w:t>发生公安视频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链路</w:t>
            </w:r>
            <w:r>
              <w:rPr>
                <w:rFonts w:ascii="仿宋" w:hAnsi="仿宋" w:eastAsia="仿宋"/>
                <w:szCs w:val="21"/>
              </w:rPr>
              <w:t>一机两用</w:t>
            </w:r>
            <w:r>
              <w:rPr>
                <w:rFonts w:hint="eastAsia" w:ascii="仿宋" w:hAnsi="仿宋" w:eastAsia="仿宋"/>
                <w:szCs w:val="21"/>
              </w:rPr>
              <w:t>；</w:t>
            </w:r>
          </w:p>
          <w:p w14:paraId="4EE0177E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未发生视频监控外泄事件。一个月未发生，加1</w:t>
            </w:r>
            <w:r>
              <w:rPr>
                <w:rFonts w:ascii="仿宋" w:hAnsi="仿宋" w:eastAsia="仿宋"/>
                <w:szCs w:val="21"/>
              </w:rPr>
              <w:t>0</w:t>
            </w:r>
            <w:r>
              <w:rPr>
                <w:rFonts w:hint="eastAsia" w:ascii="仿宋" w:hAnsi="仿宋" w:eastAsia="仿宋"/>
                <w:szCs w:val="21"/>
              </w:rPr>
              <w:t>分。</w:t>
            </w:r>
          </w:p>
        </w:tc>
        <w:tc>
          <w:tcPr>
            <w:tcW w:w="1144" w:type="dxa"/>
            <w:vAlign w:val="center"/>
          </w:tcPr>
          <w:p w14:paraId="6F1D1DCB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continue"/>
            <w:vAlign w:val="center"/>
          </w:tcPr>
          <w:p w14:paraId="78ADFC94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8316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817" w:type="dxa"/>
            <w:vMerge w:val="continue"/>
            <w:vAlign w:val="center"/>
          </w:tcPr>
          <w:p w14:paraId="7BD9D5FB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6A5726E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视频存储（1</w:t>
            </w:r>
            <w:r>
              <w:rPr>
                <w:rFonts w:ascii="仿宋" w:hAnsi="仿宋" w:eastAsia="仿宋"/>
                <w:szCs w:val="21"/>
              </w:rPr>
              <w:t>0</w:t>
            </w:r>
            <w:r>
              <w:rPr>
                <w:rFonts w:hint="eastAsia" w:ascii="仿宋" w:hAnsi="仿宋" w:eastAsia="仿宋"/>
                <w:szCs w:val="21"/>
              </w:rPr>
              <w:t>分）</w:t>
            </w:r>
          </w:p>
        </w:tc>
        <w:tc>
          <w:tcPr>
            <w:tcW w:w="2967" w:type="dxa"/>
            <w:vAlign w:val="center"/>
          </w:tcPr>
          <w:p w14:paraId="2432C998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存储时间≥3</w:t>
            </w:r>
            <w:r>
              <w:rPr>
                <w:rFonts w:ascii="仿宋" w:hAnsi="仿宋" w:eastAsia="仿宋"/>
                <w:szCs w:val="21"/>
              </w:rPr>
              <w:t>0</w:t>
            </w:r>
            <w:r>
              <w:rPr>
                <w:rFonts w:hint="eastAsia" w:ascii="仿宋" w:hAnsi="仿宋" w:eastAsia="仿宋"/>
                <w:szCs w:val="21"/>
              </w:rPr>
              <w:t>日；存储无间断</w:t>
            </w:r>
          </w:p>
        </w:tc>
        <w:tc>
          <w:tcPr>
            <w:tcW w:w="1144" w:type="dxa"/>
            <w:vAlign w:val="center"/>
          </w:tcPr>
          <w:p w14:paraId="4833AAB0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restart"/>
            <w:vAlign w:val="center"/>
          </w:tcPr>
          <w:p w14:paraId="598B6E70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由甲方根据监控录像抽查存储时间及录像质量确定</w:t>
            </w:r>
          </w:p>
        </w:tc>
      </w:tr>
      <w:tr w14:paraId="610F8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817" w:type="dxa"/>
            <w:vMerge w:val="continue"/>
            <w:vAlign w:val="center"/>
          </w:tcPr>
          <w:p w14:paraId="6F45DA73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71A29C3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67" w:type="dxa"/>
            <w:vAlign w:val="center"/>
          </w:tcPr>
          <w:p w14:paraId="329A79C1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存储时间小于3</w:t>
            </w:r>
            <w:r>
              <w:rPr>
                <w:rFonts w:ascii="仿宋" w:hAnsi="仿宋" w:eastAsia="仿宋"/>
                <w:szCs w:val="21"/>
              </w:rPr>
              <w:t>0</w:t>
            </w:r>
            <w:r>
              <w:rPr>
                <w:rFonts w:hint="eastAsia" w:ascii="仿宋" w:hAnsi="仿宋" w:eastAsia="仿宋"/>
                <w:szCs w:val="21"/>
              </w:rPr>
              <w:t>日；存储有间断</w:t>
            </w:r>
          </w:p>
        </w:tc>
        <w:tc>
          <w:tcPr>
            <w:tcW w:w="1144" w:type="dxa"/>
            <w:vAlign w:val="center"/>
          </w:tcPr>
          <w:p w14:paraId="24CFFDF4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continue"/>
            <w:vAlign w:val="center"/>
          </w:tcPr>
          <w:p w14:paraId="32793104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522E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817" w:type="dxa"/>
            <w:vMerge w:val="continue"/>
            <w:vAlign w:val="center"/>
          </w:tcPr>
          <w:p w14:paraId="15B911AB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bookmarkStart w:id="0" w:name="_GoBack"/>
            <w:bookmarkEnd w:id="0"/>
          </w:p>
        </w:tc>
        <w:tc>
          <w:tcPr>
            <w:tcW w:w="1134" w:type="dxa"/>
            <w:vMerge w:val="restart"/>
            <w:vAlign w:val="center"/>
          </w:tcPr>
          <w:p w14:paraId="2261D49A"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响应程度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(20分)</w:t>
            </w:r>
          </w:p>
        </w:tc>
        <w:tc>
          <w:tcPr>
            <w:tcW w:w="2967" w:type="dxa"/>
            <w:vAlign w:val="center"/>
          </w:tcPr>
          <w:p w14:paraId="73FA2943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全部响应并按照甲方要求完成</w:t>
            </w:r>
          </w:p>
        </w:tc>
        <w:tc>
          <w:tcPr>
            <w:tcW w:w="1144" w:type="dxa"/>
            <w:vAlign w:val="center"/>
          </w:tcPr>
          <w:p w14:paraId="52B8865F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restart"/>
            <w:vAlign w:val="center"/>
          </w:tcPr>
          <w:p w14:paraId="7792D88F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完成服务项目中的具体项目实施，甲方要求的</w:t>
            </w:r>
            <w:r>
              <w:rPr>
                <w:rFonts w:hint="eastAsia" w:ascii="仿宋" w:hAnsi="仿宋" w:eastAsia="仿宋"/>
                <w:szCs w:val="21"/>
              </w:rPr>
              <w:t>提供人员及设备协助甲方完成重大活动或其它应急任务保障工作，完成情况由甲方评定</w:t>
            </w:r>
          </w:p>
        </w:tc>
      </w:tr>
      <w:tr w14:paraId="6A79A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817" w:type="dxa"/>
            <w:vMerge w:val="continue"/>
            <w:vAlign w:val="center"/>
          </w:tcPr>
          <w:p w14:paraId="66973559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2D418DB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67" w:type="dxa"/>
            <w:vAlign w:val="center"/>
          </w:tcPr>
          <w:p w14:paraId="5EBB1A62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部分响应并按照甲方要求完成</w:t>
            </w:r>
          </w:p>
        </w:tc>
        <w:tc>
          <w:tcPr>
            <w:tcW w:w="1144" w:type="dxa"/>
            <w:vAlign w:val="center"/>
          </w:tcPr>
          <w:p w14:paraId="71330B5D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continue"/>
            <w:vAlign w:val="center"/>
          </w:tcPr>
          <w:p w14:paraId="729621E9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0D1C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817" w:type="dxa"/>
            <w:vMerge w:val="continue"/>
            <w:vAlign w:val="center"/>
          </w:tcPr>
          <w:p w14:paraId="52A71A44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1BDB78B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967" w:type="dxa"/>
            <w:vAlign w:val="center"/>
          </w:tcPr>
          <w:p w14:paraId="37AC684B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未响应</w:t>
            </w:r>
          </w:p>
        </w:tc>
        <w:tc>
          <w:tcPr>
            <w:tcW w:w="1144" w:type="dxa"/>
            <w:vAlign w:val="center"/>
          </w:tcPr>
          <w:p w14:paraId="1BA26898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76" w:type="dxa"/>
            <w:vMerge w:val="continue"/>
            <w:vAlign w:val="center"/>
          </w:tcPr>
          <w:p w14:paraId="0BEF6DE8"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26E44F0E">
      <w:pPr>
        <w:rPr>
          <w:rFonts w:ascii="仿宋" w:hAnsi="仿宋" w:eastAsia="仿宋"/>
          <w:szCs w:val="21"/>
        </w:rPr>
      </w:pPr>
    </w:p>
    <w:p w14:paraId="0AED959F">
      <w:pPr>
        <w:rPr>
          <w:rFonts w:ascii="仿宋" w:hAnsi="仿宋" w:eastAsia="仿宋"/>
          <w:szCs w:val="21"/>
        </w:rPr>
      </w:pPr>
    </w:p>
    <w:p w14:paraId="5BD767C1">
      <w:pPr>
        <w:rPr>
          <w:rFonts w:ascii="仿宋" w:hAnsi="仿宋" w:eastAsia="仿宋"/>
          <w:szCs w:val="21"/>
        </w:rPr>
      </w:pPr>
    </w:p>
    <w:p w14:paraId="364A7F11">
      <w:pPr>
        <w:rPr>
          <w:rFonts w:ascii="仿宋" w:hAnsi="仿宋" w:eastAsia="仿宋"/>
          <w:szCs w:val="21"/>
        </w:rPr>
      </w:pPr>
    </w:p>
    <w:p w14:paraId="391C7AA9">
      <w:pPr>
        <w:pStyle w:val="2"/>
        <w:rPr>
          <w:rFonts w:hint="eastAsia"/>
        </w:rPr>
      </w:pPr>
    </w:p>
    <w:p w14:paraId="661A10A4">
      <w:pPr>
        <w:rPr>
          <w:rFonts w:ascii="仿宋" w:hAnsi="仿宋" w:eastAsia="仿宋"/>
          <w:szCs w:val="21"/>
        </w:rPr>
      </w:pPr>
    </w:p>
    <w:p w14:paraId="69F2CD22"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负责人签字：                         考核员签字：</w:t>
      </w:r>
    </w:p>
    <w:p w14:paraId="7250BC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EDD051"/>
    <w:multiLevelType w:val="singleLevel"/>
    <w:tmpl w:val="2AEDD0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0ZDg2YWQyOWUwZjBlMGE3Njk2YzU3MjFiZGU1MzgifQ=="/>
  </w:docVars>
  <w:rsids>
    <w:rsidRoot w:val="1E560EE4"/>
    <w:rsid w:val="000A59AC"/>
    <w:rsid w:val="00301FE6"/>
    <w:rsid w:val="004F7926"/>
    <w:rsid w:val="00506D83"/>
    <w:rsid w:val="00723414"/>
    <w:rsid w:val="00844655"/>
    <w:rsid w:val="008500E8"/>
    <w:rsid w:val="00861F66"/>
    <w:rsid w:val="009E555D"/>
    <w:rsid w:val="00AD32C9"/>
    <w:rsid w:val="00AF78A8"/>
    <w:rsid w:val="00B44D60"/>
    <w:rsid w:val="00B91456"/>
    <w:rsid w:val="00BC7A13"/>
    <w:rsid w:val="00BD69FC"/>
    <w:rsid w:val="00C561FB"/>
    <w:rsid w:val="00C60FCD"/>
    <w:rsid w:val="00C77580"/>
    <w:rsid w:val="00EA4512"/>
    <w:rsid w:val="15937C14"/>
    <w:rsid w:val="1E560EE4"/>
    <w:rsid w:val="49EC0EAA"/>
    <w:rsid w:val="4A050033"/>
    <w:rsid w:val="5E2E3CBC"/>
    <w:rsid w:val="72960F89"/>
    <w:rsid w:val="7452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0"/>
    <w:pPr>
      <w:spacing w:after="120" w:line="480" w:lineRule="auto"/>
    </w:pPr>
    <w:rPr>
      <w:rFonts w:ascii="Calibri" w:hAnsi="Calibri"/>
      <w:szCs w:val="22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</Words>
  <Characters>898</Characters>
  <Lines>7</Lines>
  <Paragraphs>2</Paragraphs>
  <TotalTime>8</TotalTime>
  <ScaleCrop>false</ScaleCrop>
  <LinksUpToDate>false</LinksUpToDate>
  <CharactersWithSpaces>1053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2024-04-12T07:26:00Z</dcterms:created>
  <dc:creator>Administrator</dc:creator>
  <cp:lastModifiedBy>Administrator</cp:lastModifiedBy>
  <cp:lastPrinted>2025-06-24T01:08:31Z</cp:lastPrinted>
  <dcterms:modified xsi:type="dcterms:W3CDTF">2025-06-24T01:14:44Z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649AC572258B4F47ADB9B5642686995D_13</vt:lpwstr>
  </property>
</Properties>
</file>