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9AF54">
      <w:pPr>
        <w:jc w:val="center"/>
        <w:rPr>
          <w:rFonts w:hint="eastAsia"/>
          <w:sz w:val="44"/>
          <w:szCs w:val="44"/>
        </w:rPr>
      </w:pPr>
      <w:r>
        <w:rPr>
          <w:rFonts w:hint="eastAsia"/>
          <w:sz w:val="44"/>
          <w:szCs w:val="44"/>
          <w:lang w:val="en-US" w:eastAsia="zh-CN"/>
        </w:rPr>
        <w:t xml:space="preserve">清 单 编 制 </w:t>
      </w:r>
      <w:r>
        <w:rPr>
          <w:rFonts w:hint="eastAsia"/>
          <w:sz w:val="44"/>
          <w:szCs w:val="44"/>
        </w:rPr>
        <w:t>说</w:t>
      </w:r>
      <w:r>
        <w:rPr>
          <w:rFonts w:hint="eastAsia"/>
          <w:sz w:val="44"/>
          <w:szCs w:val="44"/>
          <w:lang w:val="en-US" w:eastAsia="zh-CN"/>
        </w:rPr>
        <w:t xml:space="preserve"> </w:t>
      </w:r>
      <w:r>
        <w:rPr>
          <w:rFonts w:hint="eastAsia"/>
          <w:sz w:val="44"/>
          <w:szCs w:val="44"/>
        </w:rPr>
        <w:t>明</w:t>
      </w:r>
    </w:p>
    <w:p w14:paraId="55418D5A">
      <w:pPr>
        <w:jc w:val="center"/>
        <w:rPr>
          <w:rFonts w:hint="eastAsia"/>
          <w:sz w:val="44"/>
          <w:szCs w:val="44"/>
        </w:rPr>
      </w:pPr>
    </w:p>
    <w:p w14:paraId="24F845EB">
      <w:pPr>
        <w:rPr>
          <w:rFonts w:hint="eastAsia"/>
          <w:sz w:val="28"/>
          <w:szCs w:val="28"/>
        </w:rPr>
      </w:pPr>
      <w:r>
        <w:rPr>
          <w:rFonts w:hint="eastAsia"/>
          <w:sz w:val="28"/>
          <w:szCs w:val="28"/>
        </w:rPr>
        <w:t>工程名称：康巴什区青少年发展中心场馆文化建设项目</w:t>
      </w:r>
    </w:p>
    <w:p w14:paraId="2FDC8A88">
      <w:pPr>
        <w:spacing w:line="600" w:lineRule="exact"/>
        <w:rPr>
          <w:rFonts w:hint="eastAsia" w:ascii="黑体" w:hAnsi="黑体" w:eastAsia="黑体" w:cs="宋体"/>
          <w:sz w:val="32"/>
          <w:szCs w:val="32"/>
          <w:lang w:val="en-US" w:eastAsia="zh-CN"/>
        </w:rPr>
      </w:pPr>
      <w:r>
        <w:rPr>
          <w:rFonts w:hint="eastAsia" w:ascii="黑体" w:hAnsi="黑体" w:eastAsia="黑体" w:cs="宋体"/>
          <w:sz w:val="32"/>
          <w:szCs w:val="32"/>
          <w:lang w:val="en-US" w:eastAsia="zh-CN"/>
        </w:rPr>
        <w:t>一、工程概况：</w:t>
      </w:r>
    </w:p>
    <w:p w14:paraId="13540DD8">
      <w:pPr>
        <w:ind w:firstLine="560" w:firstLineChars="200"/>
        <w:rPr>
          <w:rFonts w:hint="eastAsia" w:eastAsiaTheme="minorEastAsia"/>
          <w:sz w:val="28"/>
          <w:szCs w:val="28"/>
          <w:lang w:eastAsia="zh-CN"/>
        </w:rPr>
      </w:pPr>
      <w:r>
        <w:rPr>
          <w:rFonts w:hint="eastAsia"/>
          <w:sz w:val="28"/>
          <w:szCs w:val="28"/>
        </w:rPr>
        <w:t>本项目为康巴什区青少年发展中心场馆文化建设项目</w:t>
      </w:r>
      <w:r>
        <w:rPr>
          <w:rFonts w:hint="eastAsia"/>
          <w:sz w:val="28"/>
          <w:szCs w:val="28"/>
          <w:lang w:eastAsia="zh-CN"/>
        </w:rPr>
        <w:t>。</w:t>
      </w:r>
    </w:p>
    <w:p w14:paraId="19607784">
      <w:pPr>
        <w:numPr>
          <w:ilvl w:val="0"/>
          <w:numId w:val="1"/>
        </w:numPr>
        <w:rPr>
          <w:rFonts w:hint="eastAsia" w:ascii="黑体" w:hAnsi="黑体" w:eastAsia="黑体" w:cs="宋体"/>
          <w:sz w:val="32"/>
          <w:szCs w:val="32"/>
          <w:lang w:val="en-US" w:eastAsia="zh-CN"/>
        </w:rPr>
      </w:pPr>
      <w:r>
        <w:rPr>
          <w:rFonts w:hint="default"/>
          <w:sz w:val="28"/>
          <w:szCs w:val="28"/>
        </w:rPr>
        <w:t>建设地点</w:t>
      </w:r>
      <w:r>
        <w:rPr>
          <w:rFonts w:hint="eastAsia"/>
          <w:sz w:val="28"/>
          <w:szCs w:val="28"/>
          <w:lang w:val="en-US" w:eastAsia="zh-CN"/>
        </w:rPr>
        <w:t>:鄂尔多斯市</w:t>
      </w:r>
      <w:r>
        <w:rPr>
          <w:rFonts w:hint="default"/>
          <w:sz w:val="28"/>
          <w:szCs w:val="28"/>
        </w:rPr>
        <w:t>康巴什</w:t>
      </w:r>
      <w:r>
        <w:rPr>
          <w:rFonts w:hint="eastAsia"/>
          <w:sz w:val="28"/>
          <w:szCs w:val="28"/>
          <w:lang w:eastAsia="zh-CN"/>
        </w:rPr>
        <w:t>，</w:t>
      </w:r>
      <w:r>
        <w:rPr>
          <w:rFonts w:hint="eastAsia"/>
          <w:sz w:val="28"/>
          <w:szCs w:val="28"/>
        </w:rPr>
        <w:t>主要包括：</w:t>
      </w:r>
      <w:r>
        <w:rPr>
          <w:rFonts w:hint="eastAsia"/>
          <w:sz w:val="28"/>
          <w:szCs w:val="28"/>
          <w:lang w:val="en-US" w:eastAsia="zh-CN"/>
        </w:rPr>
        <w:t>室内拆除工程、装修工程</w:t>
      </w:r>
      <w:r>
        <w:rPr>
          <w:rFonts w:hint="eastAsia"/>
          <w:sz w:val="28"/>
          <w:szCs w:val="28"/>
        </w:rPr>
        <w:t>、</w:t>
      </w:r>
      <w:r>
        <w:rPr>
          <w:rFonts w:hint="eastAsia"/>
          <w:sz w:val="28"/>
          <w:szCs w:val="28"/>
          <w:lang w:val="en-US" w:eastAsia="zh-CN"/>
        </w:rPr>
        <w:t>安装工程</w:t>
      </w:r>
      <w:r>
        <w:rPr>
          <w:rFonts w:hint="eastAsia"/>
          <w:sz w:val="28"/>
          <w:szCs w:val="28"/>
          <w:lang w:eastAsia="zh-CN"/>
        </w:rPr>
        <w:t>。</w:t>
      </w:r>
    </w:p>
    <w:p w14:paraId="5B585EEF">
      <w:pPr>
        <w:numPr>
          <w:ilvl w:val="0"/>
          <w:numId w:val="1"/>
        </w:numPr>
        <w:rPr>
          <w:rFonts w:hint="eastAsia" w:ascii="黑体" w:hAnsi="黑体" w:eastAsia="黑体" w:cs="宋体"/>
          <w:sz w:val="32"/>
          <w:szCs w:val="32"/>
          <w:lang w:val="en-US" w:eastAsia="zh-CN"/>
        </w:rPr>
      </w:pPr>
      <w:r>
        <w:rPr>
          <w:rFonts w:hint="eastAsia" w:ascii="黑体" w:hAnsi="黑体" w:eastAsia="黑体" w:cs="宋体"/>
          <w:sz w:val="32"/>
          <w:szCs w:val="32"/>
          <w:lang w:val="en-US" w:eastAsia="zh-CN"/>
        </w:rPr>
        <w:t>编制范围：</w:t>
      </w:r>
      <w:bookmarkStart w:id="0" w:name="_GoBack"/>
      <w:bookmarkEnd w:id="0"/>
    </w:p>
    <w:p w14:paraId="291AF809">
      <w:pPr>
        <w:numPr>
          <w:ilvl w:val="0"/>
          <w:numId w:val="0"/>
        </w:numPr>
        <w:ind w:firstLine="560" w:firstLineChars="200"/>
        <w:rPr>
          <w:rFonts w:hint="default" w:eastAsiaTheme="minorEastAsia"/>
          <w:sz w:val="28"/>
          <w:szCs w:val="28"/>
          <w:lang w:val="en-US" w:eastAsia="zh-CN"/>
        </w:rPr>
      </w:pPr>
      <w:r>
        <w:rPr>
          <w:rFonts w:hint="eastAsia"/>
          <w:sz w:val="28"/>
          <w:szCs w:val="28"/>
        </w:rPr>
        <w:t>招标图纸及</w:t>
      </w:r>
      <w:r>
        <w:rPr>
          <w:rFonts w:hint="eastAsia"/>
          <w:sz w:val="28"/>
          <w:szCs w:val="28"/>
          <w:lang w:val="en-US" w:eastAsia="zh-CN"/>
        </w:rPr>
        <w:t>现场实际情况</w:t>
      </w:r>
      <w:r>
        <w:rPr>
          <w:rFonts w:hint="eastAsia"/>
          <w:sz w:val="28"/>
          <w:szCs w:val="28"/>
        </w:rPr>
        <w:t>的全部内容</w:t>
      </w:r>
      <w:r>
        <w:rPr>
          <w:rFonts w:hint="eastAsia"/>
          <w:sz w:val="28"/>
          <w:szCs w:val="28"/>
          <w:lang w:eastAsia="zh-CN"/>
        </w:rPr>
        <w:t>，</w:t>
      </w:r>
      <w:r>
        <w:rPr>
          <w:rFonts w:hint="eastAsia"/>
          <w:sz w:val="28"/>
          <w:szCs w:val="28"/>
          <w:lang w:val="en-US" w:eastAsia="zh-CN"/>
        </w:rPr>
        <w:t>结算工程量据实结算。</w:t>
      </w:r>
    </w:p>
    <w:p w14:paraId="05B20A95">
      <w:pPr>
        <w:spacing w:line="600" w:lineRule="exact"/>
        <w:rPr>
          <w:rFonts w:hint="eastAsia" w:ascii="黑体" w:hAnsi="黑体" w:eastAsia="黑体" w:cs="宋体"/>
          <w:sz w:val="32"/>
          <w:szCs w:val="32"/>
          <w:lang w:val="en-US" w:eastAsia="zh-CN"/>
        </w:rPr>
      </w:pPr>
      <w:r>
        <w:rPr>
          <w:rFonts w:hint="eastAsia" w:ascii="黑体" w:hAnsi="黑体" w:eastAsia="黑体" w:cs="宋体"/>
          <w:sz w:val="32"/>
          <w:szCs w:val="32"/>
          <w:lang w:val="en-US" w:eastAsia="zh-CN"/>
        </w:rPr>
        <w:t>四、编制依据：</w:t>
      </w:r>
    </w:p>
    <w:p w14:paraId="5FE1CDE2">
      <w:pPr>
        <w:ind w:firstLine="560" w:firstLineChars="200"/>
        <w:rPr>
          <w:rFonts w:hint="eastAsia"/>
          <w:sz w:val="28"/>
          <w:szCs w:val="28"/>
        </w:rPr>
      </w:pPr>
      <w:r>
        <w:rPr>
          <w:rFonts w:hint="eastAsia"/>
          <w:sz w:val="28"/>
          <w:szCs w:val="28"/>
          <w:lang w:val="en-US" w:eastAsia="zh-CN"/>
        </w:rPr>
        <w:t>1.</w:t>
      </w:r>
      <w:r>
        <w:rPr>
          <w:rFonts w:hint="eastAsia"/>
          <w:sz w:val="28"/>
          <w:szCs w:val="28"/>
        </w:rPr>
        <w:t>计价依据《建设工程工程量清单计价规范(GB 50500-2013)》、《房屋建筑与装饰工程工程量计算规范(GB 50854-2013)》、《通用安装工程工程量计算规范(GB50856-2013)》</w:t>
      </w:r>
    </w:p>
    <w:p w14:paraId="6EB1A9D0">
      <w:pPr>
        <w:ind w:firstLine="560" w:firstLineChars="200"/>
        <w:rPr>
          <w:rFonts w:hint="eastAsia"/>
          <w:sz w:val="28"/>
          <w:szCs w:val="28"/>
        </w:rPr>
      </w:pPr>
      <w:r>
        <w:rPr>
          <w:rFonts w:hint="eastAsia"/>
          <w:sz w:val="28"/>
          <w:szCs w:val="28"/>
          <w:lang w:val="en-US" w:eastAsia="zh-CN"/>
        </w:rPr>
        <w:t>2.</w:t>
      </w:r>
      <w:r>
        <w:rPr>
          <w:rFonts w:hint="eastAsia"/>
          <w:sz w:val="28"/>
          <w:szCs w:val="28"/>
        </w:rPr>
        <w:t>人工费依据内建标[2021]148号《内蒙古自治区住房和城乡建设厅关于调整内蒙古自治区建设工程现行预算定额人工费的通知》计算；</w:t>
      </w:r>
    </w:p>
    <w:p w14:paraId="27260CA3">
      <w:pPr>
        <w:ind w:firstLine="560" w:firstLineChars="200"/>
        <w:rPr>
          <w:rFonts w:hint="eastAsia"/>
          <w:sz w:val="28"/>
          <w:szCs w:val="28"/>
        </w:rPr>
      </w:pPr>
      <w:r>
        <w:rPr>
          <w:rFonts w:hint="eastAsia"/>
          <w:sz w:val="28"/>
          <w:szCs w:val="28"/>
          <w:lang w:val="en-US" w:eastAsia="zh-CN"/>
        </w:rPr>
        <w:t>3.</w:t>
      </w:r>
      <w:r>
        <w:rPr>
          <w:rFonts w:hint="eastAsia"/>
          <w:sz w:val="28"/>
          <w:szCs w:val="28"/>
        </w:rPr>
        <w:t>规费执行内建标函【2019】468号文，规费中养老失业保险费率按10.5%计取；税金执行《财政部税务总局海关总署关于深化增值税改革有关政策的公告》(财政部税务总局海关总署公告2019年第39号)规定，按9%计取。</w:t>
      </w:r>
    </w:p>
    <w:p w14:paraId="61F80452">
      <w:pPr>
        <w:ind w:firstLine="560" w:firstLineChars="200"/>
        <w:rPr>
          <w:rFonts w:hint="eastAsia"/>
          <w:sz w:val="28"/>
          <w:szCs w:val="28"/>
        </w:rPr>
      </w:pPr>
      <w:r>
        <w:rPr>
          <w:rFonts w:hint="eastAsia"/>
          <w:sz w:val="28"/>
          <w:szCs w:val="28"/>
          <w:lang w:val="en-US" w:eastAsia="zh-CN"/>
        </w:rPr>
        <w:t>4.</w:t>
      </w:r>
      <w:r>
        <w:rPr>
          <w:rFonts w:hint="eastAsia"/>
          <w:sz w:val="28"/>
          <w:szCs w:val="28"/>
        </w:rPr>
        <w:t>定额依据2017届《内蒙古自治区房屋建筑与装饰工程预算定额》、《内蒙古自治区通用安装工程预算定额》、《内蒙古自治区</w:t>
      </w:r>
      <w:r>
        <w:rPr>
          <w:rFonts w:hint="eastAsia"/>
          <w:sz w:val="28"/>
          <w:szCs w:val="28"/>
          <w:lang w:val="en-US" w:eastAsia="zh-CN"/>
        </w:rPr>
        <w:t>建设</w:t>
      </w:r>
      <w:r>
        <w:rPr>
          <w:rFonts w:hint="eastAsia"/>
          <w:sz w:val="28"/>
          <w:szCs w:val="28"/>
        </w:rPr>
        <w:t>工</w:t>
      </w:r>
      <w:r>
        <w:rPr>
          <w:rFonts w:hint="eastAsia"/>
          <w:sz w:val="28"/>
          <w:szCs w:val="28"/>
          <w:lang w:val="en-US" w:eastAsia="zh-CN"/>
        </w:rPr>
        <w:t>程费用</w:t>
      </w:r>
      <w:r>
        <w:rPr>
          <w:rFonts w:hint="eastAsia"/>
          <w:sz w:val="28"/>
          <w:szCs w:val="28"/>
        </w:rPr>
        <w:t>定额》、《内蒙古自治区混凝土及砂浆配合比价格》、《内蒙古自治区施工机械台班费用定额》、以及相关法律法规及规范规定编制。</w:t>
      </w:r>
    </w:p>
    <w:p w14:paraId="5D8054EA">
      <w:pPr>
        <w:spacing w:line="600" w:lineRule="exact"/>
        <w:ind w:firstLine="640" w:firstLineChars="200"/>
        <w:rPr>
          <w:rFonts w:hint="default" w:ascii="黑体" w:hAnsi="黑体" w:eastAsia="黑体" w:cs="宋体"/>
          <w:sz w:val="32"/>
          <w:szCs w:val="32"/>
          <w:lang w:val="en-US" w:eastAsia="zh-CN"/>
        </w:rPr>
      </w:pPr>
      <w:r>
        <w:rPr>
          <w:rFonts w:hint="eastAsia" w:ascii="黑体" w:hAnsi="黑体" w:eastAsia="黑体" w:cs="宋体"/>
          <w:sz w:val="32"/>
          <w:szCs w:val="32"/>
          <w:lang w:val="en-US" w:eastAsia="zh-CN"/>
        </w:rPr>
        <w:t>五、其它说明</w:t>
      </w:r>
    </w:p>
    <w:p w14:paraId="45CE1E47">
      <w:pPr>
        <w:ind w:firstLine="560" w:firstLineChars="200"/>
        <w:rPr>
          <w:rFonts w:hint="default"/>
          <w:sz w:val="28"/>
          <w:szCs w:val="28"/>
          <w:lang w:eastAsia="zh-CN"/>
        </w:rPr>
      </w:pPr>
      <w:r>
        <w:rPr>
          <w:rFonts w:hint="default"/>
          <w:sz w:val="28"/>
          <w:szCs w:val="28"/>
          <w:lang w:eastAsia="zh-CN"/>
        </w:rPr>
        <w:t>（一）水电费由学校支付，统一扣除水电费。</w:t>
      </w:r>
    </w:p>
    <w:p w14:paraId="6684D056">
      <w:pPr>
        <w:ind w:firstLine="560" w:firstLineChars="200"/>
        <w:rPr>
          <w:rFonts w:hint="eastAsia"/>
          <w:sz w:val="28"/>
          <w:szCs w:val="28"/>
          <w:lang w:val="en-US" w:eastAsia="zh-CN"/>
        </w:rPr>
      </w:pPr>
      <w:r>
        <w:rPr>
          <w:rFonts w:hint="eastAsia"/>
          <w:sz w:val="28"/>
          <w:szCs w:val="28"/>
          <w:lang w:eastAsia="zh-CN"/>
        </w:rPr>
        <w:t>（</w:t>
      </w:r>
      <w:r>
        <w:rPr>
          <w:rFonts w:hint="eastAsia"/>
          <w:sz w:val="28"/>
          <w:szCs w:val="28"/>
          <w:lang w:val="en-US" w:eastAsia="zh-CN"/>
        </w:rPr>
        <w:t>二</w:t>
      </w:r>
      <w:r>
        <w:rPr>
          <w:rFonts w:hint="eastAsia"/>
          <w:sz w:val="28"/>
          <w:szCs w:val="28"/>
          <w:lang w:eastAsia="zh-CN"/>
        </w:rPr>
        <w:t>）</w:t>
      </w:r>
      <w:r>
        <w:rPr>
          <w:rFonts w:hint="eastAsia"/>
          <w:sz w:val="28"/>
          <w:szCs w:val="28"/>
          <w:lang w:val="en-US" w:eastAsia="zh-CN"/>
        </w:rPr>
        <w:t>专业工程暂估价660000，取9%税金后为719400元。</w:t>
      </w:r>
    </w:p>
    <w:p w14:paraId="6573520D">
      <w:pPr>
        <w:ind w:firstLine="560" w:firstLineChars="200"/>
        <w:rPr>
          <w:rFonts w:hint="eastAsia"/>
          <w:sz w:val="28"/>
          <w:szCs w:val="28"/>
          <w:lang w:val="en-US" w:eastAsia="zh-CN"/>
        </w:rPr>
      </w:pPr>
      <w:r>
        <w:rPr>
          <w:rFonts w:hint="eastAsia"/>
          <w:sz w:val="28"/>
          <w:szCs w:val="28"/>
          <w:lang w:val="en-US" w:eastAsia="zh-CN"/>
        </w:rPr>
        <w:t>（三）暂估材料价：见暂估材料表。</w:t>
      </w:r>
    </w:p>
    <w:p w14:paraId="1D69DAE0">
      <w:pPr>
        <w:numPr>
          <w:ilvl w:val="0"/>
          <w:numId w:val="0"/>
        </w:numPr>
        <w:ind w:firstLine="560" w:firstLineChars="200"/>
        <w:rPr>
          <w:rFonts w:hint="eastAsia"/>
          <w:sz w:val="28"/>
          <w:szCs w:val="28"/>
        </w:rPr>
      </w:pPr>
      <w:r>
        <w:rPr>
          <w:rFonts w:hint="eastAsia"/>
          <w:sz w:val="28"/>
          <w:szCs w:val="28"/>
          <w:lang w:val="en-US" w:eastAsia="zh-CN"/>
        </w:rPr>
        <w:t>六、</w:t>
      </w:r>
      <w:r>
        <w:rPr>
          <w:rFonts w:hint="eastAsia"/>
          <w:sz w:val="28"/>
          <w:szCs w:val="28"/>
        </w:rPr>
        <w:t>清单说明</w:t>
      </w:r>
    </w:p>
    <w:p w14:paraId="5CA2198F">
      <w:pPr>
        <w:numPr>
          <w:ilvl w:val="0"/>
          <w:numId w:val="0"/>
        </w:numPr>
        <w:ind w:firstLine="560" w:firstLineChars="200"/>
        <w:rPr>
          <w:rFonts w:hint="eastAsia"/>
          <w:sz w:val="28"/>
          <w:szCs w:val="28"/>
        </w:rPr>
      </w:pPr>
      <w:r>
        <w:rPr>
          <w:rFonts w:hint="eastAsia"/>
          <w:sz w:val="28"/>
          <w:szCs w:val="28"/>
        </w:rPr>
        <w:t xml:space="preserve">    1.投标人必须按招标工程量清单填报价格。项目编码、项目名称、项目特征、计量单位、工程量必须与招标工程量清单一致，如有不一致按否决其投标处理。</w:t>
      </w:r>
    </w:p>
    <w:p w14:paraId="2AFECDE1">
      <w:pPr>
        <w:numPr>
          <w:ilvl w:val="0"/>
          <w:numId w:val="0"/>
        </w:numPr>
        <w:ind w:firstLine="560" w:firstLineChars="200"/>
        <w:rPr>
          <w:rFonts w:hint="eastAsia"/>
          <w:sz w:val="28"/>
          <w:szCs w:val="28"/>
        </w:rPr>
      </w:pPr>
      <w:r>
        <w:rPr>
          <w:rFonts w:hint="eastAsia"/>
          <w:sz w:val="28"/>
          <w:szCs w:val="28"/>
        </w:rPr>
        <w:t>2.规费及税金应按 “规费、税金项目清单与计价表”所列项目并根据国家、省级或行业建设主管部门的有关规定列算和计算，不得作为竞争性费用。</w:t>
      </w:r>
    </w:p>
    <w:p w14:paraId="5B53E670">
      <w:pPr>
        <w:numPr>
          <w:ilvl w:val="0"/>
          <w:numId w:val="0"/>
        </w:numPr>
        <w:ind w:firstLine="560" w:firstLineChars="200"/>
        <w:rPr>
          <w:rFonts w:hint="eastAsia"/>
          <w:sz w:val="28"/>
          <w:szCs w:val="28"/>
        </w:rPr>
      </w:pPr>
      <w:r>
        <w:rPr>
          <w:rFonts w:hint="eastAsia"/>
          <w:sz w:val="28"/>
          <w:szCs w:val="28"/>
        </w:rPr>
        <w:t>3.安全文明费应按 “总价措施项目清单与计价表”所列项目并根据国家、省级或行业建设主管部门的有关规定列算和计算，不得作为竞争性费用。</w:t>
      </w:r>
    </w:p>
    <w:p w14:paraId="7B6C019E">
      <w:pPr>
        <w:numPr>
          <w:ilvl w:val="0"/>
          <w:numId w:val="0"/>
        </w:numPr>
        <w:ind w:firstLine="560" w:firstLineChars="200"/>
        <w:rPr>
          <w:rFonts w:hint="eastAsia"/>
          <w:sz w:val="28"/>
          <w:szCs w:val="28"/>
        </w:rPr>
      </w:pPr>
      <w:r>
        <w:rPr>
          <w:rFonts w:hint="eastAsia"/>
          <w:sz w:val="28"/>
          <w:szCs w:val="28"/>
        </w:rPr>
        <w:t>4.本说明未尽事项，以“计价规范”、“计价管理办法”、“工程量计算规范”“招标文件”以及有关的法律、法规、建设行政主管部门颁发的文件为准。</w:t>
      </w:r>
    </w:p>
    <w:p w14:paraId="39262DF0">
      <w:pPr>
        <w:numPr>
          <w:ilvl w:val="0"/>
          <w:numId w:val="0"/>
        </w:numPr>
        <w:ind w:firstLine="560" w:firstLineChars="200"/>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20EB48"/>
    <w:multiLevelType w:val="singleLevel"/>
    <w:tmpl w:val="9220EB4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yZTgwN2VkMTBmODA3ODhiZGViNjdhOTAwNmIxNTQifQ=="/>
  </w:docVars>
  <w:rsids>
    <w:rsidRoot w:val="00000000"/>
    <w:rsid w:val="319A324C"/>
    <w:rsid w:val="33645B67"/>
    <w:rsid w:val="34872D85"/>
    <w:rsid w:val="384F2B6E"/>
    <w:rsid w:val="3ACA4067"/>
    <w:rsid w:val="3CE75508"/>
    <w:rsid w:val="420E7B81"/>
    <w:rsid w:val="4D607AA0"/>
    <w:rsid w:val="4EA32CB1"/>
    <w:rsid w:val="5778170F"/>
    <w:rsid w:val="5B653C0C"/>
    <w:rsid w:val="657937D4"/>
    <w:rsid w:val="66880618"/>
    <w:rsid w:val="67AD2326"/>
    <w:rsid w:val="67C01F5C"/>
    <w:rsid w:val="6B4E12D1"/>
    <w:rsid w:val="6F3B0B9E"/>
    <w:rsid w:val="7A2A2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794</Words>
  <Characters>875</Characters>
  <Lines>0</Lines>
  <Paragraphs>0</Paragraphs>
  <TotalTime>2</TotalTime>
  <ScaleCrop>false</ScaleCrop>
  <LinksUpToDate>false</LinksUpToDate>
  <CharactersWithSpaces>888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2024-06-30T12:57:00Z</dcterms:created>
  <dc:creator>Administrator</dc:creator>
  <cp:lastModifiedBy>张鑫瑞</cp:lastModifiedBy>
  <dcterms:modified xsi:type="dcterms:W3CDTF">2024-12-04T12:01:11Z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02B038DF90FA4709AEFF0F58DA9120A9_13</vt:lpwstr>
  </property>
</Properties>
</file>