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“车路云一体化”建设方案编制服务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鄂尔多斯市康巴什区科学技术局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内蒙古诚亦信项目管理咨询有限公司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ESZCKBS-C-F-250008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内蒙古诚亦信项目管理咨询有限公司</w:t>
      </w:r>
      <w:r>
        <w:rPr>
          <w:rFonts w:ascii="仿宋_GB2312" w:hAnsi="仿宋_GB2312" w:cs="仿宋_GB2312" w:eastAsia="仿宋_GB2312"/>
        </w:rPr>
        <w:t xml:space="preserve"> 受 </w:t>
      </w:r>
      <w:r>
        <w:rPr>
          <w:rFonts w:ascii="仿宋_GB2312" w:hAnsi="仿宋_GB2312" w:cs="仿宋_GB2312" w:eastAsia="仿宋_GB2312"/>
        </w:rPr>
        <w:t>鄂尔多斯市康巴什区科学技术局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“车路云一体化”建设方案编制服务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“车路云一体化”建设方案编制服务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ESZCKBS-C-F-250008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BUYPLANNUM[2025]00029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鄂尔多斯市智能网联汽车“车路云一体化”应用试点建设方案编制服务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内蒙古诚亦信项目管理咨询有限公司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内蒙古自治区鄂尔多斯市康巴什区滨河街道鄂尔多斯总部经济孵化大厦11层东侧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0477-8593744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鄂尔多斯市康巴什区科学技术局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鄂尔多斯市康巴什区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王鑫业</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15547721466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代理服务费收费标准：参照内蒙古建设工程招标代理收费指导意见（内工建协【2022】34号文件）规定，以中标价的1.2%收取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鄂尔多斯市康巴什区科学技术局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内蒙古诚亦信项目管理咨询有限公司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面向鄂尔多斯市“车路云一体化”应用试点，完成鄂尔多斯市区域内的“车路云一体化”建设方案，包含但不限于区域内各类场景规划及相关支撑内容。</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2025年5月15日前完成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鄂尔多斯市康巴什区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1、签订合同10个工作日内，达到付款条件起30日，支付合同总金额的40.00%</w:t>
            </w:r>
          </w:p>
          <w:p>
            <w:pPr>
              <w:pStyle w:val="null5"/>
              <w:jc w:val="left"/>
            </w:pPr>
            <w:r>
              <w:rPr>
                <w:rFonts w:ascii="仿宋_GB2312" w:hAnsi="仿宋_GB2312" w:cs="仿宋_GB2312" w:eastAsia="仿宋_GB2312"/>
              </w:rPr>
              <w:t>2、验收后，达到付款条件起30日，支付合同总金额的60.00%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标的名称：鄂尔多斯市智能网联汽车“车路云一体化”应用试点建设方案编制服务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1.涵盖建设概况、建设必要性、依据与效益分析；</w:t>
            </w:r>
            <w:r>
              <w:br/>
            </w:r>
            <w:r>
              <w:rPr>
                <w:rFonts w:ascii="仿宋_GB2312" w:hAnsi="仿宋_GB2312" w:cs="仿宋_GB2312" w:eastAsia="仿宋_GB2312"/>
              </w:rPr>
              <w:t xml:space="preserve"> 2.涵盖需求分析与产出方案；</w:t>
            </w:r>
            <w:r>
              <w:br/>
            </w:r>
            <w:r>
              <w:rPr>
                <w:rFonts w:ascii="仿宋_GB2312" w:hAnsi="仿宋_GB2312" w:cs="仿宋_GB2312" w:eastAsia="仿宋_GB2312"/>
              </w:rPr>
              <w:t xml:space="preserve"> 3.涵盖工程方案与运营方案；</w:t>
            </w:r>
            <w:r>
              <w:br/>
            </w:r>
            <w:r>
              <w:rPr>
                <w:rFonts w:ascii="仿宋_GB2312" w:hAnsi="仿宋_GB2312" w:cs="仿宋_GB2312" w:eastAsia="仿宋_GB2312"/>
              </w:rPr>
              <w:t xml:space="preserve"> 4.涵盖项目投融资与财务方案；</w:t>
            </w:r>
            <w:r>
              <w:br/>
            </w:r>
            <w:r>
              <w:rPr>
                <w:rFonts w:ascii="仿宋_GB2312" w:hAnsi="仿宋_GB2312" w:cs="仿宋_GB2312" w:eastAsia="仿宋_GB2312"/>
              </w:rPr>
              <w:t xml:space="preserve"> 5.涵盖考核指标、应用场景与实施路线等</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采购需求分析与理解</w:t>
            </w:r>
          </w:p>
        </w:tc>
        <w:tc>
          <w:tcPr>
            <w:tcW w:type="dxa" w:w="3115"/>
          </w:tcPr>
          <w:p>
            <w:pPr>
              <w:pStyle w:val="null5"/>
              <w:jc w:val="left"/>
            </w:pPr>
            <w:r>
              <w:rPr>
                <w:rFonts w:ascii="仿宋_GB2312" w:hAnsi="仿宋_GB2312" w:cs="仿宋_GB2312" w:eastAsia="仿宋_GB2312"/>
              </w:rPr>
              <w:t>针对本项目的服务特点及难点分析：服务特 点、难点定位准确，分析合理的得 10 分； 针对本项目的服务特点及难点分析：服务特 点、难点定位较准确，分析较合理得 7 分； 针对本项目的服务特点及难点分析：服务特 点、难点定位不够准确，分析不合理得 4 分 ; 未提供方案的此项得 0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投入本项目团队服务能力</w:t>
            </w:r>
          </w:p>
        </w:tc>
        <w:tc>
          <w:tcPr>
            <w:tcW w:type="dxa" w:w="3115"/>
          </w:tcPr>
          <w:p>
            <w:pPr>
              <w:pStyle w:val="null5"/>
              <w:jc w:val="left"/>
            </w:pPr>
            <w:r>
              <w:rPr>
                <w:rFonts w:ascii="仿宋_GB2312" w:hAnsi="仿宋_GB2312" w:cs="仿宋_GB2312" w:eastAsia="仿宋_GB2312"/>
              </w:rPr>
              <w:t>配备人员信息明确，岗位安排合理，证书齐全且后备人员充足，完全保障采购人需求的得 10 分； 配备人员信息明确，岗位安排合理，证书部分提供，后备人员相对不足，能较好保障采购人需求的得 7 分； 人员配备信息较明确，岗位安排较合理，证书部分提供 或未提供，后备人员严重欠缺， 但能基本保障采购人需求的得 4 分； 人员配备信息不明确，岗位安排不合理，证书部分提供或未提 供，后备人员严重欠缺得 1 分； 人员配备差 , 不满足采购人需求的得 0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项目整体实施方案完整，完全可行的得 10分； 项目整体实施方案较完整 ，可行性高的得 7 分； 项目整体实施方案一般，具有可行性的得 4 分； 项目整体实施方案差或严重欠缺得 1 分； 未提供方案的此项得 0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服务质量保证措施</w:t>
            </w:r>
          </w:p>
        </w:tc>
        <w:tc>
          <w:tcPr>
            <w:tcW w:type="dxa" w:w="3115"/>
          </w:tcPr>
          <w:p>
            <w:pPr>
              <w:pStyle w:val="null5"/>
              <w:jc w:val="left"/>
            </w:pPr>
            <w:r>
              <w:rPr>
                <w:rFonts w:ascii="仿宋_GB2312" w:hAnsi="仿宋_GB2312" w:cs="仿宋_GB2312" w:eastAsia="仿宋_GB2312"/>
              </w:rPr>
              <w:t>措施内容齐全，方案合理、完全可行的得 10分； 质量目标保证措施内容较齐全，方案较合理、可行性较高的得7分； 质量目标保证措施一般，方案 一般、可行性一般的得4 分； 质量目标保证措施、方案差或严重欠缺得 1 分； 未提供方案的此项得 0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具备良好的客户口碑和信誉，能够为客户提供专业、高效、满意的服务。服务承诺完整、合理、针对性强的得10分； 服务承诺完整、合理、针对性较强的得7分； 服务承诺一般，针对性一般的得 4 分； 服务承诺差的得 1 分； 未提供服务承诺的此项得 0 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2022年至今承揽过智能网联汽车、车路云一体化或类似项目建设方案编制业务的，每有一项得5分；最高得30分。（以合同签订时间为准，投标文件需附合同复印件）</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