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鄂尔多斯康巴什自然博物馆运营管理服务项目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鄂尔多斯市康巴什区文化和旅游局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内蒙古中和亦坤项目管理有限公司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ESZCKBS-G-F-250004</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内蒙古中和亦坤项目管理有限公司</w:t>
      </w:r>
      <w:r>
        <w:rPr>
          <w:rFonts w:ascii="仿宋_GB2312" w:hAnsi="仿宋_GB2312" w:cs="仿宋_GB2312" w:eastAsia="仿宋_GB2312"/>
        </w:rPr>
        <w:t xml:space="preserve"> 受 </w:t>
      </w:r>
      <w:r>
        <w:rPr>
          <w:rFonts w:ascii="仿宋_GB2312" w:hAnsi="仿宋_GB2312" w:cs="仿宋_GB2312" w:eastAsia="仿宋_GB2312"/>
        </w:rPr>
        <w:t>鄂尔多斯市康巴什区文化和旅游局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鄂尔多斯康巴什自然博物馆运营管理服务项目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鄂尔多斯康巴什自然博物馆运营管理服务项目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ESZCKBS-G-F-250004</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BUYPLANNUM[2025]00013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5,000,000.00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鄂尔多斯康巴什自然博物馆运营管理项目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5,000,000.00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内蒙古中和亦坤项目管理有限公司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内蒙古自治区呼和浩特市新城区成吉思汗街道绿地智海大厦A4座1305室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任媛</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19904771744</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鄂尔多斯市康巴什区文化和旅游局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鄂尔多斯市康巴什区</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武岳</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14784738919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代理服务费收费标准：参照原《内蒙古建设工程招标代理服务收费指导意见》（内工建协【2022】34号文）收取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鄂尔多斯市康巴什区文化和旅游局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内蒙古中和亦坤项目管理有限公司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审查供应商2022或2023年度经会计师事务所出具的财务审计报告或其基本开户银行出具的近一年内的银行资信证明。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1.提供递交响应文件截止之日前半年内（至少一个月）的良好缴纳税收的相关凭据。（以税 务机关提供的纳税凭据或银行入账单为准）2.提供递交响应文件截止之日前半年内（至少一 个月）缴纳社会保险的凭证。（以专用收据或社会保险缴纳清单为准）注：其他组织和自然 人也需要提供缴纳税收的凭据金额缴纳社保的凭据。依法免税或不需要缴纳社会保障资金的 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鄂尔多斯康巴什自然博物馆运营管理服务项目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1年，合同期满验收合格且业主单位有运营管理需求的情况下，双方可续签合同。续签合同一年一签，总履行期限不超过三年。合同履行期间如遇康巴什区政府成立事业单位（或变更业主单位职能）对自然博物馆进行管理运营职能的情况下，业主单位有权解除合同，中标单位应当无条件配合。</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鄂尔多斯康巴什自然博物馆</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1、支付比例30%，合同签订后7日内支付，达到付款条件起7日，支付合同总金额的30.00%</w:t>
            </w:r>
          </w:p>
          <w:p>
            <w:pPr>
              <w:pStyle w:val="null5"/>
              <w:jc w:val="left"/>
            </w:pPr>
            <w:r>
              <w:rPr>
                <w:rFonts w:ascii="仿宋_GB2312" w:hAnsi="仿宋_GB2312" w:cs="仿宋_GB2312" w:eastAsia="仿宋_GB2312"/>
              </w:rPr>
              <w:t>2、支付比例30%，运营服务满6个月经验收合格后支付，达到付款条件起7日，支付合同总金额的30.00%</w:t>
            </w:r>
          </w:p>
          <w:p>
            <w:pPr>
              <w:pStyle w:val="null5"/>
              <w:jc w:val="left"/>
            </w:pPr>
            <w:r>
              <w:rPr>
                <w:rFonts w:ascii="仿宋_GB2312" w:hAnsi="仿宋_GB2312" w:cs="仿宋_GB2312" w:eastAsia="仿宋_GB2312"/>
              </w:rPr>
              <w:t>3、支付比例40%，运营服务满12个月经验收合格后支付，达到付款条件起7日，支付合同总金额的40.00%</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标的名称：鄂尔多斯康巴什自然博物馆运营管理项目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482"/>
              <w:jc w:val="both"/>
            </w:pPr>
            <w:r>
              <w:rPr>
                <w:rFonts w:ascii="仿宋_GB2312" w:hAnsi="仿宋_GB2312" w:cs="仿宋_GB2312" w:eastAsia="仿宋_GB2312"/>
                <w:sz w:val="24"/>
                <w:b/>
                <w:color w:val="0000FF"/>
              </w:rPr>
              <w:t>一．项目说明</w:t>
            </w:r>
          </w:p>
          <w:p>
            <w:pPr>
              <w:pStyle w:val="null5"/>
              <w:ind w:firstLine="480"/>
              <w:jc w:val="both"/>
            </w:pPr>
            <w:r>
              <w:rPr>
                <w:rFonts w:ascii="仿宋_GB2312" w:hAnsi="仿宋_GB2312" w:cs="仿宋_GB2312" w:eastAsia="仿宋_GB2312"/>
                <w:sz w:val="24"/>
                <w:color w:val="0000FF"/>
              </w:rPr>
              <w:t>（一）项目基本情况：预算金额：</w:t>
            </w:r>
            <w:r>
              <w:rPr>
                <w:rFonts w:ascii="仿宋_GB2312" w:hAnsi="仿宋_GB2312" w:cs="仿宋_GB2312" w:eastAsia="仿宋_GB2312"/>
                <w:sz w:val="24"/>
                <w:color w:val="0000FF"/>
              </w:rPr>
              <w:t>500万元（一年运营服务费用）；</w:t>
            </w:r>
          </w:p>
          <w:p>
            <w:pPr>
              <w:pStyle w:val="null5"/>
              <w:ind w:firstLine="480"/>
              <w:jc w:val="both"/>
            </w:pPr>
            <w:r>
              <w:rPr>
                <w:rFonts w:ascii="仿宋_GB2312" w:hAnsi="仿宋_GB2312" w:cs="仿宋_GB2312" w:eastAsia="仿宋_GB2312"/>
                <w:sz w:val="24"/>
                <w:color w:val="0000FF"/>
              </w:rPr>
              <w:t>（二）服务期限：自合同签订之日起</w:t>
            </w:r>
            <w:r>
              <w:rPr>
                <w:rFonts w:ascii="仿宋_GB2312" w:hAnsi="仿宋_GB2312" w:cs="仿宋_GB2312" w:eastAsia="仿宋_GB2312"/>
                <w:sz w:val="24"/>
                <w:color w:val="0000FF"/>
              </w:rPr>
              <w:t>1年，合同期满验收合格且业主单位有运营管理需求的情况下，双方可续签合同。续签合同一年一签，总履行期限不超过三年。合同履行期间如遇康巴什区政府成立事业单位（或变更业主单位职能）对自然博物馆进行管理运营职能的情况下，业主单位有权解除合同</w:t>
            </w:r>
            <w:r>
              <w:rPr>
                <w:rFonts w:ascii="仿宋_GB2312" w:hAnsi="仿宋_GB2312" w:cs="仿宋_GB2312" w:eastAsia="仿宋_GB2312"/>
                <w:sz w:val="24"/>
                <w:color w:val="0000FF"/>
              </w:rPr>
              <w:t>，</w:t>
            </w:r>
            <w:r>
              <w:rPr>
                <w:rFonts w:ascii="仿宋_GB2312" w:hAnsi="仿宋_GB2312" w:cs="仿宋_GB2312" w:eastAsia="仿宋_GB2312"/>
                <w:sz w:val="24"/>
                <w:color w:val="0000FF"/>
              </w:rPr>
              <w:t>中标单位应当无条件配合。</w:t>
            </w:r>
          </w:p>
          <w:p>
            <w:pPr>
              <w:pStyle w:val="null5"/>
              <w:ind w:firstLine="480"/>
              <w:jc w:val="both"/>
            </w:pPr>
            <w:r>
              <w:rPr>
                <w:rFonts w:ascii="仿宋_GB2312" w:hAnsi="仿宋_GB2312" w:cs="仿宋_GB2312" w:eastAsia="仿宋_GB2312"/>
                <w:sz w:val="24"/>
                <w:color w:val="0000FF"/>
              </w:rPr>
              <w:t>二、运营管理服务内容及要求</w:t>
            </w:r>
          </w:p>
          <w:p>
            <w:pPr>
              <w:pStyle w:val="null5"/>
              <w:ind w:firstLine="480"/>
              <w:jc w:val="both"/>
            </w:pPr>
            <w:r>
              <w:rPr>
                <w:rFonts w:ascii="仿宋_GB2312" w:hAnsi="仿宋_GB2312" w:cs="仿宋_GB2312" w:eastAsia="仿宋_GB2312"/>
                <w:sz w:val="24"/>
                <w:color w:val="0000FF"/>
              </w:rPr>
              <w:t>（一）项目概况：</w:t>
            </w:r>
          </w:p>
          <w:p>
            <w:pPr>
              <w:pStyle w:val="null5"/>
              <w:ind w:firstLine="480"/>
              <w:jc w:val="both"/>
            </w:pPr>
            <w:r>
              <w:rPr>
                <w:rFonts w:ascii="仿宋_GB2312" w:hAnsi="仿宋_GB2312" w:cs="仿宋_GB2312" w:eastAsia="仿宋_GB2312"/>
                <w:sz w:val="24"/>
                <w:color w:val="0000FF"/>
              </w:rPr>
              <w:t>鄂尔多斯康巴什自然博物馆位于鄂尔多斯市康巴什区康伊大街（康镇西侧约</w:t>
            </w:r>
            <w:r>
              <w:rPr>
                <w:rFonts w:ascii="仿宋_GB2312" w:hAnsi="仿宋_GB2312" w:cs="仿宋_GB2312" w:eastAsia="仿宋_GB2312"/>
                <w:sz w:val="24"/>
                <w:color w:val="0000FF"/>
              </w:rPr>
              <w:t>1公里）。项目所在场馆建筑规划总占地面积31416平方米，建筑面积20117.08平方米，总建筑高度25米。本次运营管理总面积约15000平方米，位于场馆地下一、二层，地上一层及场馆外围。</w:t>
            </w:r>
          </w:p>
          <w:p>
            <w:pPr>
              <w:pStyle w:val="null5"/>
              <w:ind w:firstLine="480"/>
              <w:jc w:val="both"/>
            </w:pPr>
            <w:r>
              <w:rPr>
                <w:rFonts w:ascii="仿宋_GB2312" w:hAnsi="仿宋_GB2312" w:cs="仿宋_GB2312" w:eastAsia="仿宋_GB2312"/>
                <w:sz w:val="24"/>
                <w:color w:val="0000FF"/>
              </w:rPr>
              <w:t>（二）项目设施设备分布情况：</w:t>
            </w:r>
          </w:p>
          <w:p>
            <w:pPr>
              <w:pStyle w:val="null5"/>
              <w:ind w:firstLine="480"/>
              <w:jc w:val="both"/>
            </w:pPr>
            <w:r>
              <w:rPr>
                <w:rFonts w:ascii="仿宋_GB2312" w:hAnsi="仿宋_GB2312" w:cs="仿宋_GB2312" w:eastAsia="仿宋_GB2312"/>
                <w:sz w:val="24"/>
                <w:color w:val="0000FF"/>
              </w:rPr>
              <w:t>供电工程：高压柜</w:t>
            </w:r>
            <w:r>
              <w:rPr>
                <w:rFonts w:ascii="仿宋_GB2312" w:hAnsi="仿宋_GB2312" w:cs="仿宋_GB2312" w:eastAsia="仿宋_GB2312"/>
                <w:sz w:val="24"/>
                <w:color w:val="0000FF"/>
              </w:rPr>
              <w:t>2台、变压器2台、低压配电柜9台。</w:t>
            </w:r>
          </w:p>
          <w:p>
            <w:pPr>
              <w:pStyle w:val="null5"/>
              <w:ind w:firstLine="480"/>
              <w:jc w:val="both"/>
            </w:pPr>
            <w:r>
              <w:rPr>
                <w:rFonts w:ascii="仿宋_GB2312" w:hAnsi="仿宋_GB2312" w:cs="仿宋_GB2312" w:eastAsia="仿宋_GB2312"/>
                <w:sz w:val="24"/>
                <w:color w:val="0000FF"/>
              </w:rPr>
              <w:t>给排水工程、消防工程、暖通工程、空调系统。</w:t>
            </w:r>
          </w:p>
          <w:p>
            <w:pPr>
              <w:pStyle w:val="null5"/>
              <w:ind w:firstLine="480"/>
              <w:jc w:val="both"/>
            </w:pPr>
            <w:r>
              <w:rPr>
                <w:rFonts w:ascii="仿宋_GB2312" w:hAnsi="仿宋_GB2312" w:cs="仿宋_GB2312" w:eastAsia="仿宋_GB2312"/>
                <w:sz w:val="24"/>
                <w:color w:val="0000FF"/>
              </w:rPr>
              <w:t>电梯：共</w:t>
            </w:r>
            <w:r>
              <w:rPr>
                <w:rFonts w:ascii="仿宋_GB2312" w:hAnsi="仿宋_GB2312" w:cs="仿宋_GB2312" w:eastAsia="仿宋_GB2312"/>
                <w:sz w:val="24"/>
                <w:color w:val="0000FF"/>
              </w:rPr>
              <w:t>9部电梯其中：展区设5部、客梯2部，1部消防（货梯），1部残疾人电梯。</w:t>
            </w:r>
          </w:p>
          <w:p>
            <w:pPr>
              <w:pStyle w:val="null5"/>
              <w:ind w:firstLine="480"/>
              <w:jc w:val="both"/>
            </w:pPr>
            <w:r>
              <w:rPr>
                <w:rFonts w:ascii="仿宋_GB2312" w:hAnsi="仿宋_GB2312" w:cs="仿宋_GB2312" w:eastAsia="仿宋_GB2312"/>
                <w:sz w:val="24"/>
                <w:color w:val="0000FF"/>
              </w:rPr>
              <w:t>全息成像系统、体感交互系统、音响系统（含功放、数字音频处理器）、全景伺服轨道镜、中控软件系统、网络系统、</w:t>
            </w:r>
            <w:r>
              <w:rPr>
                <w:rFonts w:ascii="仿宋_GB2312" w:hAnsi="仿宋_GB2312" w:cs="仿宋_GB2312" w:eastAsia="仿宋_GB2312"/>
                <w:sz w:val="24"/>
                <w:color w:val="0000FF"/>
              </w:rPr>
              <w:t>LED传感系统、激光传输系统等。</w:t>
            </w:r>
          </w:p>
          <w:p>
            <w:pPr>
              <w:pStyle w:val="null5"/>
              <w:ind w:firstLine="480"/>
              <w:jc w:val="both"/>
            </w:pPr>
            <w:r>
              <w:rPr>
                <w:rFonts w:ascii="仿宋_GB2312" w:hAnsi="仿宋_GB2312" w:cs="仿宋_GB2312" w:eastAsia="仿宋_GB2312"/>
                <w:sz w:val="24"/>
                <w:color w:val="0000FF"/>
              </w:rPr>
              <w:t>（三）项目服务内容：</w:t>
            </w:r>
          </w:p>
          <w:p>
            <w:pPr>
              <w:pStyle w:val="null5"/>
              <w:jc w:val="both"/>
            </w:pPr>
            <w:r>
              <w:rPr>
                <w:rFonts w:ascii="仿宋_GB2312" w:hAnsi="仿宋_GB2312" w:cs="仿宋_GB2312" w:eastAsia="仿宋_GB2312"/>
                <w:sz w:val="24"/>
                <w:color w:val="0000FF"/>
              </w:rPr>
              <w:t>1.设施设备维修维护巡检管理服务。</w:t>
            </w:r>
          </w:p>
          <w:p>
            <w:pPr>
              <w:pStyle w:val="null5"/>
              <w:jc w:val="both"/>
            </w:pPr>
            <w:r>
              <w:rPr>
                <w:rFonts w:ascii="仿宋_GB2312" w:hAnsi="仿宋_GB2312" w:cs="仿宋_GB2312" w:eastAsia="仿宋_GB2312"/>
                <w:sz w:val="24"/>
                <w:color w:val="0000FF"/>
              </w:rPr>
              <w:t>2.</w:t>
            </w:r>
            <w:r>
              <w:rPr>
                <w:rFonts w:ascii="仿宋_GB2312" w:hAnsi="仿宋_GB2312" w:cs="仿宋_GB2312" w:eastAsia="仿宋_GB2312"/>
                <w:sz w:val="24"/>
                <w:color w:val="0000FF"/>
              </w:rPr>
              <w:t>环境卫生管理服务；</w:t>
            </w:r>
          </w:p>
          <w:p>
            <w:pPr>
              <w:pStyle w:val="null5"/>
              <w:jc w:val="both"/>
            </w:pPr>
            <w:r>
              <w:rPr>
                <w:rFonts w:ascii="仿宋_GB2312" w:hAnsi="仿宋_GB2312" w:cs="仿宋_GB2312" w:eastAsia="仿宋_GB2312"/>
                <w:sz w:val="24"/>
                <w:color w:val="0000FF"/>
              </w:rPr>
              <w:t>3.安保秩序维护管理服务；</w:t>
            </w:r>
          </w:p>
          <w:p>
            <w:pPr>
              <w:pStyle w:val="null5"/>
              <w:jc w:val="both"/>
            </w:pPr>
            <w:r>
              <w:rPr>
                <w:rFonts w:ascii="仿宋_GB2312" w:hAnsi="仿宋_GB2312" w:cs="仿宋_GB2312" w:eastAsia="仿宋_GB2312"/>
                <w:sz w:val="24"/>
                <w:color w:val="0000FF"/>
              </w:rPr>
              <w:t>4.服务物资保障；</w:t>
            </w:r>
          </w:p>
          <w:p>
            <w:pPr>
              <w:pStyle w:val="null5"/>
              <w:jc w:val="both"/>
            </w:pPr>
            <w:r>
              <w:rPr>
                <w:rFonts w:ascii="仿宋_GB2312" w:hAnsi="仿宋_GB2312" w:cs="仿宋_GB2312" w:eastAsia="仿宋_GB2312"/>
                <w:sz w:val="24"/>
                <w:color w:val="0000FF"/>
              </w:rPr>
              <w:t>5.软件及网络系统升级更新维护服务；</w:t>
            </w:r>
          </w:p>
          <w:p>
            <w:pPr>
              <w:pStyle w:val="null5"/>
              <w:jc w:val="both"/>
            </w:pPr>
            <w:r>
              <w:rPr>
                <w:rFonts w:ascii="仿宋_GB2312" w:hAnsi="仿宋_GB2312" w:cs="仿宋_GB2312" w:eastAsia="仿宋_GB2312"/>
                <w:sz w:val="24"/>
                <w:color w:val="0000FF"/>
              </w:rPr>
              <w:t>6.信息安全管理服务；</w:t>
            </w:r>
          </w:p>
          <w:p>
            <w:pPr>
              <w:pStyle w:val="null5"/>
              <w:jc w:val="both"/>
            </w:pPr>
            <w:r>
              <w:rPr>
                <w:rFonts w:ascii="仿宋_GB2312" w:hAnsi="仿宋_GB2312" w:cs="仿宋_GB2312" w:eastAsia="仿宋_GB2312"/>
                <w:sz w:val="24"/>
                <w:color w:val="0000FF"/>
              </w:rPr>
              <w:t>7.数字化场馆建设；</w:t>
            </w:r>
          </w:p>
          <w:p>
            <w:pPr>
              <w:pStyle w:val="null5"/>
              <w:jc w:val="both"/>
            </w:pPr>
            <w:r>
              <w:rPr>
                <w:rFonts w:ascii="仿宋_GB2312" w:hAnsi="仿宋_GB2312" w:cs="仿宋_GB2312" w:eastAsia="仿宋_GB2312"/>
                <w:sz w:val="24"/>
                <w:color w:val="0000FF"/>
              </w:rPr>
              <w:t>8.会议服务；</w:t>
            </w:r>
          </w:p>
          <w:p>
            <w:pPr>
              <w:pStyle w:val="null5"/>
              <w:jc w:val="both"/>
            </w:pPr>
            <w:r>
              <w:rPr>
                <w:rFonts w:ascii="仿宋_GB2312" w:hAnsi="仿宋_GB2312" w:cs="仿宋_GB2312" w:eastAsia="仿宋_GB2312"/>
                <w:sz w:val="24"/>
                <w:color w:val="0000FF"/>
              </w:rPr>
              <w:t>9.接待讲解服务；</w:t>
            </w:r>
          </w:p>
          <w:p>
            <w:pPr>
              <w:pStyle w:val="null5"/>
              <w:jc w:val="both"/>
            </w:pPr>
            <w:r>
              <w:rPr>
                <w:rFonts w:ascii="仿宋_GB2312" w:hAnsi="仿宋_GB2312" w:cs="仿宋_GB2312" w:eastAsia="仿宋_GB2312"/>
                <w:sz w:val="24"/>
                <w:color w:val="0000FF"/>
              </w:rPr>
              <w:t>10.自然科普类课题研究；</w:t>
            </w:r>
          </w:p>
          <w:p>
            <w:pPr>
              <w:pStyle w:val="null5"/>
              <w:jc w:val="both"/>
            </w:pPr>
            <w:r>
              <w:rPr>
                <w:rFonts w:ascii="仿宋_GB2312" w:hAnsi="仿宋_GB2312" w:cs="仿宋_GB2312" w:eastAsia="仿宋_GB2312"/>
                <w:sz w:val="24"/>
                <w:color w:val="0000FF"/>
              </w:rPr>
              <w:t>11.临展策划落地执行；</w:t>
            </w:r>
          </w:p>
          <w:p>
            <w:pPr>
              <w:pStyle w:val="null5"/>
              <w:jc w:val="both"/>
            </w:pPr>
            <w:r>
              <w:rPr>
                <w:rFonts w:ascii="仿宋_GB2312" w:hAnsi="仿宋_GB2312" w:cs="仿宋_GB2312" w:eastAsia="仿宋_GB2312"/>
                <w:sz w:val="24"/>
                <w:color w:val="0000FF"/>
              </w:rPr>
              <w:t>12比赛及活动组织；</w:t>
            </w:r>
          </w:p>
          <w:p>
            <w:pPr>
              <w:pStyle w:val="null5"/>
              <w:jc w:val="both"/>
            </w:pPr>
            <w:r>
              <w:rPr>
                <w:rFonts w:ascii="仿宋_GB2312" w:hAnsi="仿宋_GB2312" w:cs="仿宋_GB2312" w:eastAsia="仿宋_GB2312"/>
                <w:sz w:val="24"/>
                <w:color w:val="0000FF"/>
              </w:rPr>
              <w:t>13.</w:t>
            </w:r>
            <w:r>
              <w:rPr>
                <w:rFonts w:ascii="仿宋_GB2312" w:hAnsi="仿宋_GB2312" w:cs="仿宋_GB2312" w:eastAsia="仿宋_GB2312"/>
                <w:sz w:val="24"/>
                <w:color w:val="0000FF"/>
              </w:rPr>
              <w:t>宣传推广；</w:t>
            </w:r>
          </w:p>
          <w:p>
            <w:pPr>
              <w:pStyle w:val="null5"/>
              <w:jc w:val="both"/>
            </w:pPr>
            <w:r>
              <w:rPr>
                <w:rFonts w:ascii="仿宋_GB2312" w:hAnsi="仿宋_GB2312" w:cs="仿宋_GB2312" w:eastAsia="仿宋_GB2312"/>
                <w:sz w:val="24"/>
                <w:color w:val="0000FF"/>
              </w:rPr>
              <w:t>1</w:t>
            </w:r>
            <w:r>
              <w:rPr>
                <w:rFonts w:ascii="仿宋_GB2312" w:hAnsi="仿宋_GB2312" w:cs="仿宋_GB2312" w:eastAsia="仿宋_GB2312"/>
                <w:sz w:val="24"/>
                <w:color w:val="0000FF"/>
              </w:rPr>
              <w:t>4</w:t>
            </w:r>
            <w:r>
              <w:rPr>
                <w:rFonts w:ascii="仿宋_GB2312" w:hAnsi="仿宋_GB2312" w:cs="仿宋_GB2312" w:eastAsia="仿宋_GB2312"/>
                <w:sz w:val="24"/>
                <w:color w:val="0000FF"/>
              </w:rPr>
              <w:t>.</w:t>
            </w:r>
            <w:r>
              <w:rPr>
                <w:rFonts w:ascii="仿宋_GB2312" w:hAnsi="仿宋_GB2312" w:cs="仿宋_GB2312" w:eastAsia="仿宋_GB2312"/>
                <w:sz w:val="24"/>
                <w:color w:val="0000FF"/>
              </w:rPr>
              <w:t>馆际交流；</w:t>
            </w:r>
          </w:p>
          <w:p>
            <w:pPr>
              <w:pStyle w:val="null5"/>
              <w:jc w:val="both"/>
            </w:pPr>
            <w:r>
              <w:rPr>
                <w:rFonts w:ascii="仿宋_GB2312" w:hAnsi="仿宋_GB2312" w:cs="仿宋_GB2312" w:eastAsia="仿宋_GB2312"/>
                <w:sz w:val="24"/>
                <w:color w:val="0000FF"/>
              </w:rPr>
              <w:t>1</w:t>
            </w:r>
            <w:r>
              <w:rPr>
                <w:rFonts w:ascii="仿宋_GB2312" w:hAnsi="仿宋_GB2312" w:cs="仿宋_GB2312" w:eastAsia="仿宋_GB2312"/>
                <w:sz w:val="24"/>
                <w:color w:val="0000FF"/>
              </w:rPr>
              <w:t>5</w:t>
            </w:r>
            <w:r>
              <w:rPr>
                <w:rFonts w:ascii="仿宋_GB2312" w:hAnsi="仿宋_GB2312" w:cs="仿宋_GB2312" w:eastAsia="仿宋_GB2312"/>
                <w:sz w:val="24"/>
                <w:color w:val="0000FF"/>
              </w:rPr>
              <w:t>.</w:t>
            </w:r>
            <w:r>
              <w:rPr>
                <w:rFonts w:ascii="仿宋_GB2312" w:hAnsi="仿宋_GB2312" w:cs="仿宋_GB2312" w:eastAsia="仿宋_GB2312"/>
                <w:sz w:val="24"/>
                <w:color w:val="0000FF"/>
              </w:rPr>
              <w:t>文创产品开发；</w:t>
            </w:r>
          </w:p>
          <w:p>
            <w:pPr>
              <w:pStyle w:val="null5"/>
              <w:jc w:val="both"/>
            </w:pPr>
            <w:r>
              <w:rPr>
                <w:rFonts w:ascii="仿宋_GB2312" w:hAnsi="仿宋_GB2312" w:cs="仿宋_GB2312" w:eastAsia="仿宋_GB2312"/>
                <w:sz w:val="24"/>
                <w:color w:val="0000FF"/>
              </w:rPr>
              <w:t>1</w:t>
            </w:r>
            <w:r>
              <w:rPr>
                <w:rFonts w:ascii="仿宋_GB2312" w:hAnsi="仿宋_GB2312" w:cs="仿宋_GB2312" w:eastAsia="仿宋_GB2312"/>
                <w:sz w:val="24"/>
                <w:color w:val="0000FF"/>
              </w:rPr>
              <w:t>6</w:t>
            </w:r>
            <w:r>
              <w:rPr>
                <w:rFonts w:ascii="仿宋_GB2312" w:hAnsi="仿宋_GB2312" w:cs="仿宋_GB2312" w:eastAsia="仿宋_GB2312"/>
                <w:sz w:val="24"/>
                <w:color w:val="0000FF"/>
              </w:rPr>
              <w:t>.</w:t>
            </w:r>
            <w:r>
              <w:rPr>
                <w:rFonts w:ascii="仿宋_GB2312" w:hAnsi="仿宋_GB2312" w:cs="仿宋_GB2312" w:eastAsia="仿宋_GB2312"/>
                <w:sz w:val="24"/>
                <w:color w:val="0000FF"/>
              </w:rPr>
              <w:t>标本消杀管理；</w:t>
            </w:r>
          </w:p>
          <w:p>
            <w:pPr>
              <w:pStyle w:val="null5"/>
              <w:jc w:val="both"/>
            </w:pPr>
            <w:r>
              <w:rPr>
                <w:rFonts w:ascii="仿宋_GB2312" w:hAnsi="仿宋_GB2312" w:cs="仿宋_GB2312" w:eastAsia="仿宋_GB2312"/>
                <w:sz w:val="24"/>
                <w:color w:val="0000FF"/>
              </w:rPr>
              <w:t>1</w:t>
            </w:r>
            <w:r>
              <w:rPr>
                <w:rFonts w:ascii="仿宋_GB2312" w:hAnsi="仿宋_GB2312" w:cs="仿宋_GB2312" w:eastAsia="仿宋_GB2312"/>
                <w:sz w:val="24"/>
                <w:color w:val="0000FF"/>
              </w:rPr>
              <w:t>7</w:t>
            </w:r>
            <w:r>
              <w:rPr>
                <w:rFonts w:ascii="仿宋_GB2312" w:hAnsi="仿宋_GB2312" w:cs="仿宋_GB2312" w:eastAsia="仿宋_GB2312"/>
                <w:sz w:val="24"/>
                <w:color w:val="0000FF"/>
              </w:rPr>
              <w:t>.</w:t>
            </w:r>
            <w:r>
              <w:rPr>
                <w:rFonts w:ascii="仿宋_GB2312" w:hAnsi="仿宋_GB2312" w:cs="仿宋_GB2312" w:eastAsia="仿宋_GB2312"/>
                <w:sz w:val="24"/>
                <w:color w:val="0000FF"/>
              </w:rPr>
              <w:t>场馆开放；</w:t>
            </w:r>
          </w:p>
          <w:p>
            <w:pPr>
              <w:pStyle w:val="null5"/>
              <w:jc w:val="both"/>
            </w:pPr>
            <w:r>
              <w:rPr>
                <w:rFonts w:ascii="仿宋_GB2312" w:hAnsi="仿宋_GB2312" w:cs="仿宋_GB2312" w:eastAsia="仿宋_GB2312"/>
                <w:sz w:val="24"/>
                <w:color w:val="0000FF"/>
              </w:rPr>
              <w:t>18</w:t>
            </w:r>
            <w:r>
              <w:rPr>
                <w:rFonts w:ascii="仿宋_GB2312" w:hAnsi="仿宋_GB2312" w:cs="仿宋_GB2312" w:eastAsia="仿宋_GB2312"/>
                <w:sz w:val="24"/>
                <w:color w:val="0000FF"/>
              </w:rPr>
              <w:t>.</w:t>
            </w:r>
            <w:r>
              <w:rPr>
                <w:rFonts w:ascii="仿宋_GB2312" w:hAnsi="仿宋_GB2312" w:cs="仿宋_GB2312" w:eastAsia="仿宋_GB2312"/>
                <w:sz w:val="24"/>
                <w:color w:val="0000FF"/>
              </w:rPr>
              <w:t>研学课程开发；</w:t>
            </w:r>
          </w:p>
          <w:p>
            <w:pPr>
              <w:pStyle w:val="null5"/>
              <w:jc w:val="both"/>
            </w:pPr>
            <w:r>
              <w:rPr>
                <w:rFonts w:ascii="仿宋_GB2312" w:hAnsi="仿宋_GB2312" w:cs="仿宋_GB2312" w:eastAsia="仿宋_GB2312"/>
                <w:sz w:val="24"/>
                <w:color w:val="0000FF"/>
              </w:rPr>
              <w:t>19.应急管理；</w:t>
            </w:r>
          </w:p>
          <w:p>
            <w:pPr>
              <w:pStyle w:val="null5"/>
              <w:jc w:val="both"/>
            </w:pPr>
            <w:r>
              <w:rPr>
                <w:rFonts w:ascii="仿宋_GB2312" w:hAnsi="仿宋_GB2312" w:cs="仿宋_GB2312" w:eastAsia="仿宋_GB2312"/>
                <w:sz w:val="24"/>
                <w:color w:val="0000FF"/>
              </w:rPr>
              <w:t>20.人员管理；</w:t>
            </w:r>
          </w:p>
          <w:p>
            <w:pPr>
              <w:pStyle w:val="null5"/>
              <w:jc w:val="both"/>
            </w:pPr>
            <w:r>
              <w:rPr>
                <w:rFonts w:ascii="仿宋_GB2312" w:hAnsi="仿宋_GB2312" w:cs="仿宋_GB2312" w:eastAsia="仿宋_GB2312"/>
                <w:sz w:val="24"/>
                <w:color w:val="0000FF"/>
              </w:rPr>
              <w:t>21.中标供应商须承担包括但不限于水、电、暖、网络等日常费用。</w:t>
            </w:r>
          </w:p>
          <w:p>
            <w:pPr>
              <w:pStyle w:val="null5"/>
              <w:ind w:firstLine="480"/>
              <w:jc w:val="both"/>
            </w:pPr>
            <w:r>
              <w:rPr>
                <w:rFonts w:ascii="仿宋_GB2312" w:hAnsi="仿宋_GB2312" w:cs="仿宋_GB2312" w:eastAsia="仿宋_GB2312"/>
                <w:sz w:val="24"/>
                <w:color w:val="0000FF"/>
              </w:rPr>
              <w:t>（四）项目服务要求：</w:t>
            </w:r>
            <w:r>
              <w:rPr>
                <w:rFonts w:ascii="仿宋_GB2312" w:hAnsi="仿宋_GB2312" w:cs="仿宋_GB2312" w:eastAsia="仿宋_GB2312"/>
                <w:sz w:val="24"/>
                <w:b/>
                <w:color w:val="0000FF"/>
              </w:rPr>
              <w:t>以下均为实质性条款，均需响应。</w:t>
            </w:r>
          </w:p>
          <w:p>
            <w:pPr>
              <w:pStyle w:val="null5"/>
              <w:ind w:firstLine="480"/>
              <w:jc w:val="both"/>
            </w:pPr>
            <w:r>
              <w:rPr>
                <w:rFonts w:ascii="仿宋_GB2312" w:hAnsi="仿宋_GB2312" w:cs="仿宋_GB2312" w:eastAsia="仿宋_GB2312"/>
                <w:sz w:val="24"/>
                <w:color w:val="0000FF"/>
              </w:rPr>
              <w:t>整体项目服务人员不少于</w:t>
            </w:r>
            <w:r>
              <w:rPr>
                <w:rFonts w:ascii="仿宋_GB2312" w:hAnsi="仿宋_GB2312" w:cs="仿宋_GB2312" w:eastAsia="仿宋_GB2312"/>
                <w:sz w:val="24"/>
                <w:color w:val="0000FF"/>
              </w:rPr>
              <w:t>40人，其中保证35人常年在场馆内提供服务。</w:t>
            </w:r>
          </w:p>
          <w:p>
            <w:pPr>
              <w:pStyle w:val="null5"/>
              <w:ind w:firstLine="480"/>
              <w:jc w:val="both"/>
            </w:pPr>
            <w:r>
              <w:rPr>
                <w:rFonts w:ascii="仿宋_GB2312" w:hAnsi="仿宋_GB2312" w:cs="仿宋_GB2312" w:eastAsia="仿宋_GB2312"/>
                <w:sz w:val="24"/>
                <w:color w:val="0000FF"/>
              </w:rPr>
              <w:t>1.设施设备维修维护巡检管理服务。</w:t>
            </w:r>
          </w:p>
          <w:p>
            <w:pPr>
              <w:pStyle w:val="null5"/>
              <w:ind w:firstLine="480"/>
              <w:jc w:val="both"/>
            </w:pPr>
            <w:r>
              <w:rPr>
                <w:rFonts w:ascii="仿宋_GB2312" w:hAnsi="仿宋_GB2312" w:cs="仿宋_GB2312" w:eastAsia="仿宋_GB2312"/>
                <w:sz w:val="24"/>
                <w:color w:val="0000FF"/>
              </w:rPr>
              <w:t>1.1</w:t>
            </w:r>
            <w:r>
              <w:rPr>
                <w:rFonts w:ascii="仿宋_GB2312" w:hAnsi="仿宋_GB2312" w:cs="仿宋_GB2312" w:eastAsia="仿宋_GB2312"/>
                <w:sz w:val="24"/>
                <w:color w:val="0000FF"/>
              </w:rPr>
              <w:t>负责</w:t>
            </w:r>
            <w:r>
              <w:rPr>
                <w:rFonts w:ascii="仿宋_GB2312" w:hAnsi="仿宋_GB2312" w:cs="仿宋_GB2312" w:eastAsia="仿宋_GB2312"/>
                <w:sz w:val="24"/>
                <w:color w:val="0000FF"/>
              </w:rPr>
              <w:t>康巴什自然博物馆</w:t>
            </w:r>
            <w:r>
              <w:rPr>
                <w:rFonts w:ascii="仿宋_GB2312" w:hAnsi="仿宋_GB2312" w:cs="仿宋_GB2312" w:eastAsia="仿宋_GB2312"/>
                <w:sz w:val="24"/>
                <w:color w:val="0000FF"/>
              </w:rPr>
              <w:t>内所有</w:t>
            </w:r>
            <w:r>
              <w:rPr>
                <w:rFonts w:ascii="仿宋_GB2312" w:hAnsi="仿宋_GB2312" w:cs="仿宋_GB2312" w:eastAsia="仿宋_GB2312"/>
                <w:sz w:val="24"/>
                <w:color w:val="0000FF"/>
              </w:rPr>
              <w:t>设施设备的巡检维修维护。包括但不限于高压柜、变压器、低压配电柜、给排水工程、消防工程、暖通工程、空调系统、电梯、全息成像系统、体感交互系统、音响系统（含功放、数字音频处理器）、全景伺服轨道镜、中控软件系统、网络系统、</w:t>
            </w:r>
            <w:r>
              <w:rPr>
                <w:rFonts w:ascii="仿宋_GB2312" w:hAnsi="仿宋_GB2312" w:cs="仿宋_GB2312" w:eastAsia="仿宋_GB2312"/>
                <w:sz w:val="24"/>
                <w:color w:val="0000FF"/>
              </w:rPr>
              <w:t>LED传感系统、激光传输系统、</w:t>
            </w:r>
            <w:r>
              <w:rPr>
                <w:rFonts w:ascii="仿宋_GB2312" w:hAnsi="仿宋_GB2312" w:cs="仿宋_GB2312" w:eastAsia="仿宋_GB2312"/>
                <w:sz w:val="24"/>
                <w:color w:val="0000FF"/>
              </w:rPr>
              <w:t>电气照明系统</w:t>
            </w:r>
            <w:r>
              <w:rPr>
                <w:rFonts w:ascii="仿宋_GB2312" w:hAnsi="仿宋_GB2312" w:cs="仿宋_GB2312" w:eastAsia="仿宋_GB2312"/>
                <w:sz w:val="24"/>
                <w:color w:val="0000FF"/>
              </w:rPr>
              <w:t>等</w:t>
            </w:r>
            <w:r>
              <w:rPr>
                <w:rFonts w:ascii="仿宋_GB2312" w:hAnsi="仿宋_GB2312" w:cs="仿宋_GB2312" w:eastAsia="仿宋_GB2312"/>
                <w:sz w:val="24"/>
                <w:color w:val="0000FF"/>
              </w:rPr>
              <w:t>（需配备专业人员进行维修维护）</w:t>
            </w:r>
            <w:r>
              <w:rPr>
                <w:rFonts w:ascii="仿宋_GB2312" w:hAnsi="仿宋_GB2312" w:cs="仿宋_GB2312" w:eastAsia="仿宋_GB2312"/>
                <w:sz w:val="24"/>
                <w:color w:val="0000FF"/>
              </w:rPr>
              <w:t>。</w:t>
            </w:r>
          </w:p>
          <w:p>
            <w:pPr>
              <w:pStyle w:val="null5"/>
              <w:ind w:firstLine="480"/>
              <w:jc w:val="both"/>
            </w:pPr>
            <w:r>
              <w:rPr>
                <w:rFonts w:ascii="仿宋_GB2312" w:hAnsi="仿宋_GB2312" w:cs="仿宋_GB2312" w:eastAsia="仿宋_GB2312"/>
                <w:sz w:val="24"/>
                <w:color w:val="0000FF"/>
              </w:rPr>
              <w:t>1.2保障</w:t>
            </w:r>
            <w:r>
              <w:rPr>
                <w:rFonts w:ascii="仿宋_GB2312" w:hAnsi="仿宋_GB2312" w:cs="仿宋_GB2312" w:eastAsia="仿宋_GB2312"/>
                <w:sz w:val="24"/>
                <w:color w:val="0000FF"/>
              </w:rPr>
              <w:t>办公</w:t>
            </w:r>
            <w:r>
              <w:rPr>
                <w:rFonts w:ascii="仿宋_GB2312" w:hAnsi="仿宋_GB2312" w:cs="仿宋_GB2312" w:eastAsia="仿宋_GB2312"/>
                <w:sz w:val="24"/>
                <w:color w:val="0000FF"/>
              </w:rPr>
              <w:t>及展项</w:t>
            </w:r>
            <w:r>
              <w:rPr>
                <w:rFonts w:ascii="仿宋_GB2312" w:hAnsi="仿宋_GB2312" w:cs="仿宋_GB2312" w:eastAsia="仿宋_GB2312"/>
                <w:sz w:val="24"/>
                <w:color w:val="0000FF"/>
              </w:rPr>
              <w:t>网络的通畅。</w:t>
            </w:r>
          </w:p>
          <w:p>
            <w:pPr>
              <w:pStyle w:val="null5"/>
              <w:ind w:firstLine="480"/>
              <w:jc w:val="both"/>
            </w:pPr>
            <w:r>
              <w:rPr>
                <w:rFonts w:ascii="仿宋_GB2312" w:hAnsi="仿宋_GB2312" w:cs="仿宋_GB2312" w:eastAsia="仿宋_GB2312"/>
                <w:sz w:val="24"/>
                <w:color w:val="0000FF"/>
              </w:rPr>
              <w:t>1.3保障</w:t>
            </w:r>
            <w:r>
              <w:rPr>
                <w:rFonts w:ascii="仿宋_GB2312" w:hAnsi="仿宋_GB2312" w:cs="仿宋_GB2312" w:eastAsia="仿宋_GB2312"/>
                <w:sz w:val="24"/>
                <w:color w:val="0000FF"/>
              </w:rPr>
              <w:t>监控系统信号及存储的检测、排查及定期保养。</w:t>
            </w:r>
          </w:p>
          <w:p>
            <w:pPr>
              <w:pStyle w:val="null5"/>
              <w:ind w:firstLine="480"/>
              <w:jc w:val="both"/>
            </w:pPr>
            <w:r>
              <w:rPr>
                <w:rFonts w:ascii="仿宋_GB2312" w:hAnsi="仿宋_GB2312" w:cs="仿宋_GB2312" w:eastAsia="仿宋_GB2312"/>
                <w:sz w:val="24"/>
                <w:color w:val="0000FF"/>
              </w:rPr>
              <w:t>1.3建立设施设备维修维护巡检管理制度及台账。</w:t>
            </w:r>
          </w:p>
          <w:p>
            <w:pPr>
              <w:pStyle w:val="null5"/>
              <w:ind w:firstLine="480"/>
              <w:jc w:val="both"/>
            </w:pPr>
            <w:r>
              <w:rPr>
                <w:rFonts w:ascii="仿宋_GB2312" w:hAnsi="仿宋_GB2312" w:cs="仿宋_GB2312" w:eastAsia="仿宋_GB2312"/>
                <w:sz w:val="24"/>
                <w:color w:val="0000FF"/>
              </w:rPr>
              <w:t>1.4单项工程新建、维修、维护费用大于</w:t>
            </w:r>
            <w:r>
              <w:rPr>
                <w:rFonts w:ascii="仿宋_GB2312" w:hAnsi="仿宋_GB2312" w:cs="仿宋_GB2312" w:eastAsia="仿宋_GB2312"/>
                <w:sz w:val="24"/>
                <w:color w:val="0000FF"/>
              </w:rPr>
              <w:t>5</w:t>
            </w:r>
            <w:r>
              <w:rPr>
                <w:rFonts w:ascii="仿宋_GB2312" w:hAnsi="仿宋_GB2312" w:cs="仿宋_GB2312" w:eastAsia="仿宋_GB2312"/>
                <w:sz w:val="24"/>
                <w:color w:val="0000FF"/>
              </w:rPr>
              <w:t>万元（包含本数）时，该费用全部由招标人承担。</w:t>
            </w:r>
          </w:p>
          <w:p>
            <w:pPr>
              <w:pStyle w:val="null5"/>
              <w:ind w:firstLine="480"/>
              <w:jc w:val="both"/>
            </w:pPr>
            <w:r>
              <w:rPr>
                <w:rFonts w:ascii="仿宋_GB2312" w:hAnsi="仿宋_GB2312" w:cs="仿宋_GB2312" w:eastAsia="仿宋_GB2312"/>
                <w:sz w:val="24"/>
                <w:color w:val="0000FF"/>
              </w:rPr>
              <w:t>1.5乙方为该项目运营管理需要增加相应设施设备时，应经甲方同意后方可投入，否则甲方不承担该设施设备的任何费用；合同期满，乙方不再继续运营管理的，经甲方同意后乙方投入的设施设备，具备拆除条件的，乙方自行拆除带走；不具备拆除条件的设施设备，经双方共同委托的评估机构进行评估，甲方按照评估价格向乙方支付相应款项；对未经甲方同意投入并留存的设施设备，视为乙方弃物，甲方有权自行处置。</w:t>
            </w:r>
          </w:p>
          <w:p>
            <w:pPr>
              <w:pStyle w:val="null5"/>
              <w:ind w:firstLine="480"/>
              <w:jc w:val="both"/>
            </w:pPr>
            <w:r>
              <w:rPr>
                <w:rFonts w:ascii="仿宋_GB2312" w:hAnsi="仿宋_GB2312" w:cs="仿宋_GB2312" w:eastAsia="仿宋_GB2312"/>
                <w:sz w:val="24"/>
                <w:color w:val="0000FF"/>
              </w:rPr>
              <w:t>2.环境卫生管理服务；</w:t>
            </w:r>
          </w:p>
          <w:p>
            <w:pPr>
              <w:pStyle w:val="null5"/>
              <w:ind w:firstLine="480"/>
              <w:jc w:val="both"/>
            </w:pPr>
            <w:r>
              <w:rPr>
                <w:rFonts w:ascii="仿宋_GB2312" w:hAnsi="仿宋_GB2312" w:cs="仿宋_GB2312" w:eastAsia="仿宋_GB2312"/>
                <w:sz w:val="24"/>
                <w:color w:val="0000FF"/>
              </w:rPr>
              <w:t>2.1提供不少于8人的保洁服务，做到服务区域无脏乱现象和不洁死角。公共部位（卫生间、电梯厅、楼梯、走廊、大厅、外场等）定期清扫擦拭、消杀、无尘土、污迹、烟头、纸屑、垃圾、异味、蚊蝇；展厅、会议室定期清扫擦拭，做到地面、墙壁、门窗及家具用具无尘土、污物，洁净明亮；</w:t>
            </w:r>
          </w:p>
          <w:p>
            <w:pPr>
              <w:pStyle w:val="null5"/>
              <w:ind w:firstLine="480"/>
              <w:jc w:val="both"/>
            </w:pPr>
            <w:r>
              <w:rPr>
                <w:rFonts w:ascii="仿宋_GB2312" w:hAnsi="仿宋_GB2312" w:cs="仿宋_GB2312" w:eastAsia="仿宋_GB2312"/>
                <w:sz w:val="24"/>
                <w:color w:val="0000FF"/>
              </w:rPr>
              <w:t>2.2保持广场、绿化带、花池沿等干净整洁无污迹、烟头、纸屑、垃圾。</w:t>
            </w:r>
          </w:p>
          <w:p>
            <w:pPr>
              <w:pStyle w:val="null5"/>
              <w:ind w:firstLine="480"/>
              <w:jc w:val="both"/>
            </w:pPr>
            <w:r>
              <w:rPr>
                <w:rFonts w:ascii="仿宋_GB2312" w:hAnsi="仿宋_GB2312" w:cs="仿宋_GB2312" w:eastAsia="仿宋_GB2312"/>
                <w:sz w:val="24"/>
                <w:color w:val="0000FF"/>
              </w:rPr>
              <w:t>2.3垃圾的收集及清运。临展布展施工、建筑与专业维护维修保养产生的垃圾收集清运与场地保洁不包括在内。</w:t>
            </w:r>
          </w:p>
          <w:p>
            <w:pPr>
              <w:pStyle w:val="null5"/>
              <w:ind w:firstLine="480"/>
              <w:jc w:val="both"/>
            </w:pPr>
            <w:r>
              <w:rPr>
                <w:rFonts w:ascii="仿宋_GB2312" w:hAnsi="仿宋_GB2312" w:cs="仿宋_GB2312" w:eastAsia="仿宋_GB2312"/>
                <w:sz w:val="24"/>
                <w:color w:val="0000FF"/>
              </w:rPr>
              <w:t>2.4自备清洁用品用具（含耗材）。</w:t>
            </w:r>
          </w:p>
          <w:p>
            <w:pPr>
              <w:pStyle w:val="null5"/>
              <w:ind w:left="465"/>
              <w:jc w:val="both"/>
            </w:pPr>
            <w:r>
              <w:rPr>
                <w:rFonts w:ascii="仿宋_GB2312" w:hAnsi="仿宋_GB2312" w:cs="仿宋_GB2312" w:eastAsia="仿宋_GB2312"/>
                <w:sz w:val="24"/>
                <w:color w:val="0000FF"/>
              </w:rPr>
              <w:t>2.5建立环境卫生管理服务制度及台账。</w:t>
            </w:r>
          </w:p>
          <w:p>
            <w:pPr>
              <w:pStyle w:val="null5"/>
              <w:ind w:left="465"/>
              <w:jc w:val="both"/>
            </w:pPr>
            <w:r>
              <w:rPr>
                <w:rFonts w:ascii="仿宋_GB2312" w:hAnsi="仿宋_GB2312" w:cs="仿宋_GB2312" w:eastAsia="仿宋_GB2312"/>
                <w:sz w:val="24"/>
                <w:color w:val="0000FF"/>
              </w:rPr>
              <w:t>3.安保秩序维护管理服务；</w:t>
            </w:r>
          </w:p>
          <w:p>
            <w:pPr>
              <w:pStyle w:val="null5"/>
              <w:ind w:firstLine="480"/>
              <w:jc w:val="both"/>
            </w:pPr>
            <w:r>
              <w:rPr>
                <w:rFonts w:ascii="仿宋_GB2312" w:hAnsi="仿宋_GB2312" w:cs="仿宋_GB2312" w:eastAsia="仿宋_GB2312"/>
                <w:sz w:val="24"/>
                <w:color w:val="0000FF"/>
              </w:rPr>
              <w:t>3.1提供不少于8人的保安服务，（包含到访人员出入登记、安保巡逻、安防监控管理等服务），其中展馆入口至少2人，展厅巡逻至少4人，监控室2人。并实行巡逻值班服务，统一制服，工作规范。并健全消防组织，完善管理制度，有处置各类火灾的应急预案；定期进行检查、维修、更新。定期组织消防及防暴演练，消防人员设备操作熟练、规范。</w:t>
            </w:r>
          </w:p>
          <w:p>
            <w:pPr>
              <w:pStyle w:val="null5"/>
              <w:ind w:firstLine="480"/>
              <w:jc w:val="both"/>
            </w:pPr>
            <w:r>
              <w:rPr>
                <w:rFonts w:ascii="仿宋_GB2312" w:hAnsi="仿宋_GB2312" w:cs="仿宋_GB2312" w:eastAsia="仿宋_GB2312"/>
                <w:sz w:val="24"/>
                <w:color w:val="0000FF"/>
              </w:rPr>
              <w:t>3.2自备防暴设施设备。</w:t>
            </w:r>
          </w:p>
          <w:p>
            <w:pPr>
              <w:pStyle w:val="null5"/>
              <w:ind w:firstLine="480"/>
              <w:jc w:val="both"/>
            </w:pPr>
            <w:r>
              <w:rPr>
                <w:rFonts w:ascii="仿宋_GB2312" w:hAnsi="仿宋_GB2312" w:cs="仿宋_GB2312" w:eastAsia="仿宋_GB2312"/>
                <w:sz w:val="24"/>
                <w:color w:val="0000FF"/>
              </w:rPr>
              <w:t>4.服务物资保障；</w:t>
            </w:r>
          </w:p>
          <w:p>
            <w:pPr>
              <w:pStyle w:val="null5"/>
              <w:ind w:firstLine="480"/>
              <w:jc w:val="both"/>
            </w:pPr>
            <w:r>
              <w:rPr>
                <w:rFonts w:ascii="仿宋_GB2312" w:hAnsi="仿宋_GB2312" w:cs="仿宋_GB2312" w:eastAsia="仿宋_GB2312"/>
                <w:sz w:val="24"/>
                <w:color w:val="0000FF"/>
              </w:rPr>
              <w:t>4.1制定运营服务年度计划。并进行卫生清洁用品、维修耗材、应急物资、防暴物资、小型消防器材、防暑防寒物资、急救物资、游客服务物资、节日氛围物资备采。</w:t>
            </w:r>
          </w:p>
          <w:p>
            <w:pPr>
              <w:pStyle w:val="null5"/>
              <w:ind w:firstLine="480"/>
              <w:jc w:val="both"/>
            </w:pPr>
            <w:r>
              <w:rPr>
                <w:rFonts w:ascii="仿宋_GB2312" w:hAnsi="仿宋_GB2312" w:cs="仿宋_GB2312" w:eastAsia="仿宋_GB2312"/>
                <w:sz w:val="24"/>
                <w:color w:val="0000FF"/>
              </w:rPr>
              <w:t>4.2供应商需提供洗地机、尘推车、维修移动升降平台、户外扫地车等机械设备服务。</w:t>
            </w:r>
          </w:p>
          <w:p>
            <w:pPr>
              <w:pStyle w:val="null5"/>
              <w:ind w:firstLine="480"/>
              <w:jc w:val="both"/>
            </w:pPr>
            <w:r>
              <w:rPr>
                <w:rFonts w:ascii="仿宋_GB2312" w:hAnsi="仿宋_GB2312" w:cs="仿宋_GB2312" w:eastAsia="仿宋_GB2312"/>
                <w:sz w:val="24"/>
                <w:color w:val="0000FF"/>
              </w:rPr>
              <w:t>4.2供应商需提供办公所需家具、设备、办公用品以及员工工装。</w:t>
            </w:r>
          </w:p>
          <w:p>
            <w:pPr>
              <w:pStyle w:val="null5"/>
              <w:ind w:firstLine="480"/>
              <w:jc w:val="both"/>
            </w:pPr>
            <w:r>
              <w:rPr>
                <w:rFonts w:ascii="仿宋_GB2312" w:hAnsi="仿宋_GB2312" w:cs="仿宋_GB2312" w:eastAsia="仿宋_GB2312"/>
                <w:sz w:val="24"/>
                <w:color w:val="0000FF"/>
              </w:rPr>
              <w:t>4.3供应商需承担场馆内部的所有能源费用（水费、电费、取暖费、宽带网络使用费用、固定电话费用）。</w:t>
            </w:r>
          </w:p>
          <w:p>
            <w:pPr>
              <w:pStyle w:val="null5"/>
              <w:ind w:firstLine="480"/>
              <w:jc w:val="both"/>
            </w:pPr>
            <w:r>
              <w:rPr>
                <w:rFonts w:ascii="仿宋_GB2312" w:hAnsi="仿宋_GB2312" w:cs="仿宋_GB2312" w:eastAsia="仿宋_GB2312"/>
                <w:sz w:val="24"/>
                <w:color w:val="0000FF"/>
              </w:rPr>
              <w:t>4,4供应商需自备拍摄、剪辑、宣发等软件及硬件设备（包括但不限于专业拍摄相机、无人机、稳定器、三脚架、反光板、灯光组、收音设备、专业剪辑软件）。</w:t>
            </w:r>
          </w:p>
          <w:p>
            <w:pPr>
              <w:pStyle w:val="null5"/>
              <w:ind w:firstLine="480"/>
              <w:jc w:val="both"/>
            </w:pPr>
            <w:r>
              <w:rPr>
                <w:rFonts w:ascii="仿宋_GB2312" w:hAnsi="仿宋_GB2312" w:cs="仿宋_GB2312" w:eastAsia="仿宋_GB2312"/>
                <w:sz w:val="24"/>
                <w:color w:val="0000FF"/>
              </w:rPr>
              <w:t>5.软件及网络系统升级更新维护服务；</w:t>
            </w:r>
          </w:p>
          <w:p>
            <w:pPr>
              <w:pStyle w:val="null5"/>
              <w:ind w:firstLine="480"/>
              <w:jc w:val="both"/>
            </w:pPr>
            <w:r>
              <w:rPr>
                <w:rFonts w:ascii="仿宋_GB2312" w:hAnsi="仿宋_GB2312" w:cs="仿宋_GB2312" w:eastAsia="仿宋_GB2312"/>
                <w:sz w:val="24"/>
                <w:color w:val="0000FF"/>
              </w:rPr>
              <w:t>5.1提供系统升级与补丁服务.提供主动式和响应式的补丁软件和固件支持及操作系统软件升级，旨在提高服务器、网络设备和存储设备的稳定性、安全性，并满足对新增软/硬件产品的支持需求。</w:t>
            </w:r>
          </w:p>
          <w:p>
            <w:pPr>
              <w:pStyle w:val="null5"/>
              <w:ind w:firstLine="480"/>
              <w:jc w:val="both"/>
            </w:pPr>
            <w:r>
              <w:rPr>
                <w:rFonts w:ascii="仿宋_GB2312" w:hAnsi="仿宋_GB2312" w:cs="仿宋_GB2312" w:eastAsia="仿宋_GB2312"/>
                <w:sz w:val="24"/>
                <w:color w:val="0000FF"/>
              </w:rPr>
              <w:t>5.2提供软件与网络的迁移与二次安装服务</w:t>
            </w:r>
            <w:r>
              <w:rPr>
                <w:rFonts w:ascii="仿宋_GB2312" w:hAnsi="仿宋_GB2312" w:cs="仿宋_GB2312" w:eastAsia="仿宋_GB2312"/>
                <w:sz w:val="24"/>
                <w:color w:val="0000FF"/>
              </w:rPr>
              <w:t>：</w:t>
            </w:r>
            <w:r>
              <w:rPr>
                <w:rFonts w:ascii="仿宋_GB2312" w:hAnsi="仿宋_GB2312" w:cs="仿宋_GB2312" w:eastAsia="仿宋_GB2312"/>
                <w:sz w:val="24"/>
                <w:color w:val="0000FF"/>
              </w:rPr>
              <w:t>通过更改应用程序安装路径、使用迁移工具、手动迁移安装等方式配合场馆软硬件的迁移更新。</w:t>
            </w:r>
          </w:p>
          <w:p>
            <w:pPr>
              <w:pStyle w:val="null5"/>
              <w:ind w:firstLine="480"/>
              <w:jc w:val="both"/>
            </w:pPr>
            <w:r>
              <w:rPr>
                <w:rFonts w:ascii="仿宋_GB2312" w:hAnsi="仿宋_GB2312" w:cs="仿宋_GB2312" w:eastAsia="仿宋_GB2312"/>
                <w:sz w:val="24"/>
                <w:color w:val="0000FF"/>
              </w:rPr>
              <w:t>6.信息安全管理服务；</w:t>
            </w:r>
          </w:p>
          <w:p>
            <w:pPr>
              <w:pStyle w:val="null5"/>
              <w:ind w:firstLine="480"/>
              <w:jc w:val="both"/>
            </w:pPr>
            <w:r>
              <w:rPr>
                <w:rFonts w:ascii="仿宋_GB2312" w:hAnsi="仿宋_GB2312" w:cs="仿宋_GB2312" w:eastAsia="仿宋_GB2312"/>
                <w:sz w:val="24"/>
                <w:color w:val="0000FF"/>
              </w:rPr>
              <w:t>6.1网络设备检查与维修：定期检查和维修网络设备，包括路由器、交换机和防火墙等，确保设备正常运行并修复可能的故障或损坏。</w:t>
            </w:r>
          </w:p>
          <w:p>
            <w:pPr>
              <w:pStyle w:val="null5"/>
              <w:ind w:firstLine="480"/>
              <w:jc w:val="both"/>
            </w:pPr>
            <w:r>
              <w:rPr>
                <w:rFonts w:ascii="仿宋_GB2312" w:hAnsi="仿宋_GB2312" w:cs="仿宋_GB2312" w:eastAsia="仿宋_GB2312"/>
                <w:sz w:val="24"/>
                <w:color w:val="0000FF"/>
              </w:rPr>
              <w:t>6.2网络安全检测与防护：进行网络安全检测和防护工作，使用先进的安全工具进行漏洞扫描和攻击检测，并采取相应的防护措施。</w:t>
            </w:r>
          </w:p>
          <w:p>
            <w:pPr>
              <w:pStyle w:val="null5"/>
              <w:ind w:firstLine="480"/>
              <w:jc w:val="both"/>
            </w:pPr>
            <w:r>
              <w:rPr>
                <w:rFonts w:ascii="仿宋_GB2312" w:hAnsi="仿宋_GB2312" w:cs="仿宋_GB2312" w:eastAsia="仿宋_GB2312"/>
                <w:sz w:val="24"/>
                <w:color w:val="0000FF"/>
              </w:rPr>
              <w:t>6.3网络性能优化：根据网络流量和使用情况，对网络进行优化和调整，提高网络的性能和稳定性</w:t>
            </w:r>
          </w:p>
          <w:p>
            <w:pPr>
              <w:pStyle w:val="null5"/>
              <w:ind w:firstLine="480"/>
              <w:jc w:val="both"/>
            </w:pPr>
            <w:r>
              <w:rPr>
                <w:rFonts w:ascii="仿宋_GB2312" w:hAnsi="仿宋_GB2312" w:cs="仿宋_GB2312" w:eastAsia="仿宋_GB2312"/>
                <w:sz w:val="24"/>
                <w:color w:val="0000FF"/>
              </w:rPr>
              <w:t>6.4数据备份与恢复：定期对重要数据进行备份和恢复操作，防止数据丢失和损坏。</w:t>
            </w:r>
          </w:p>
          <w:p>
            <w:pPr>
              <w:pStyle w:val="null5"/>
              <w:ind w:firstLine="480"/>
              <w:jc w:val="both"/>
            </w:pPr>
            <w:r>
              <w:rPr>
                <w:rFonts w:ascii="仿宋_GB2312" w:hAnsi="仿宋_GB2312" w:cs="仿宋_GB2312" w:eastAsia="仿宋_GB2312"/>
                <w:sz w:val="24"/>
                <w:color w:val="0000FF"/>
              </w:rPr>
              <w:t>6.5应急响应：及时响应和处理各种突发的网络故障和安全威胁，确保网络的可用性和安全性。</w:t>
            </w:r>
          </w:p>
          <w:p>
            <w:pPr>
              <w:pStyle w:val="null5"/>
              <w:ind w:firstLine="480"/>
              <w:jc w:val="both"/>
            </w:pPr>
            <w:r>
              <w:rPr>
                <w:rFonts w:ascii="仿宋_GB2312" w:hAnsi="仿宋_GB2312" w:cs="仿宋_GB2312" w:eastAsia="仿宋_GB2312"/>
                <w:sz w:val="24"/>
                <w:color w:val="0000FF"/>
              </w:rPr>
              <w:t>6.6信息资产统计服务：帮助用户对现有的信息资产情况进行了解，包括硬件设备型号、数量、版本等信息统计记录，以及软件产品型号、版本和补丁等信息统计记录。</w:t>
            </w:r>
          </w:p>
          <w:p>
            <w:pPr>
              <w:pStyle w:val="null5"/>
              <w:ind w:firstLine="480"/>
              <w:jc w:val="both"/>
            </w:pPr>
            <w:r>
              <w:rPr>
                <w:rFonts w:ascii="仿宋_GB2312" w:hAnsi="仿宋_GB2312" w:cs="仿宋_GB2312" w:eastAsia="仿宋_GB2312"/>
                <w:sz w:val="24"/>
                <w:color w:val="0000FF"/>
              </w:rPr>
              <w:t>6.7主机、存储系统运维服务：包括主机、存储设备的日常监控，设备的运行状态监控，故障处理，操作系统维护，补丁升级等内容。</w:t>
            </w:r>
          </w:p>
          <w:p>
            <w:pPr>
              <w:pStyle w:val="null5"/>
              <w:ind w:firstLine="480"/>
              <w:jc w:val="both"/>
            </w:pPr>
            <w:r>
              <w:rPr>
                <w:rFonts w:ascii="仿宋_GB2312" w:hAnsi="仿宋_GB2312" w:cs="仿宋_GB2312" w:eastAsia="仿宋_GB2312"/>
                <w:sz w:val="24"/>
                <w:color w:val="0000FF"/>
              </w:rPr>
              <w:t>7.</w:t>
            </w:r>
            <w:r>
              <w:rPr>
                <w:rFonts w:ascii="仿宋_GB2312" w:hAnsi="仿宋_GB2312" w:cs="仿宋_GB2312" w:eastAsia="仿宋_GB2312"/>
                <w:sz w:val="24"/>
                <w:color w:val="0000FF"/>
              </w:rPr>
              <w:t>数字化场馆建设；</w:t>
            </w:r>
          </w:p>
          <w:p>
            <w:pPr>
              <w:pStyle w:val="null5"/>
              <w:ind w:firstLine="480"/>
              <w:jc w:val="both"/>
            </w:pPr>
            <w:r>
              <w:rPr>
                <w:rFonts w:ascii="仿宋_GB2312" w:hAnsi="仿宋_GB2312" w:cs="仿宋_GB2312" w:eastAsia="仿宋_GB2312"/>
                <w:sz w:val="24"/>
                <w:color w:val="0000FF"/>
              </w:rPr>
              <w:t>7.1开发上线一款康巴什自然博物馆app，开发上线一款康巴什自然博物馆小程序，开发上线康巴什自然博物馆网站，使得用户可以方便地查询场馆信息、预订场地、查询活动信息和进行活动预约，提供游客个性化服务。</w:t>
            </w:r>
          </w:p>
          <w:p>
            <w:pPr>
              <w:pStyle w:val="null5"/>
              <w:ind w:firstLine="480"/>
              <w:jc w:val="both"/>
            </w:pPr>
            <w:r>
              <w:rPr>
                <w:rFonts w:ascii="仿宋_GB2312" w:hAnsi="仿宋_GB2312" w:cs="仿宋_GB2312" w:eastAsia="仿宋_GB2312"/>
                <w:sz w:val="24"/>
                <w:color w:val="0000FF"/>
              </w:rPr>
              <w:t>7.2开发建设线上康巴什自然博物馆，实现场馆远程全景浏览。</w:t>
            </w:r>
          </w:p>
          <w:p>
            <w:pPr>
              <w:pStyle w:val="null5"/>
              <w:ind w:firstLine="480"/>
              <w:jc w:val="both"/>
            </w:pPr>
            <w:r>
              <w:rPr>
                <w:rFonts w:ascii="仿宋_GB2312" w:hAnsi="仿宋_GB2312" w:cs="仿宋_GB2312" w:eastAsia="仿宋_GB2312"/>
                <w:sz w:val="24"/>
                <w:color w:val="0000FF"/>
              </w:rPr>
              <w:t>8.</w:t>
            </w:r>
            <w:r>
              <w:rPr>
                <w:rFonts w:ascii="仿宋_GB2312" w:hAnsi="仿宋_GB2312" w:cs="仿宋_GB2312" w:eastAsia="仿宋_GB2312"/>
                <w:sz w:val="24"/>
                <w:color w:val="0000FF"/>
              </w:rPr>
              <w:t>会议服务；</w:t>
            </w:r>
          </w:p>
          <w:p>
            <w:pPr>
              <w:pStyle w:val="null5"/>
              <w:ind w:firstLine="480"/>
              <w:jc w:val="both"/>
            </w:pPr>
            <w:r>
              <w:rPr>
                <w:rFonts w:ascii="仿宋_GB2312" w:hAnsi="仿宋_GB2312" w:cs="仿宋_GB2312" w:eastAsia="仿宋_GB2312"/>
                <w:sz w:val="24"/>
                <w:color w:val="0000FF"/>
              </w:rPr>
              <w:t>8.1</w:t>
            </w:r>
            <w:r>
              <w:rPr>
                <w:rFonts w:ascii="仿宋_GB2312" w:hAnsi="仿宋_GB2312" w:cs="仿宋_GB2312" w:eastAsia="仿宋_GB2312"/>
                <w:sz w:val="24"/>
                <w:color w:val="0000FF"/>
              </w:rPr>
              <w:t>进行会议服务工作，积极协助布置</w:t>
            </w:r>
            <w:r>
              <w:rPr>
                <w:rFonts w:ascii="仿宋_GB2312" w:hAnsi="仿宋_GB2312" w:cs="仿宋_GB2312" w:eastAsia="仿宋_GB2312"/>
                <w:sz w:val="24"/>
                <w:color w:val="0000FF"/>
              </w:rPr>
              <w:t>会议场地，</w:t>
            </w:r>
            <w:r>
              <w:rPr>
                <w:rFonts w:ascii="仿宋_GB2312" w:hAnsi="仿宋_GB2312" w:cs="仿宋_GB2312" w:eastAsia="仿宋_GB2312"/>
                <w:sz w:val="24"/>
                <w:color w:val="0000FF"/>
              </w:rPr>
              <w:t>准备会务设施设备及物品</w:t>
            </w:r>
            <w:r>
              <w:rPr>
                <w:rFonts w:ascii="仿宋_GB2312" w:hAnsi="仿宋_GB2312" w:cs="仿宋_GB2312" w:eastAsia="仿宋_GB2312"/>
                <w:sz w:val="24"/>
                <w:color w:val="0000FF"/>
              </w:rPr>
              <w:t>，</w:t>
            </w:r>
            <w:r>
              <w:rPr>
                <w:rFonts w:ascii="仿宋_GB2312" w:hAnsi="仿宋_GB2312" w:cs="仿宋_GB2312" w:eastAsia="仿宋_GB2312"/>
                <w:sz w:val="24"/>
                <w:color w:val="0000FF"/>
              </w:rPr>
              <w:t>会后做好清理工作</w:t>
            </w:r>
            <w:r>
              <w:rPr>
                <w:rFonts w:ascii="仿宋_GB2312" w:hAnsi="仿宋_GB2312" w:cs="仿宋_GB2312" w:eastAsia="仿宋_GB2312"/>
                <w:sz w:val="24"/>
                <w:color w:val="0000FF"/>
              </w:rPr>
              <w:t>，</w:t>
            </w:r>
            <w:r>
              <w:rPr>
                <w:rFonts w:ascii="仿宋_GB2312" w:hAnsi="仿宋_GB2312" w:cs="仿宋_GB2312" w:eastAsia="仿宋_GB2312"/>
                <w:sz w:val="24"/>
                <w:color w:val="0000FF"/>
              </w:rPr>
              <w:t>桌椅摆放有序，保持洁净</w:t>
            </w:r>
            <w:r>
              <w:rPr>
                <w:rFonts w:ascii="仿宋_GB2312" w:hAnsi="仿宋_GB2312" w:cs="仿宋_GB2312" w:eastAsia="仿宋_GB2312"/>
                <w:sz w:val="24"/>
                <w:color w:val="0000FF"/>
              </w:rPr>
              <w:t>。（</w:t>
            </w:r>
            <w:r>
              <w:rPr>
                <w:rFonts w:ascii="仿宋_GB2312" w:hAnsi="仿宋_GB2312" w:cs="仿宋_GB2312" w:eastAsia="仿宋_GB2312"/>
                <w:sz w:val="24"/>
                <w:color w:val="0000FF"/>
              </w:rPr>
              <w:t>招标人举办超过</w:t>
            </w:r>
            <w:r>
              <w:rPr>
                <w:rFonts w:ascii="仿宋_GB2312" w:hAnsi="仿宋_GB2312" w:cs="仿宋_GB2312" w:eastAsia="仿宋_GB2312"/>
                <w:sz w:val="24"/>
                <w:color w:val="0000FF"/>
              </w:rPr>
              <w:t>50人以上大型会议布展会务服务及保洁不包含在内</w:t>
            </w:r>
            <w:r>
              <w:rPr>
                <w:rFonts w:ascii="仿宋_GB2312" w:hAnsi="仿宋_GB2312" w:cs="仿宋_GB2312" w:eastAsia="仿宋_GB2312"/>
                <w:sz w:val="24"/>
                <w:color w:val="0000FF"/>
              </w:rPr>
              <w:t>）</w:t>
            </w:r>
          </w:p>
          <w:p>
            <w:pPr>
              <w:pStyle w:val="null5"/>
              <w:ind w:firstLine="480"/>
              <w:jc w:val="both"/>
            </w:pPr>
            <w:r>
              <w:rPr>
                <w:rFonts w:ascii="仿宋_GB2312" w:hAnsi="仿宋_GB2312" w:cs="仿宋_GB2312" w:eastAsia="仿宋_GB2312"/>
                <w:sz w:val="24"/>
                <w:color w:val="0000FF"/>
              </w:rPr>
              <w:t>9.</w:t>
            </w:r>
            <w:r>
              <w:rPr>
                <w:rFonts w:ascii="仿宋_GB2312" w:hAnsi="仿宋_GB2312" w:cs="仿宋_GB2312" w:eastAsia="仿宋_GB2312"/>
                <w:sz w:val="24"/>
                <w:color w:val="0000FF"/>
              </w:rPr>
              <w:t>接待讲解服务；</w:t>
            </w:r>
          </w:p>
          <w:p>
            <w:pPr>
              <w:pStyle w:val="null5"/>
              <w:ind w:firstLine="480"/>
              <w:jc w:val="both"/>
            </w:pPr>
            <w:r>
              <w:rPr>
                <w:rFonts w:ascii="仿宋_GB2312" w:hAnsi="仿宋_GB2312" w:cs="仿宋_GB2312" w:eastAsia="仿宋_GB2312"/>
                <w:sz w:val="24"/>
                <w:color w:val="0000FF"/>
              </w:rPr>
              <w:t>9.1提供不少于12人的讲解服务，</w:t>
            </w:r>
            <w:r>
              <w:rPr>
                <w:rFonts w:ascii="仿宋_GB2312" w:hAnsi="仿宋_GB2312" w:cs="仿宋_GB2312" w:eastAsia="仿宋_GB2312"/>
                <w:sz w:val="24"/>
                <w:color w:val="0000FF"/>
              </w:rPr>
              <w:t>负责完成</w:t>
            </w:r>
            <w:r>
              <w:rPr>
                <w:rFonts w:ascii="仿宋_GB2312" w:hAnsi="仿宋_GB2312" w:cs="仿宋_GB2312" w:eastAsia="仿宋_GB2312"/>
                <w:sz w:val="24"/>
                <w:color w:val="0000FF"/>
              </w:rPr>
              <w:t>康巴什自然博物馆</w:t>
            </w:r>
            <w:r>
              <w:rPr>
                <w:rFonts w:ascii="仿宋_GB2312" w:hAnsi="仿宋_GB2312" w:cs="仿宋_GB2312" w:eastAsia="仿宋_GB2312"/>
                <w:sz w:val="24"/>
                <w:color w:val="0000FF"/>
              </w:rPr>
              <w:t>的讲解接待、接听预约咨询电话、解答群众咨询问题、维持活动秩序、活动策划、开展宣讲及巡展活动，协助完成</w:t>
            </w:r>
            <w:r>
              <w:rPr>
                <w:rFonts w:ascii="仿宋_GB2312" w:hAnsi="仿宋_GB2312" w:cs="仿宋_GB2312" w:eastAsia="仿宋_GB2312"/>
                <w:sz w:val="24"/>
                <w:color w:val="0000FF"/>
              </w:rPr>
              <w:t>康巴什自然博物馆</w:t>
            </w:r>
            <w:r>
              <w:rPr>
                <w:rFonts w:ascii="仿宋_GB2312" w:hAnsi="仿宋_GB2312" w:cs="仿宋_GB2312" w:eastAsia="仿宋_GB2312"/>
                <w:sz w:val="24"/>
                <w:color w:val="0000FF"/>
              </w:rPr>
              <w:t>管理部门其他相关工作。</w:t>
            </w:r>
          </w:p>
          <w:p>
            <w:pPr>
              <w:pStyle w:val="null5"/>
              <w:ind w:firstLine="480"/>
              <w:jc w:val="both"/>
            </w:pPr>
            <w:r>
              <w:rPr>
                <w:rFonts w:ascii="仿宋_GB2312" w:hAnsi="仿宋_GB2312" w:cs="仿宋_GB2312" w:eastAsia="仿宋_GB2312"/>
                <w:sz w:val="24"/>
                <w:color w:val="0000FF"/>
              </w:rPr>
              <w:t>9.2要求配备至少2名英文讲解，1名蒙语讲解。可为外宾提供讲解引导服务。（需提供人员资料及毕业证书）</w:t>
            </w:r>
          </w:p>
          <w:p>
            <w:pPr>
              <w:pStyle w:val="null5"/>
              <w:ind w:firstLine="480"/>
              <w:jc w:val="both"/>
            </w:pPr>
            <w:r>
              <w:rPr>
                <w:rFonts w:ascii="仿宋_GB2312" w:hAnsi="仿宋_GB2312" w:cs="仿宋_GB2312" w:eastAsia="仿宋_GB2312"/>
                <w:sz w:val="24"/>
                <w:color w:val="0000FF"/>
              </w:rPr>
              <w:t>10.自然科普类课题研究；</w:t>
            </w:r>
          </w:p>
          <w:p>
            <w:pPr>
              <w:pStyle w:val="null5"/>
              <w:ind w:firstLine="480"/>
              <w:jc w:val="both"/>
            </w:pPr>
            <w:r>
              <w:rPr>
                <w:rFonts w:ascii="仿宋_GB2312" w:hAnsi="仿宋_GB2312" w:cs="仿宋_GB2312" w:eastAsia="仿宋_GB2312"/>
                <w:sz w:val="24"/>
                <w:color w:val="0000FF"/>
              </w:rPr>
              <w:t>10.1每年需发布不少于15篇</w:t>
            </w:r>
            <w:r>
              <w:rPr>
                <w:rFonts w:ascii="仿宋_GB2312" w:hAnsi="仿宋_GB2312" w:cs="仿宋_GB2312" w:eastAsia="仿宋_GB2312"/>
                <w:sz w:val="24"/>
                <w:color w:val="0000FF"/>
              </w:rPr>
              <w:t>自然博物馆相关科研课题</w:t>
            </w:r>
            <w:r>
              <w:rPr>
                <w:rFonts w:ascii="仿宋_GB2312" w:hAnsi="仿宋_GB2312" w:cs="仿宋_GB2312" w:eastAsia="仿宋_GB2312"/>
                <w:sz w:val="24"/>
                <w:color w:val="0000FF"/>
              </w:rPr>
              <w:t>研究文献。</w:t>
            </w:r>
            <w:r>
              <w:rPr>
                <w:rFonts w:ascii="仿宋_GB2312" w:hAnsi="仿宋_GB2312" w:cs="仿宋_GB2312" w:eastAsia="仿宋_GB2312"/>
                <w:sz w:val="24"/>
                <w:color w:val="0000FF"/>
              </w:rPr>
              <w:t>整合高校、科研院所等单位的研究力量</w:t>
            </w:r>
            <w:r>
              <w:rPr>
                <w:rFonts w:ascii="仿宋_GB2312" w:hAnsi="仿宋_GB2312" w:cs="仿宋_GB2312" w:eastAsia="仿宋_GB2312"/>
                <w:sz w:val="24"/>
                <w:color w:val="0000FF"/>
              </w:rPr>
              <w:t>共同研究</w:t>
            </w:r>
            <w:r>
              <w:rPr>
                <w:rFonts w:ascii="仿宋_GB2312" w:hAnsi="仿宋_GB2312" w:cs="仿宋_GB2312" w:eastAsia="仿宋_GB2312"/>
                <w:sz w:val="24"/>
                <w:color w:val="0000FF"/>
              </w:rPr>
              <w:t>。</w:t>
            </w:r>
          </w:p>
          <w:p>
            <w:pPr>
              <w:pStyle w:val="null5"/>
              <w:ind w:firstLine="480"/>
              <w:jc w:val="both"/>
            </w:pPr>
            <w:r>
              <w:rPr>
                <w:rFonts w:ascii="仿宋_GB2312" w:hAnsi="仿宋_GB2312" w:cs="仿宋_GB2312" w:eastAsia="仿宋_GB2312"/>
                <w:sz w:val="24"/>
                <w:color w:val="0000FF"/>
              </w:rPr>
              <w:t>11.临展策划落地执行；</w:t>
            </w:r>
          </w:p>
          <w:p>
            <w:pPr>
              <w:pStyle w:val="null5"/>
              <w:ind w:firstLine="480"/>
              <w:jc w:val="both"/>
            </w:pPr>
            <w:r>
              <w:rPr>
                <w:rFonts w:ascii="仿宋_GB2312" w:hAnsi="仿宋_GB2312" w:cs="仿宋_GB2312" w:eastAsia="仿宋_GB2312"/>
                <w:sz w:val="24"/>
                <w:color w:val="0000FF"/>
              </w:rPr>
              <w:t>11.1</w:t>
            </w:r>
            <w:r>
              <w:rPr>
                <w:rFonts w:ascii="仿宋_GB2312" w:hAnsi="仿宋_GB2312" w:cs="仿宋_GB2312" w:eastAsia="仿宋_GB2312"/>
                <w:sz w:val="24"/>
                <w:color w:val="0000FF"/>
              </w:rPr>
              <w:t>每年</w:t>
            </w:r>
            <w:r>
              <w:rPr>
                <w:rFonts w:ascii="仿宋_GB2312" w:hAnsi="仿宋_GB2312" w:cs="仿宋_GB2312" w:eastAsia="仿宋_GB2312"/>
                <w:sz w:val="24"/>
                <w:color w:val="0000FF"/>
              </w:rPr>
              <w:t>举办不少于</w:t>
            </w:r>
            <w:r>
              <w:rPr>
                <w:rFonts w:ascii="仿宋_GB2312" w:hAnsi="仿宋_GB2312" w:cs="仿宋_GB2312" w:eastAsia="仿宋_GB2312"/>
                <w:sz w:val="24"/>
                <w:color w:val="0000FF"/>
              </w:rPr>
              <w:t>2次线下临</w:t>
            </w:r>
            <w:r>
              <w:rPr>
                <w:rFonts w:ascii="仿宋_GB2312" w:hAnsi="仿宋_GB2312" w:cs="仿宋_GB2312" w:eastAsia="仿宋_GB2312"/>
                <w:sz w:val="24"/>
                <w:color w:val="0000FF"/>
              </w:rPr>
              <w:t>展</w:t>
            </w:r>
            <w:r>
              <w:rPr>
                <w:rFonts w:ascii="仿宋_GB2312" w:hAnsi="仿宋_GB2312" w:cs="仿宋_GB2312" w:eastAsia="仿宋_GB2312"/>
                <w:sz w:val="24"/>
                <w:color w:val="0000FF"/>
              </w:rPr>
              <w:t>，</w:t>
            </w:r>
            <w:r>
              <w:rPr>
                <w:rFonts w:ascii="仿宋_GB2312" w:hAnsi="仿宋_GB2312" w:cs="仿宋_GB2312" w:eastAsia="仿宋_GB2312"/>
                <w:sz w:val="24"/>
                <w:color w:val="0000FF"/>
              </w:rPr>
              <w:t>展览需</w:t>
            </w:r>
            <w:r>
              <w:rPr>
                <w:rFonts w:ascii="仿宋_GB2312" w:hAnsi="仿宋_GB2312" w:cs="仿宋_GB2312" w:eastAsia="仿宋_GB2312"/>
                <w:sz w:val="24"/>
                <w:color w:val="0000FF"/>
              </w:rPr>
              <w:t>通过高新科技媒介</w:t>
            </w:r>
            <w:r>
              <w:rPr>
                <w:rFonts w:ascii="仿宋_GB2312" w:hAnsi="仿宋_GB2312" w:cs="仿宋_GB2312" w:eastAsia="仿宋_GB2312"/>
                <w:sz w:val="24"/>
                <w:color w:val="0000FF"/>
              </w:rPr>
              <w:t>AR、VR、MR、XR其中至少两种以上进行</w:t>
            </w:r>
            <w:r>
              <w:rPr>
                <w:rFonts w:ascii="仿宋_GB2312" w:hAnsi="仿宋_GB2312" w:cs="仿宋_GB2312" w:eastAsia="仿宋_GB2312"/>
                <w:sz w:val="24"/>
                <w:color w:val="0000FF"/>
              </w:rPr>
              <w:t>场景式</w:t>
            </w:r>
            <w:r>
              <w:rPr>
                <w:rFonts w:ascii="仿宋_GB2312" w:hAnsi="仿宋_GB2312" w:cs="仿宋_GB2312" w:eastAsia="仿宋_GB2312"/>
                <w:sz w:val="24"/>
                <w:color w:val="0000FF"/>
              </w:rPr>
              <w:t>展陈呈现，以实现科技及数字场馆的游览体验。</w:t>
            </w:r>
          </w:p>
          <w:p>
            <w:pPr>
              <w:pStyle w:val="null5"/>
              <w:ind w:firstLine="480"/>
              <w:jc w:val="both"/>
            </w:pPr>
            <w:r>
              <w:rPr>
                <w:rFonts w:ascii="仿宋_GB2312" w:hAnsi="仿宋_GB2312" w:cs="仿宋_GB2312" w:eastAsia="仿宋_GB2312"/>
                <w:sz w:val="24"/>
                <w:color w:val="0000FF"/>
              </w:rPr>
              <w:t>11.2需配备至少100平方米以上，点间距小于P3的LED屏幕，全年配备时间不得少于300天，以实现展览展示的动态化呈现。</w:t>
            </w:r>
          </w:p>
          <w:p>
            <w:pPr>
              <w:pStyle w:val="null5"/>
              <w:ind w:firstLine="480"/>
              <w:jc w:val="both"/>
            </w:pPr>
            <w:r>
              <w:rPr>
                <w:rFonts w:ascii="仿宋_GB2312" w:hAnsi="仿宋_GB2312" w:cs="仿宋_GB2312" w:eastAsia="仿宋_GB2312"/>
                <w:sz w:val="24"/>
                <w:color w:val="0000FF"/>
              </w:rPr>
              <w:t>12.比赛及活动的组织；</w:t>
            </w:r>
          </w:p>
          <w:p>
            <w:pPr>
              <w:pStyle w:val="null5"/>
              <w:ind w:firstLine="480"/>
              <w:jc w:val="both"/>
            </w:pPr>
            <w:r>
              <w:rPr>
                <w:rFonts w:ascii="仿宋_GB2312" w:hAnsi="仿宋_GB2312" w:cs="仿宋_GB2312" w:eastAsia="仿宋_GB2312"/>
                <w:sz w:val="24"/>
                <w:color w:val="0000FF"/>
              </w:rPr>
              <w:t>12.1组织比赛：每年组织不少于1场1000人以上大型自然科普、科技、文化类相关比赛。</w:t>
            </w:r>
          </w:p>
          <w:p>
            <w:pPr>
              <w:pStyle w:val="null5"/>
              <w:ind w:firstLine="480"/>
              <w:jc w:val="both"/>
            </w:pPr>
            <w:r>
              <w:rPr>
                <w:rFonts w:ascii="仿宋_GB2312" w:hAnsi="仿宋_GB2312" w:cs="仿宋_GB2312" w:eastAsia="仿宋_GB2312"/>
                <w:sz w:val="24"/>
                <w:color w:val="0000FF"/>
              </w:rPr>
              <w:t>12.2</w:t>
            </w:r>
            <w:r>
              <w:rPr>
                <w:rFonts w:ascii="仿宋_GB2312" w:hAnsi="仿宋_GB2312" w:cs="仿宋_GB2312" w:eastAsia="仿宋_GB2312"/>
                <w:sz w:val="24"/>
                <w:color w:val="0000FF"/>
              </w:rPr>
              <w:t>组织公益活动：举办多类型的公益活动</w:t>
            </w:r>
            <w:r>
              <w:rPr>
                <w:rFonts w:ascii="仿宋_GB2312" w:hAnsi="仿宋_GB2312" w:cs="仿宋_GB2312" w:eastAsia="仿宋_GB2312"/>
                <w:sz w:val="24"/>
                <w:color w:val="0000FF"/>
              </w:rPr>
              <w:t>，</w:t>
            </w:r>
            <w:r>
              <w:rPr>
                <w:rFonts w:ascii="仿宋_GB2312" w:hAnsi="仿宋_GB2312" w:cs="仿宋_GB2312" w:eastAsia="仿宋_GB2312"/>
                <w:sz w:val="24"/>
                <w:color w:val="0000FF"/>
              </w:rPr>
              <w:t>每年不低于</w:t>
            </w:r>
            <w:r>
              <w:rPr>
                <w:rFonts w:ascii="仿宋_GB2312" w:hAnsi="仿宋_GB2312" w:cs="仿宋_GB2312" w:eastAsia="仿宋_GB2312"/>
                <w:sz w:val="24"/>
                <w:color w:val="0000FF"/>
              </w:rPr>
              <w:t>30次。具体内容包括但不限于：生物多样性展览、环境保护讲座、户外探索活动、环保义工活动、科学实验室体验、生态教育项目、主题展览与特色活动、科普讲座与工作坊、志愿者培训、社区合作项目。</w:t>
            </w:r>
          </w:p>
          <w:p>
            <w:pPr>
              <w:pStyle w:val="null5"/>
              <w:ind w:firstLine="480"/>
              <w:jc w:val="both"/>
            </w:pPr>
            <w:r>
              <w:rPr>
                <w:rFonts w:ascii="仿宋_GB2312" w:hAnsi="仿宋_GB2312" w:cs="仿宋_GB2312" w:eastAsia="仿宋_GB2312"/>
                <w:sz w:val="24"/>
                <w:color w:val="0000FF"/>
              </w:rPr>
              <w:t>12.3每逢法定节假日进行相关主题活动策划及落地。</w:t>
            </w:r>
          </w:p>
          <w:p>
            <w:pPr>
              <w:pStyle w:val="null5"/>
              <w:ind w:firstLine="480"/>
              <w:jc w:val="both"/>
            </w:pPr>
            <w:r>
              <w:rPr>
                <w:rFonts w:ascii="仿宋_GB2312" w:hAnsi="仿宋_GB2312" w:cs="仿宋_GB2312" w:eastAsia="仿宋_GB2312"/>
                <w:sz w:val="24"/>
                <w:color w:val="0000FF"/>
              </w:rPr>
              <w:t>13.</w:t>
            </w:r>
            <w:r>
              <w:rPr>
                <w:rFonts w:ascii="仿宋_GB2312" w:hAnsi="仿宋_GB2312" w:cs="仿宋_GB2312" w:eastAsia="仿宋_GB2312"/>
                <w:sz w:val="24"/>
                <w:color w:val="0000FF"/>
              </w:rPr>
              <w:t>宣传推广；</w:t>
            </w:r>
          </w:p>
          <w:p>
            <w:pPr>
              <w:pStyle w:val="null5"/>
              <w:ind w:firstLine="480"/>
              <w:jc w:val="both"/>
            </w:pPr>
            <w:r>
              <w:rPr>
                <w:rFonts w:ascii="仿宋_GB2312" w:hAnsi="仿宋_GB2312" w:cs="仿宋_GB2312" w:eastAsia="仿宋_GB2312"/>
                <w:sz w:val="24"/>
                <w:color w:val="0000FF"/>
              </w:rPr>
              <w:t>13.1</w:t>
            </w:r>
            <w:r>
              <w:rPr>
                <w:rFonts w:ascii="仿宋_GB2312" w:hAnsi="仿宋_GB2312" w:cs="仿宋_GB2312" w:eastAsia="仿宋_GB2312"/>
                <w:sz w:val="24"/>
                <w:color w:val="0000FF"/>
              </w:rPr>
              <w:t>社交媒体营销：需制定全面的社交媒体营销策略</w:t>
            </w:r>
            <w:r>
              <w:rPr>
                <w:rFonts w:ascii="仿宋_GB2312" w:hAnsi="仿宋_GB2312" w:cs="仿宋_GB2312" w:eastAsia="仿宋_GB2312"/>
                <w:sz w:val="24"/>
                <w:color w:val="0000FF"/>
              </w:rPr>
              <w:t>。打造新媒体宣传</w:t>
            </w:r>
            <w:r>
              <w:rPr>
                <w:rFonts w:ascii="仿宋_GB2312" w:hAnsi="仿宋_GB2312" w:cs="仿宋_GB2312" w:eastAsia="仿宋_GB2312"/>
                <w:sz w:val="24"/>
                <w:color w:val="0000FF"/>
              </w:rPr>
              <w:t>矩阵</w:t>
            </w:r>
            <w:r>
              <w:rPr>
                <w:rFonts w:ascii="仿宋_GB2312" w:hAnsi="仿宋_GB2312" w:cs="仿宋_GB2312" w:eastAsia="仿宋_GB2312"/>
                <w:sz w:val="24"/>
                <w:color w:val="0000FF"/>
              </w:rPr>
              <w:t>：开设康巴什自然博物馆</w:t>
            </w:r>
            <w:r>
              <w:rPr>
                <w:rFonts w:ascii="仿宋_GB2312" w:hAnsi="仿宋_GB2312" w:cs="仿宋_GB2312" w:eastAsia="仿宋_GB2312"/>
                <w:sz w:val="24"/>
                <w:color w:val="0000FF"/>
              </w:rPr>
              <w:t>微信公众账号</w:t>
            </w:r>
            <w:r>
              <w:rPr>
                <w:rFonts w:ascii="仿宋_GB2312" w:hAnsi="仿宋_GB2312" w:cs="仿宋_GB2312" w:eastAsia="仿宋_GB2312"/>
                <w:sz w:val="24"/>
                <w:color w:val="0000FF"/>
              </w:rPr>
              <w:t>发布原创</w:t>
            </w:r>
            <w:r>
              <w:rPr>
                <w:rFonts w:ascii="仿宋_GB2312" w:hAnsi="仿宋_GB2312" w:cs="仿宋_GB2312" w:eastAsia="仿宋_GB2312"/>
                <w:sz w:val="24"/>
                <w:color w:val="0000FF"/>
              </w:rPr>
              <w:t>推文每年</w:t>
            </w:r>
            <w:r>
              <w:rPr>
                <w:rFonts w:ascii="仿宋_GB2312" w:hAnsi="仿宋_GB2312" w:cs="仿宋_GB2312" w:eastAsia="仿宋_GB2312"/>
                <w:sz w:val="24"/>
                <w:color w:val="0000FF"/>
              </w:rPr>
              <w:t>120</w:t>
            </w:r>
            <w:r>
              <w:rPr>
                <w:rFonts w:ascii="仿宋_GB2312" w:hAnsi="仿宋_GB2312" w:cs="仿宋_GB2312" w:eastAsia="仿宋_GB2312"/>
                <w:sz w:val="24"/>
                <w:color w:val="0000FF"/>
              </w:rPr>
              <w:t>篇</w:t>
            </w:r>
            <w:r>
              <w:rPr>
                <w:rFonts w:ascii="仿宋_GB2312" w:hAnsi="仿宋_GB2312" w:cs="仿宋_GB2312" w:eastAsia="仿宋_GB2312"/>
                <w:sz w:val="24"/>
                <w:color w:val="0000FF"/>
              </w:rPr>
              <w:t>以上</w:t>
            </w:r>
            <w:r>
              <w:rPr>
                <w:rFonts w:ascii="仿宋_GB2312" w:hAnsi="仿宋_GB2312" w:cs="仿宋_GB2312" w:eastAsia="仿宋_GB2312"/>
                <w:sz w:val="24"/>
                <w:color w:val="0000FF"/>
              </w:rPr>
              <w:t>，</w:t>
            </w:r>
            <w:r>
              <w:rPr>
                <w:rFonts w:ascii="仿宋_GB2312" w:hAnsi="仿宋_GB2312" w:cs="仿宋_GB2312" w:eastAsia="仿宋_GB2312"/>
                <w:sz w:val="24"/>
                <w:color w:val="0000FF"/>
              </w:rPr>
              <w:t>视频号、抖音号原创视频发布量每年</w:t>
            </w:r>
            <w:r>
              <w:rPr>
                <w:rFonts w:ascii="仿宋_GB2312" w:hAnsi="仿宋_GB2312" w:cs="仿宋_GB2312" w:eastAsia="仿宋_GB2312"/>
                <w:sz w:val="24"/>
                <w:color w:val="0000FF"/>
              </w:rPr>
              <w:t>50条以上，</w:t>
            </w:r>
            <w:r>
              <w:rPr>
                <w:rFonts w:ascii="仿宋_GB2312" w:hAnsi="仿宋_GB2312" w:cs="仿宋_GB2312" w:eastAsia="仿宋_GB2312"/>
                <w:sz w:val="24"/>
                <w:color w:val="0000FF"/>
              </w:rPr>
              <w:t>阅读量</w:t>
            </w:r>
            <w:r>
              <w:rPr>
                <w:rFonts w:ascii="仿宋_GB2312" w:hAnsi="仿宋_GB2312" w:cs="仿宋_GB2312" w:eastAsia="仿宋_GB2312"/>
                <w:sz w:val="24"/>
                <w:color w:val="0000FF"/>
              </w:rPr>
              <w:t>播放量</w:t>
            </w:r>
            <w:r>
              <w:rPr>
                <w:rFonts w:ascii="仿宋_GB2312" w:hAnsi="仿宋_GB2312" w:cs="仿宋_GB2312" w:eastAsia="仿宋_GB2312"/>
                <w:sz w:val="24"/>
                <w:color w:val="0000FF"/>
              </w:rPr>
              <w:t>达到至少</w:t>
            </w:r>
            <w:r>
              <w:rPr>
                <w:rFonts w:ascii="仿宋_GB2312" w:hAnsi="仿宋_GB2312" w:cs="仿宋_GB2312" w:eastAsia="仿宋_GB2312"/>
                <w:sz w:val="24"/>
                <w:color w:val="0000FF"/>
              </w:rPr>
              <w:t>20万人次；</w:t>
            </w:r>
          </w:p>
          <w:p>
            <w:pPr>
              <w:pStyle w:val="null5"/>
              <w:ind w:firstLine="480"/>
              <w:jc w:val="both"/>
            </w:pPr>
            <w:r>
              <w:rPr>
                <w:rFonts w:ascii="仿宋_GB2312" w:hAnsi="仿宋_GB2312" w:cs="仿宋_GB2312" w:eastAsia="仿宋_GB2312"/>
                <w:sz w:val="24"/>
                <w:color w:val="0000FF"/>
              </w:rPr>
              <w:t>13.2</w:t>
            </w:r>
            <w:r>
              <w:rPr>
                <w:rFonts w:ascii="仿宋_GB2312" w:hAnsi="仿宋_GB2312" w:cs="仿宋_GB2312" w:eastAsia="仿宋_GB2312"/>
                <w:sz w:val="24"/>
                <w:color w:val="0000FF"/>
              </w:rPr>
              <w:t>教育合作项目：馆藏以展览、展示形式</w:t>
            </w:r>
            <w:r>
              <w:rPr>
                <w:rFonts w:ascii="仿宋_GB2312" w:hAnsi="仿宋_GB2312" w:cs="仿宋_GB2312" w:eastAsia="仿宋_GB2312"/>
                <w:sz w:val="24"/>
                <w:color w:val="0000FF"/>
              </w:rPr>
              <w:t>“走”出博物馆，“走”近社会。结合博物馆的展陈主题，扩大博物馆的社会影响力。每年至少与10家学校活社区机构实现项目合作。</w:t>
            </w:r>
          </w:p>
          <w:p>
            <w:pPr>
              <w:pStyle w:val="null5"/>
              <w:ind w:firstLine="480"/>
              <w:jc w:val="both"/>
            </w:pPr>
            <w:r>
              <w:rPr>
                <w:rFonts w:ascii="仿宋_GB2312" w:hAnsi="仿宋_GB2312" w:cs="仿宋_GB2312" w:eastAsia="仿宋_GB2312"/>
                <w:sz w:val="24"/>
                <w:color w:val="0000FF"/>
              </w:rPr>
              <w:t>13.3</w:t>
            </w:r>
            <w:r>
              <w:rPr>
                <w:rFonts w:ascii="仿宋_GB2312" w:hAnsi="仿宋_GB2312" w:cs="仿宋_GB2312" w:eastAsia="仿宋_GB2312"/>
                <w:sz w:val="24"/>
                <w:color w:val="0000FF"/>
              </w:rPr>
              <w:t>品牌建设与</w:t>
            </w:r>
            <w:r>
              <w:rPr>
                <w:rFonts w:ascii="仿宋_GB2312" w:hAnsi="仿宋_GB2312" w:cs="仿宋_GB2312" w:eastAsia="仿宋_GB2312"/>
                <w:sz w:val="24"/>
                <w:color w:val="0000FF"/>
              </w:rPr>
              <w:t>宣传</w:t>
            </w:r>
            <w:r>
              <w:rPr>
                <w:rFonts w:ascii="仿宋_GB2312" w:hAnsi="仿宋_GB2312" w:cs="仿宋_GB2312" w:eastAsia="仿宋_GB2312"/>
                <w:sz w:val="24"/>
                <w:color w:val="0000FF"/>
              </w:rPr>
              <w:t>：建立完善的品牌传播体系，包括标识设计、口号宣传、形象广告等，形成统一的品牌形象。利用各种传播渠道，宣传博物馆的活动和特色，提升其在公众心中的知名度和美誉度。</w:t>
            </w:r>
          </w:p>
          <w:p>
            <w:pPr>
              <w:pStyle w:val="null5"/>
              <w:ind w:firstLine="480"/>
              <w:jc w:val="both"/>
            </w:pPr>
            <w:r>
              <w:rPr>
                <w:rFonts w:ascii="仿宋_GB2312" w:hAnsi="仿宋_GB2312" w:cs="仿宋_GB2312" w:eastAsia="仿宋_GB2312"/>
                <w:sz w:val="24"/>
                <w:color w:val="0000FF"/>
              </w:rPr>
              <w:t>13.4每年进行省内、省外场馆线下宣传推荐活动不少于5场。</w:t>
            </w:r>
          </w:p>
          <w:p>
            <w:pPr>
              <w:pStyle w:val="null5"/>
              <w:ind w:firstLine="480"/>
              <w:jc w:val="both"/>
            </w:pPr>
            <w:r>
              <w:rPr>
                <w:rFonts w:ascii="仿宋_GB2312" w:hAnsi="仿宋_GB2312" w:cs="仿宋_GB2312" w:eastAsia="仿宋_GB2312"/>
                <w:sz w:val="24"/>
                <w:color w:val="0000FF"/>
              </w:rPr>
              <w:t>14</w:t>
            </w:r>
            <w:r>
              <w:rPr>
                <w:rFonts w:ascii="仿宋_GB2312" w:hAnsi="仿宋_GB2312" w:cs="仿宋_GB2312" w:eastAsia="仿宋_GB2312"/>
                <w:sz w:val="24"/>
                <w:color w:val="0000FF"/>
              </w:rPr>
              <w:t>.</w:t>
            </w:r>
            <w:r>
              <w:rPr>
                <w:rFonts w:ascii="仿宋_GB2312" w:hAnsi="仿宋_GB2312" w:cs="仿宋_GB2312" w:eastAsia="仿宋_GB2312"/>
                <w:sz w:val="24"/>
                <w:color w:val="0000FF"/>
              </w:rPr>
              <w:t>馆际交流；</w:t>
            </w:r>
          </w:p>
          <w:p>
            <w:pPr>
              <w:pStyle w:val="null5"/>
              <w:ind w:firstLine="480"/>
              <w:jc w:val="both"/>
            </w:pPr>
            <w:r>
              <w:rPr>
                <w:rFonts w:ascii="仿宋_GB2312" w:hAnsi="仿宋_GB2312" w:cs="仿宋_GB2312" w:eastAsia="仿宋_GB2312"/>
                <w:sz w:val="24"/>
                <w:color w:val="0000FF"/>
              </w:rPr>
              <w:t>14.1每年进行至少6场与其他博物馆的馆际交流活动，了解博物馆行业发展动向，并形成交流成果。</w:t>
            </w:r>
          </w:p>
          <w:p>
            <w:pPr>
              <w:pStyle w:val="null5"/>
              <w:ind w:firstLine="480"/>
              <w:jc w:val="both"/>
            </w:pPr>
            <w:r>
              <w:rPr>
                <w:rFonts w:ascii="仿宋_GB2312" w:hAnsi="仿宋_GB2312" w:cs="仿宋_GB2312" w:eastAsia="仿宋_GB2312"/>
                <w:sz w:val="24"/>
                <w:color w:val="0000FF"/>
              </w:rPr>
              <w:t>15</w:t>
            </w:r>
            <w:r>
              <w:rPr>
                <w:rFonts w:ascii="仿宋_GB2312" w:hAnsi="仿宋_GB2312" w:cs="仿宋_GB2312" w:eastAsia="仿宋_GB2312"/>
                <w:sz w:val="24"/>
                <w:color w:val="0000FF"/>
              </w:rPr>
              <w:t>.</w:t>
            </w:r>
            <w:r>
              <w:rPr>
                <w:rFonts w:ascii="仿宋_GB2312" w:hAnsi="仿宋_GB2312" w:cs="仿宋_GB2312" w:eastAsia="仿宋_GB2312"/>
                <w:sz w:val="24"/>
                <w:color w:val="0000FF"/>
              </w:rPr>
              <w:t>文创产品开发；</w:t>
            </w:r>
          </w:p>
          <w:p>
            <w:pPr>
              <w:pStyle w:val="null5"/>
              <w:ind w:firstLine="480"/>
              <w:jc w:val="both"/>
            </w:pPr>
            <w:r>
              <w:rPr>
                <w:rFonts w:ascii="仿宋_GB2312" w:hAnsi="仿宋_GB2312" w:cs="仿宋_GB2312" w:eastAsia="仿宋_GB2312"/>
                <w:sz w:val="24"/>
                <w:color w:val="0000FF"/>
              </w:rPr>
              <w:t>15.1打造自然博物馆文创衍生产品：每年创新设计15款以上康巴什自然博物馆定制文创衍生产品。并需申报设计类国家级奖项。</w:t>
            </w:r>
          </w:p>
          <w:p>
            <w:pPr>
              <w:pStyle w:val="null5"/>
              <w:ind w:firstLine="480"/>
              <w:jc w:val="both"/>
            </w:pPr>
            <w:r>
              <w:rPr>
                <w:rFonts w:ascii="仿宋_GB2312" w:hAnsi="仿宋_GB2312" w:cs="仿宋_GB2312" w:eastAsia="仿宋_GB2312"/>
                <w:sz w:val="24"/>
                <w:color w:val="0000FF"/>
              </w:rPr>
              <w:t>15.2每年完成至少15项以上自然博物馆文创产品版权申请。</w:t>
            </w:r>
          </w:p>
          <w:p>
            <w:pPr>
              <w:pStyle w:val="null5"/>
              <w:ind w:firstLine="480"/>
              <w:jc w:val="both"/>
            </w:pPr>
            <w:r>
              <w:rPr>
                <w:rFonts w:ascii="仿宋_GB2312" w:hAnsi="仿宋_GB2312" w:cs="仿宋_GB2312" w:eastAsia="仿宋_GB2312"/>
                <w:sz w:val="24"/>
                <w:color w:val="0000FF"/>
              </w:rPr>
              <w:t>16.标本消杀修复管理；</w:t>
            </w:r>
          </w:p>
          <w:p>
            <w:pPr>
              <w:pStyle w:val="null5"/>
              <w:ind w:firstLine="480"/>
              <w:jc w:val="both"/>
            </w:pPr>
            <w:r>
              <w:rPr>
                <w:rFonts w:ascii="仿宋_GB2312" w:hAnsi="仿宋_GB2312" w:cs="仿宋_GB2312" w:eastAsia="仿宋_GB2312"/>
                <w:sz w:val="24"/>
                <w:color w:val="0000FF"/>
              </w:rPr>
              <w:t>16.1每年进行2次标本消杀及修复，确保标本适宜的存储环境，需建立完善的库存管理制度；配备2名以上专业人员严格进行标本修复消杀管理。</w:t>
            </w:r>
          </w:p>
          <w:p>
            <w:pPr>
              <w:pStyle w:val="null5"/>
              <w:ind w:firstLine="480"/>
              <w:jc w:val="both"/>
            </w:pPr>
            <w:r>
              <w:rPr>
                <w:rFonts w:ascii="仿宋_GB2312" w:hAnsi="仿宋_GB2312" w:cs="仿宋_GB2312" w:eastAsia="仿宋_GB2312"/>
                <w:sz w:val="24"/>
                <w:color w:val="0000FF"/>
              </w:rPr>
              <w:t>16.2</w:t>
            </w:r>
            <w:r>
              <w:rPr>
                <w:rFonts w:ascii="仿宋_GB2312" w:hAnsi="仿宋_GB2312" w:cs="仿宋_GB2312" w:eastAsia="仿宋_GB2312"/>
                <w:sz w:val="24"/>
                <w:color w:val="0000FF"/>
              </w:rPr>
              <w:t>投标服务企业具备提供符合场馆服务所需的</w:t>
            </w:r>
            <w:r>
              <w:rPr>
                <w:rFonts w:ascii="仿宋_GB2312" w:hAnsi="仿宋_GB2312" w:cs="仿宋_GB2312" w:eastAsia="仿宋_GB2312"/>
                <w:sz w:val="24"/>
                <w:color w:val="0000FF"/>
              </w:rPr>
              <w:t>消杀资质。包括有害生物防治资质证书、除虫免鼠资质证书、公共环境消毒杀菌资质证书，白蚁防治资质证书（投标人提供认证证书复印件或扫描件作为证明材料）。</w:t>
            </w:r>
          </w:p>
          <w:p>
            <w:pPr>
              <w:pStyle w:val="null5"/>
              <w:ind w:firstLine="480"/>
              <w:jc w:val="both"/>
            </w:pPr>
            <w:r>
              <w:rPr>
                <w:rFonts w:ascii="仿宋_GB2312" w:hAnsi="仿宋_GB2312" w:cs="仿宋_GB2312" w:eastAsia="仿宋_GB2312"/>
                <w:sz w:val="24"/>
                <w:color w:val="0000FF"/>
              </w:rPr>
              <w:t>17</w:t>
            </w:r>
            <w:r>
              <w:rPr>
                <w:rFonts w:ascii="仿宋_GB2312" w:hAnsi="仿宋_GB2312" w:cs="仿宋_GB2312" w:eastAsia="仿宋_GB2312"/>
                <w:sz w:val="24"/>
                <w:color w:val="0000FF"/>
              </w:rPr>
              <w:t>.</w:t>
            </w:r>
            <w:r>
              <w:rPr>
                <w:rFonts w:ascii="仿宋_GB2312" w:hAnsi="仿宋_GB2312" w:cs="仿宋_GB2312" w:eastAsia="仿宋_GB2312"/>
                <w:sz w:val="24"/>
                <w:color w:val="0000FF"/>
              </w:rPr>
              <w:t>场馆开放；</w:t>
            </w:r>
          </w:p>
          <w:p>
            <w:pPr>
              <w:pStyle w:val="null5"/>
              <w:ind w:firstLine="480"/>
              <w:jc w:val="both"/>
            </w:pPr>
            <w:r>
              <w:rPr>
                <w:rFonts w:ascii="仿宋_GB2312" w:hAnsi="仿宋_GB2312" w:cs="仿宋_GB2312" w:eastAsia="仿宋_GB2312"/>
                <w:sz w:val="24"/>
                <w:color w:val="0000FF"/>
              </w:rPr>
              <w:t>17.1场馆全年实行免费开放。每周一闭馆维护，不对外开放。</w:t>
            </w:r>
          </w:p>
          <w:p>
            <w:pPr>
              <w:pStyle w:val="null5"/>
              <w:ind w:firstLine="480"/>
              <w:jc w:val="both"/>
            </w:pPr>
            <w:r>
              <w:rPr>
                <w:rFonts w:ascii="仿宋_GB2312" w:hAnsi="仿宋_GB2312" w:cs="仿宋_GB2312" w:eastAsia="仿宋_GB2312"/>
                <w:sz w:val="24"/>
                <w:color w:val="0000FF"/>
              </w:rPr>
              <w:t>18</w:t>
            </w:r>
            <w:r>
              <w:rPr>
                <w:rFonts w:ascii="仿宋_GB2312" w:hAnsi="仿宋_GB2312" w:cs="仿宋_GB2312" w:eastAsia="仿宋_GB2312"/>
                <w:sz w:val="24"/>
                <w:color w:val="0000FF"/>
              </w:rPr>
              <w:t>.</w:t>
            </w:r>
            <w:r>
              <w:rPr>
                <w:rFonts w:ascii="仿宋_GB2312" w:hAnsi="仿宋_GB2312" w:cs="仿宋_GB2312" w:eastAsia="仿宋_GB2312"/>
                <w:sz w:val="24"/>
                <w:color w:val="0000FF"/>
              </w:rPr>
              <w:t>研学课程开发；</w:t>
            </w:r>
          </w:p>
          <w:p>
            <w:pPr>
              <w:pStyle w:val="null5"/>
              <w:ind w:firstLine="480"/>
              <w:jc w:val="both"/>
            </w:pPr>
            <w:r>
              <w:rPr>
                <w:rFonts w:ascii="仿宋_GB2312" w:hAnsi="仿宋_GB2312" w:cs="仿宋_GB2312" w:eastAsia="仿宋_GB2312"/>
                <w:sz w:val="24"/>
                <w:color w:val="0000FF"/>
              </w:rPr>
              <w:t>18.1每年开发10套及以上与康巴什自然博物馆相关研学课程，课程需包含英文内容，贴合当地青少年知识内容。</w:t>
            </w:r>
          </w:p>
          <w:p>
            <w:pPr>
              <w:pStyle w:val="null5"/>
              <w:ind w:firstLine="480"/>
              <w:jc w:val="both"/>
            </w:pPr>
            <w:r>
              <w:rPr>
                <w:rFonts w:ascii="仿宋_GB2312" w:hAnsi="仿宋_GB2312" w:cs="仿宋_GB2312" w:eastAsia="仿宋_GB2312"/>
                <w:sz w:val="24"/>
                <w:color w:val="0000FF"/>
              </w:rPr>
              <w:t>18.2课程可进行中英文双语授课。</w:t>
            </w:r>
          </w:p>
          <w:p>
            <w:pPr>
              <w:pStyle w:val="null5"/>
              <w:ind w:firstLine="480"/>
              <w:jc w:val="both"/>
            </w:pPr>
            <w:r>
              <w:rPr>
                <w:rFonts w:ascii="仿宋_GB2312" w:hAnsi="仿宋_GB2312" w:cs="仿宋_GB2312" w:eastAsia="仿宋_GB2312"/>
                <w:sz w:val="24"/>
                <w:color w:val="0000FF"/>
              </w:rPr>
              <w:t>19.应急管理：</w:t>
            </w:r>
          </w:p>
          <w:p>
            <w:pPr>
              <w:pStyle w:val="null5"/>
              <w:ind w:firstLine="480"/>
              <w:jc w:val="both"/>
            </w:pPr>
            <w:r>
              <w:rPr>
                <w:rFonts w:ascii="仿宋_GB2312" w:hAnsi="仿宋_GB2312" w:cs="仿宋_GB2312" w:eastAsia="仿宋_GB2312"/>
                <w:sz w:val="24"/>
                <w:color w:val="0000FF"/>
              </w:rPr>
              <w:t>19.1</w:t>
            </w:r>
            <w:r>
              <w:rPr>
                <w:rFonts w:ascii="仿宋_GB2312" w:hAnsi="仿宋_GB2312" w:cs="仿宋_GB2312" w:eastAsia="仿宋_GB2312"/>
                <w:sz w:val="24"/>
                <w:color w:val="0000FF"/>
              </w:rPr>
              <w:t>供应商拟派本项目</w:t>
            </w:r>
            <w:r>
              <w:rPr>
                <w:rFonts w:ascii="仿宋_GB2312" w:hAnsi="仿宋_GB2312" w:cs="仿宋_GB2312" w:eastAsia="仿宋_GB2312"/>
                <w:sz w:val="24"/>
                <w:color w:val="0000FF"/>
              </w:rPr>
              <w:t>救援</w:t>
            </w:r>
            <w:r>
              <w:rPr>
                <w:rFonts w:ascii="仿宋_GB2312" w:hAnsi="仿宋_GB2312" w:cs="仿宋_GB2312" w:eastAsia="仿宋_GB2312"/>
                <w:sz w:val="24"/>
                <w:color w:val="0000FF"/>
              </w:rPr>
              <w:t>人员应持有有效的《红十字救护员》证书或其它能证明具有相关现场救护能力的证书人员不少于</w:t>
            </w:r>
            <w:r>
              <w:rPr>
                <w:rFonts w:ascii="仿宋_GB2312" w:hAnsi="仿宋_GB2312" w:cs="仿宋_GB2312" w:eastAsia="仿宋_GB2312"/>
                <w:sz w:val="24"/>
                <w:color w:val="0000FF"/>
              </w:rPr>
              <w:t>2</w:t>
            </w:r>
            <w:r>
              <w:rPr>
                <w:rFonts w:ascii="仿宋_GB2312" w:hAnsi="仿宋_GB2312" w:cs="仿宋_GB2312" w:eastAsia="仿宋_GB2312"/>
                <w:sz w:val="24"/>
                <w:color w:val="0000FF"/>
              </w:rPr>
              <w:t>人。</w:t>
            </w:r>
          </w:p>
          <w:p>
            <w:pPr>
              <w:pStyle w:val="null5"/>
              <w:ind w:firstLine="480"/>
              <w:jc w:val="both"/>
            </w:pPr>
            <w:r>
              <w:rPr>
                <w:rFonts w:ascii="仿宋_GB2312" w:hAnsi="仿宋_GB2312" w:cs="仿宋_GB2312" w:eastAsia="仿宋_GB2312"/>
                <w:sz w:val="24"/>
                <w:color w:val="0000FF"/>
              </w:rPr>
              <w:t>19.2制定消防、自然灾害及节假日相关应急预案。</w:t>
            </w:r>
          </w:p>
          <w:p>
            <w:pPr>
              <w:pStyle w:val="null5"/>
              <w:ind w:firstLine="480"/>
              <w:jc w:val="both"/>
            </w:pPr>
            <w:r>
              <w:rPr>
                <w:rFonts w:ascii="仿宋_GB2312" w:hAnsi="仿宋_GB2312" w:cs="仿宋_GB2312" w:eastAsia="仿宋_GB2312"/>
                <w:sz w:val="24"/>
                <w:color w:val="0000FF"/>
              </w:rPr>
              <w:t>20.人员管理；</w:t>
            </w:r>
          </w:p>
          <w:p>
            <w:pPr>
              <w:pStyle w:val="null5"/>
              <w:ind w:firstLine="480"/>
              <w:jc w:val="both"/>
            </w:pPr>
            <w:r>
              <w:rPr>
                <w:rFonts w:ascii="仿宋_GB2312" w:hAnsi="仿宋_GB2312" w:cs="仿宋_GB2312" w:eastAsia="仿宋_GB2312"/>
                <w:sz w:val="24"/>
                <w:color w:val="0000FF"/>
              </w:rPr>
              <w:t>20.1</w:t>
            </w:r>
            <w:r>
              <w:rPr>
                <w:rFonts w:ascii="仿宋_GB2312" w:hAnsi="仿宋_GB2312" w:cs="仿宋_GB2312" w:eastAsia="仿宋_GB2312"/>
                <w:sz w:val="24"/>
                <w:color w:val="0000FF"/>
              </w:rPr>
              <w:t>供应商提供承诺函承诺本项目服务人员薪资不得低于</w:t>
            </w:r>
            <w:r>
              <w:rPr>
                <w:rFonts w:ascii="仿宋_GB2312" w:hAnsi="仿宋_GB2312" w:cs="仿宋_GB2312" w:eastAsia="仿宋_GB2312"/>
                <w:sz w:val="24"/>
                <w:color w:val="0000FF"/>
              </w:rPr>
              <w:t>鄂尔多斯</w:t>
            </w:r>
            <w:r>
              <w:rPr>
                <w:rFonts w:ascii="仿宋_GB2312" w:hAnsi="仿宋_GB2312" w:cs="仿宋_GB2312" w:eastAsia="仿宋_GB2312"/>
                <w:sz w:val="24"/>
                <w:color w:val="0000FF"/>
              </w:rPr>
              <w:t>市最低薪酬标准并提供拟派岗位人员配置情况（格式自拟）。在职期间为其购买劳动法规定的各项保险，其人员薪酬标准、劳保、福利应执行国家和地方政府的相关法律、法规和部门规章。供应商对其管理服务人员的疾病和人身安全等负责，</w:t>
            </w:r>
            <w:r>
              <w:rPr>
                <w:rFonts w:ascii="仿宋_GB2312" w:hAnsi="仿宋_GB2312" w:cs="仿宋_GB2312" w:eastAsia="仿宋_GB2312"/>
                <w:sz w:val="24"/>
                <w:color w:val="0000FF"/>
              </w:rPr>
              <w:t>招标人</w:t>
            </w:r>
            <w:r>
              <w:rPr>
                <w:rFonts w:ascii="仿宋_GB2312" w:hAnsi="仿宋_GB2312" w:cs="仿宋_GB2312" w:eastAsia="仿宋_GB2312"/>
                <w:sz w:val="24"/>
                <w:color w:val="0000FF"/>
              </w:rPr>
              <w:t>对此不承担任何责任和义务。</w:t>
            </w:r>
          </w:p>
          <w:p>
            <w:pPr>
              <w:pStyle w:val="null5"/>
              <w:ind w:firstLine="482"/>
              <w:jc w:val="both"/>
            </w:pPr>
            <w:r>
              <w:rPr>
                <w:rFonts w:ascii="仿宋_GB2312" w:hAnsi="仿宋_GB2312" w:cs="仿宋_GB2312" w:eastAsia="仿宋_GB2312"/>
                <w:sz w:val="24"/>
                <w:b/>
                <w:color w:val="0000FF"/>
              </w:rPr>
              <w:t>三、考核标准及办法</w:t>
            </w:r>
          </w:p>
          <w:p>
            <w:pPr>
              <w:pStyle w:val="null5"/>
              <w:ind w:firstLine="480"/>
              <w:jc w:val="both"/>
            </w:pPr>
            <w:r>
              <w:rPr>
                <w:rFonts w:ascii="仿宋_GB2312" w:hAnsi="仿宋_GB2312" w:cs="仿宋_GB2312" w:eastAsia="仿宋_GB2312"/>
                <w:sz w:val="24"/>
                <w:color w:val="0000FF"/>
              </w:rPr>
              <w:t>本项目管理考评、考核标准依据本项目运营管理要求，由采购方制定具体实施办法，考核设置总分值</w:t>
            </w:r>
            <w:r>
              <w:rPr>
                <w:rFonts w:ascii="仿宋_GB2312" w:hAnsi="仿宋_GB2312" w:cs="仿宋_GB2312" w:eastAsia="仿宋_GB2312"/>
                <w:sz w:val="24"/>
                <w:color w:val="0000FF"/>
              </w:rPr>
              <w:t>100分。每</w:t>
            </w:r>
            <w:r>
              <w:rPr>
                <w:rFonts w:ascii="仿宋_GB2312" w:hAnsi="仿宋_GB2312" w:cs="仿宋_GB2312" w:eastAsia="仿宋_GB2312"/>
                <w:sz w:val="24"/>
                <w:color w:val="0000FF"/>
              </w:rPr>
              <w:t>季度</w:t>
            </w:r>
            <w:r>
              <w:rPr>
                <w:rFonts w:ascii="仿宋_GB2312" w:hAnsi="仿宋_GB2312" w:cs="仿宋_GB2312" w:eastAsia="仿宋_GB2312"/>
                <w:sz w:val="24"/>
                <w:color w:val="0000FF"/>
              </w:rPr>
              <w:t>考核得分为</w:t>
            </w:r>
            <w:r>
              <w:rPr>
                <w:rFonts w:ascii="仿宋_GB2312" w:hAnsi="仿宋_GB2312" w:cs="仿宋_GB2312" w:eastAsia="仿宋_GB2312"/>
                <w:sz w:val="24"/>
                <w:color w:val="0000FF"/>
              </w:rPr>
              <w:t>95分以上（含95分）的，为优秀；单</w:t>
            </w:r>
            <w:r>
              <w:rPr>
                <w:rFonts w:ascii="仿宋_GB2312" w:hAnsi="仿宋_GB2312" w:cs="仿宋_GB2312" w:eastAsia="仿宋_GB2312"/>
                <w:sz w:val="24"/>
                <w:color w:val="0000FF"/>
              </w:rPr>
              <w:t>次</w:t>
            </w:r>
            <w:r>
              <w:rPr>
                <w:rFonts w:ascii="仿宋_GB2312" w:hAnsi="仿宋_GB2312" w:cs="仿宋_GB2312" w:eastAsia="仿宋_GB2312"/>
                <w:sz w:val="24"/>
                <w:color w:val="0000FF"/>
              </w:rPr>
              <w:t>考核不足</w:t>
            </w:r>
            <w:r>
              <w:rPr>
                <w:rFonts w:ascii="仿宋_GB2312" w:hAnsi="仿宋_GB2312" w:cs="仿宋_GB2312" w:eastAsia="仿宋_GB2312"/>
                <w:sz w:val="24"/>
                <w:color w:val="0000FF"/>
              </w:rPr>
              <w:t>95分的，付款时按下列标准扣款；连续</w:t>
            </w:r>
            <w:r>
              <w:rPr>
                <w:rFonts w:ascii="仿宋_GB2312" w:hAnsi="仿宋_GB2312" w:cs="仿宋_GB2312" w:eastAsia="仿宋_GB2312"/>
                <w:sz w:val="24"/>
                <w:color w:val="0000FF"/>
              </w:rPr>
              <w:t>三次</w:t>
            </w:r>
            <w:r>
              <w:rPr>
                <w:rFonts w:ascii="仿宋_GB2312" w:hAnsi="仿宋_GB2312" w:cs="仿宋_GB2312" w:eastAsia="仿宋_GB2312"/>
                <w:sz w:val="24"/>
                <w:color w:val="0000FF"/>
              </w:rPr>
              <w:t>考核得分低于</w:t>
            </w:r>
            <w:r>
              <w:rPr>
                <w:rFonts w:ascii="仿宋_GB2312" w:hAnsi="仿宋_GB2312" w:cs="仿宋_GB2312" w:eastAsia="仿宋_GB2312"/>
                <w:sz w:val="24"/>
                <w:color w:val="0000FF"/>
              </w:rPr>
              <w:t>80分的，</w:t>
            </w:r>
            <w:r>
              <w:rPr>
                <w:rFonts w:ascii="仿宋_GB2312" w:hAnsi="仿宋_GB2312" w:cs="仿宋_GB2312" w:eastAsia="仿宋_GB2312"/>
                <w:sz w:val="24"/>
                <w:color w:val="0000FF"/>
              </w:rPr>
              <w:t>招标人</w:t>
            </w:r>
            <w:r>
              <w:rPr>
                <w:rFonts w:ascii="仿宋_GB2312" w:hAnsi="仿宋_GB2312" w:cs="仿宋_GB2312" w:eastAsia="仿宋_GB2312"/>
                <w:sz w:val="24"/>
                <w:color w:val="0000FF"/>
              </w:rPr>
              <w:t>有权终止合同。</w:t>
            </w:r>
          </w:p>
          <w:p>
            <w:pPr>
              <w:pStyle w:val="null5"/>
              <w:ind w:firstLine="480"/>
              <w:jc w:val="both"/>
            </w:pPr>
            <w:r>
              <w:rPr>
                <w:rFonts w:ascii="仿宋_GB2312" w:hAnsi="仿宋_GB2312" w:cs="仿宋_GB2312" w:eastAsia="仿宋_GB2312"/>
                <w:sz w:val="24"/>
                <w:color w:val="0000FF"/>
              </w:rPr>
              <w:t>扣款标准：</w:t>
            </w:r>
          </w:p>
          <w:p>
            <w:pPr>
              <w:pStyle w:val="null5"/>
              <w:ind w:firstLine="480"/>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1）90分≤考核得分＜95分，为合格，以95分为准，每减少1分扣除当月服务经费200元；</w:t>
            </w:r>
          </w:p>
          <w:p>
            <w:pPr>
              <w:pStyle w:val="null5"/>
              <w:ind w:firstLine="480"/>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2）80分≤考核得分＜90分，为基本合格，按第（1）款扣除服务经费之后，以90分为准，每减少1分扣除当月服务经费2000元；</w:t>
            </w:r>
          </w:p>
          <w:p>
            <w:pPr>
              <w:pStyle w:val="null5"/>
              <w:ind w:firstLine="480"/>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3）考核得分80分以下的，为不合格，扣除该月30%的服务经费。</w:t>
            </w:r>
          </w:p>
          <w:p>
            <w:pPr>
              <w:pStyle w:val="null5"/>
              <w:ind w:firstLine="480"/>
              <w:jc w:val="both"/>
            </w:pPr>
            <w:r>
              <w:rPr>
                <w:rFonts w:ascii="仿宋_GB2312" w:hAnsi="仿宋_GB2312" w:cs="仿宋_GB2312" w:eastAsia="仿宋_GB2312"/>
                <w:sz w:val="24"/>
                <w:color w:val="0000FF"/>
              </w:rPr>
              <w:t>奖励标准：加分标准：</w:t>
            </w:r>
          </w:p>
          <w:p>
            <w:pPr>
              <w:pStyle w:val="null5"/>
              <w:ind w:firstLine="480"/>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1</w:t>
            </w:r>
            <w:r>
              <w:rPr>
                <w:rFonts w:ascii="仿宋_GB2312" w:hAnsi="仿宋_GB2312" w:cs="仿宋_GB2312" w:eastAsia="仿宋_GB2312"/>
                <w:sz w:val="24"/>
                <w:color w:val="0000FF"/>
              </w:rPr>
              <w:t>）受到新闻媒体表扬的，加</w:t>
            </w:r>
            <w:r>
              <w:rPr>
                <w:rFonts w:ascii="仿宋_GB2312" w:hAnsi="仿宋_GB2312" w:cs="仿宋_GB2312" w:eastAsia="仿宋_GB2312"/>
                <w:sz w:val="24"/>
                <w:color w:val="0000FF"/>
              </w:rPr>
              <w:t>0.5</w:t>
            </w:r>
            <w:r>
              <w:rPr>
                <w:rFonts w:ascii="仿宋_GB2312" w:hAnsi="仿宋_GB2312" w:cs="仿宋_GB2312" w:eastAsia="仿宋_GB2312"/>
                <w:sz w:val="24"/>
                <w:color w:val="0000FF"/>
              </w:rPr>
              <w:t>分。</w:t>
            </w:r>
          </w:p>
          <w:p>
            <w:pPr>
              <w:pStyle w:val="null5"/>
              <w:ind w:firstLine="480"/>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2</w:t>
            </w:r>
            <w:r>
              <w:rPr>
                <w:rFonts w:ascii="仿宋_GB2312" w:hAnsi="仿宋_GB2312" w:cs="仿宋_GB2312" w:eastAsia="仿宋_GB2312"/>
                <w:sz w:val="24"/>
                <w:color w:val="0000FF"/>
              </w:rPr>
              <w:t>）及时有效处置重、特大险情，经</w:t>
            </w:r>
            <w:r>
              <w:rPr>
                <w:rFonts w:ascii="仿宋_GB2312" w:hAnsi="仿宋_GB2312" w:cs="仿宋_GB2312" w:eastAsia="仿宋_GB2312"/>
                <w:sz w:val="24"/>
                <w:color w:val="0000FF"/>
              </w:rPr>
              <w:t>招标人</w:t>
            </w:r>
            <w:r>
              <w:rPr>
                <w:rFonts w:ascii="仿宋_GB2312" w:hAnsi="仿宋_GB2312" w:cs="仿宋_GB2312" w:eastAsia="仿宋_GB2312"/>
                <w:sz w:val="24"/>
                <w:color w:val="0000FF"/>
              </w:rPr>
              <w:t>确认的，加</w:t>
            </w:r>
            <w:r>
              <w:rPr>
                <w:rFonts w:ascii="仿宋_GB2312" w:hAnsi="仿宋_GB2312" w:cs="仿宋_GB2312" w:eastAsia="仿宋_GB2312"/>
                <w:sz w:val="24"/>
                <w:color w:val="0000FF"/>
              </w:rPr>
              <w:t>2分。</w:t>
            </w:r>
          </w:p>
          <w:p>
            <w:pPr>
              <w:pStyle w:val="null5"/>
              <w:ind w:firstLine="480"/>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3</w:t>
            </w:r>
            <w:r>
              <w:rPr>
                <w:rFonts w:ascii="仿宋_GB2312" w:hAnsi="仿宋_GB2312" w:cs="仿宋_GB2312" w:eastAsia="仿宋_GB2312"/>
                <w:sz w:val="24"/>
                <w:color w:val="0000FF"/>
              </w:rPr>
              <w:t>）对临时任务或重大活动圆满完成的视情况加</w:t>
            </w:r>
            <w:r>
              <w:rPr>
                <w:rFonts w:ascii="仿宋_GB2312" w:hAnsi="仿宋_GB2312" w:cs="仿宋_GB2312" w:eastAsia="仿宋_GB2312"/>
                <w:sz w:val="24"/>
                <w:color w:val="0000FF"/>
              </w:rPr>
              <w:t>1-5分。</w:t>
            </w:r>
          </w:p>
          <w:tbl>
            <w:tblPr>
              <w:tblInd w:type="dxa" w:w="120"/>
              <w:tblBorders>
                <w:top w:val="none" w:color="000000" w:sz="4"/>
                <w:left w:val="none" w:color="000000" w:sz="4"/>
                <w:bottom w:val="none" w:color="000000" w:sz="4"/>
                <w:right w:val="none" w:color="000000" w:sz="4"/>
                <w:insideH w:val="none"/>
                <w:insideV w:val="none"/>
              </w:tblBorders>
            </w:tblPr>
            <w:tblGrid>
              <w:gridCol w:w="387"/>
              <w:gridCol w:w="464"/>
              <w:gridCol w:w="1139"/>
              <w:gridCol w:w="563"/>
            </w:tblGrid>
            <w:tr>
              <w:tc>
                <w:tcPr>
                  <w:tcW w:type="dxa" w:w="2553"/>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b/>
                      <w:color w:val="0000FF"/>
                    </w:rPr>
                    <w:t>康巴什自然博物馆</w:t>
                  </w:r>
                  <w:r>
                    <w:rPr>
                      <w:rFonts w:ascii="仿宋_GB2312" w:hAnsi="仿宋_GB2312" w:cs="仿宋_GB2312" w:eastAsia="仿宋_GB2312"/>
                      <w:sz w:val="24"/>
                      <w:b/>
                      <w:color w:val="0000FF"/>
                    </w:rPr>
                    <w:t>运营服务采购考核表</w:t>
                  </w: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FF"/>
                    </w:rPr>
                    <w:t>分类</w:t>
                  </w:r>
                </w:p>
              </w:tc>
              <w:tc>
                <w:tcPr>
                  <w:tcW w:type="dxa" w:w="4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FF"/>
                    </w:rPr>
                    <w:t>考评内容</w:t>
                  </w:r>
                </w:p>
              </w:tc>
              <w:tc>
                <w:tcPr>
                  <w:tcW w:type="dxa" w:w="11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FF"/>
                    </w:rPr>
                    <w:t>考评细则</w:t>
                  </w:r>
                </w:p>
              </w:tc>
              <w:tc>
                <w:tcPr>
                  <w:tcW w:type="dxa" w:w="5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FF"/>
                    </w:rPr>
                    <w:t>评分标准</w:t>
                  </w:r>
                </w:p>
              </w:tc>
            </w:tr>
            <w:tr>
              <w:tc>
                <w:tcPr>
                  <w:tcW w:type="dxa" w:w="3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FF"/>
                    </w:rPr>
                    <w:t>综合管理</w:t>
                  </w:r>
                </w:p>
              </w:tc>
              <w:tc>
                <w:tcPr>
                  <w:tcW w:type="dxa" w:w="4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FF"/>
                    </w:rPr>
                    <w:t>安保秩序维护管理服务</w:t>
                  </w: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提供不少于</w:t>
                  </w:r>
                  <w:r>
                    <w:rPr>
                      <w:rFonts w:ascii="仿宋_GB2312" w:hAnsi="仿宋_GB2312" w:cs="仿宋_GB2312" w:eastAsia="仿宋_GB2312"/>
                      <w:sz w:val="24"/>
                      <w:color w:val="0000FF"/>
                    </w:rPr>
                    <w:t>8人的保安服务，（包含到访人员出入登记、安保巡逻、安防监控管理等服务），其中展馆入口至少2人，展厅巡逻至少4人，监控室2人。定期进行检查、维修、更新。</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人员每少一人扣</w:t>
                  </w:r>
                  <w:r>
                    <w:rPr>
                      <w:rFonts w:ascii="仿宋_GB2312" w:hAnsi="仿宋_GB2312" w:cs="仿宋_GB2312" w:eastAsia="仿宋_GB2312"/>
                      <w:sz w:val="24"/>
                      <w:color w:val="0000FF"/>
                    </w:rPr>
                    <w:t>2分；</w:t>
                  </w:r>
                </w:p>
              </w:tc>
            </w:tr>
            <w:tr>
              <w:tc>
                <w:tcPr>
                  <w:tcW w:type="dxa" w:w="387"/>
                  <w:vMerge/>
                  <w:tcBorders>
                    <w:top w:val="none" w:color="000000" w:sz="4"/>
                    <w:left w:val="single" w:color="000000" w:sz="4"/>
                    <w:bottom w:val="single" w:color="000000" w:sz="4"/>
                    <w:right w:val="single" w:color="000000" w:sz="4"/>
                  </w:tcBorders>
                </w:tcPr>
                <w:p/>
              </w:tc>
              <w:tc>
                <w:tcPr>
                  <w:tcW w:type="dxa" w:w="464"/>
                  <w:vMerge/>
                  <w:tcBorders>
                    <w:top w:val="none" w:color="000000" w:sz="4"/>
                    <w:left w:val="single" w:color="000000" w:sz="4"/>
                    <w:bottom w:val="single" w:color="000000" w:sz="4"/>
                    <w:right w:val="single" w:color="000000" w:sz="4"/>
                  </w:tcBorders>
                </w:tcP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实行巡逻值班服务，统一制服，工作规范。</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未按要求完成的每一人次扣</w:t>
                  </w:r>
                  <w:r>
                    <w:rPr>
                      <w:rFonts w:ascii="仿宋_GB2312" w:hAnsi="仿宋_GB2312" w:cs="仿宋_GB2312" w:eastAsia="仿宋_GB2312"/>
                      <w:sz w:val="24"/>
                      <w:color w:val="0000FF"/>
                    </w:rPr>
                    <w:t>1分</w:t>
                  </w:r>
                </w:p>
              </w:tc>
            </w:tr>
            <w:tr>
              <w:tc>
                <w:tcPr>
                  <w:tcW w:type="dxa" w:w="387"/>
                  <w:vMerge/>
                  <w:tcBorders>
                    <w:top w:val="none" w:color="000000" w:sz="4"/>
                    <w:left w:val="single" w:color="000000" w:sz="4"/>
                    <w:bottom w:val="single" w:color="000000" w:sz="4"/>
                    <w:right w:val="single" w:color="000000" w:sz="4"/>
                  </w:tcBorders>
                </w:tcPr>
                <w:p/>
              </w:tc>
              <w:tc>
                <w:tcPr>
                  <w:tcW w:type="dxa" w:w="464"/>
                  <w:vMerge/>
                  <w:tcBorders>
                    <w:top w:val="none" w:color="000000" w:sz="4"/>
                    <w:left w:val="single" w:color="000000" w:sz="4"/>
                    <w:bottom w:val="single" w:color="000000" w:sz="4"/>
                    <w:right w:val="single" w:color="000000" w:sz="4"/>
                  </w:tcBorders>
                </w:tcP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健全消防组织，完善管理制度，有处置各类火灾的应急预案；定期组织消防及防暴演练，消防人员设备操作熟练、规范</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未按要求完成一次扣</w:t>
                  </w:r>
                  <w:r>
                    <w:rPr>
                      <w:rFonts w:ascii="仿宋_GB2312" w:hAnsi="仿宋_GB2312" w:cs="仿宋_GB2312" w:eastAsia="仿宋_GB2312"/>
                      <w:sz w:val="24"/>
                      <w:color w:val="0000FF"/>
                    </w:rPr>
                    <w:t>5分</w:t>
                  </w:r>
                </w:p>
              </w:tc>
            </w:tr>
            <w:tr>
              <w:tc>
                <w:tcPr>
                  <w:tcW w:type="dxa" w:w="387"/>
                  <w:vMerge/>
                  <w:tcBorders>
                    <w:top w:val="none" w:color="000000" w:sz="4"/>
                    <w:left w:val="single" w:color="000000" w:sz="4"/>
                    <w:bottom w:val="single" w:color="000000" w:sz="4"/>
                    <w:right w:val="single" w:color="000000" w:sz="4"/>
                  </w:tcBorders>
                </w:tcPr>
                <w:p/>
              </w:tc>
              <w:tc>
                <w:tcPr>
                  <w:tcW w:type="dxa" w:w="464"/>
                  <w:vMerge/>
                  <w:tcBorders>
                    <w:top w:val="none" w:color="000000" w:sz="4"/>
                    <w:left w:val="single" w:color="000000" w:sz="4"/>
                    <w:bottom w:val="single" w:color="000000" w:sz="4"/>
                    <w:right w:val="single" w:color="000000" w:sz="4"/>
                  </w:tcBorders>
                </w:tcP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自备防暴设施设备</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未按要求配备的一次扣</w:t>
                  </w:r>
                  <w:r>
                    <w:rPr>
                      <w:rFonts w:ascii="仿宋_GB2312" w:hAnsi="仿宋_GB2312" w:cs="仿宋_GB2312" w:eastAsia="仿宋_GB2312"/>
                      <w:sz w:val="24"/>
                      <w:color w:val="0000FF"/>
                    </w:rPr>
                    <w:t>5分</w:t>
                  </w:r>
                </w:p>
              </w:tc>
            </w:tr>
            <w:tr>
              <w:tc>
                <w:tcPr>
                  <w:tcW w:type="dxa" w:w="387"/>
                  <w:vMerge/>
                  <w:tcBorders>
                    <w:top w:val="none" w:color="000000" w:sz="4"/>
                    <w:left w:val="single" w:color="000000" w:sz="4"/>
                    <w:bottom w:val="single" w:color="000000" w:sz="4"/>
                    <w:right w:val="single" w:color="000000" w:sz="4"/>
                  </w:tcBorders>
                </w:tcPr>
                <w:p/>
              </w:tc>
              <w:tc>
                <w:tcPr>
                  <w:tcW w:type="dxa" w:w="4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FF"/>
                    </w:rPr>
                    <w:t>服务费用保障</w:t>
                  </w: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制定运营服务年度计划。并进行卫生清洁用品、维修耗材、应急物资、防暴物资、小型消防器材、防暑防寒物资、急救物资、游客服务物资、节日氛围物资备采</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招标人</w:t>
                  </w:r>
                  <w:r>
                    <w:rPr>
                      <w:rFonts w:ascii="仿宋_GB2312" w:hAnsi="仿宋_GB2312" w:cs="仿宋_GB2312" w:eastAsia="仿宋_GB2312"/>
                      <w:sz w:val="24"/>
                      <w:color w:val="0000FF"/>
                    </w:rPr>
                    <w:t>发现需要整改的，在通知供应商管理人员后</w:t>
                  </w:r>
                  <w:r>
                    <w:rPr>
                      <w:rFonts w:ascii="仿宋_GB2312" w:hAnsi="仿宋_GB2312" w:cs="仿宋_GB2312" w:eastAsia="仿宋_GB2312"/>
                      <w:sz w:val="24"/>
                      <w:color w:val="0000FF"/>
                    </w:rPr>
                    <w:t>5天</w:t>
                  </w:r>
                  <w:r>
                    <w:rPr>
                      <w:rFonts w:ascii="仿宋_GB2312" w:hAnsi="仿宋_GB2312" w:cs="仿宋_GB2312" w:eastAsia="仿宋_GB2312"/>
                      <w:sz w:val="24"/>
                      <w:color w:val="0000FF"/>
                    </w:rPr>
                    <w:t>内未整改的，扣</w:t>
                  </w:r>
                  <w:r>
                    <w:rPr>
                      <w:rFonts w:ascii="仿宋_GB2312" w:hAnsi="仿宋_GB2312" w:cs="仿宋_GB2312" w:eastAsia="仿宋_GB2312"/>
                      <w:sz w:val="24"/>
                      <w:color w:val="0000FF"/>
                    </w:rPr>
                    <w:t>20</w:t>
                  </w:r>
                  <w:r>
                    <w:rPr>
                      <w:rFonts w:ascii="仿宋_GB2312" w:hAnsi="仿宋_GB2312" w:cs="仿宋_GB2312" w:eastAsia="仿宋_GB2312"/>
                      <w:sz w:val="24"/>
                      <w:color w:val="0000FF"/>
                    </w:rPr>
                    <w:t>分</w:t>
                  </w:r>
                </w:p>
              </w:tc>
            </w:tr>
            <w:tr>
              <w:tc>
                <w:tcPr>
                  <w:tcW w:type="dxa" w:w="387"/>
                  <w:vMerge/>
                  <w:tcBorders>
                    <w:top w:val="none" w:color="000000" w:sz="4"/>
                    <w:left w:val="single" w:color="000000" w:sz="4"/>
                    <w:bottom w:val="single" w:color="000000" w:sz="4"/>
                    <w:right w:val="single" w:color="000000" w:sz="4"/>
                  </w:tcBorders>
                </w:tcPr>
                <w:p/>
              </w:tc>
              <w:tc>
                <w:tcPr>
                  <w:tcW w:type="dxa" w:w="464"/>
                  <w:vMerge/>
                  <w:tcBorders>
                    <w:top w:val="none" w:color="000000" w:sz="4"/>
                    <w:left w:val="single" w:color="000000" w:sz="4"/>
                    <w:bottom w:val="single" w:color="000000" w:sz="4"/>
                    <w:right w:val="single" w:color="000000" w:sz="4"/>
                  </w:tcBorders>
                </w:tcP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供应商需提供洗地机、尘推车、维修移动升降平台、户外扫地车等机械设备服务</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未按要求配备的一次扣</w:t>
                  </w:r>
                  <w:r>
                    <w:rPr>
                      <w:rFonts w:ascii="仿宋_GB2312" w:hAnsi="仿宋_GB2312" w:cs="仿宋_GB2312" w:eastAsia="仿宋_GB2312"/>
                      <w:sz w:val="24"/>
                      <w:color w:val="0000FF"/>
                    </w:rPr>
                    <w:t>10分</w:t>
                  </w:r>
                </w:p>
              </w:tc>
            </w:tr>
            <w:tr>
              <w:tc>
                <w:tcPr>
                  <w:tcW w:type="dxa" w:w="387"/>
                  <w:vMerge/>
                  <w:tcBorders>
                    <w:top w:val="none" w:color="000000" w:sz="4"/>
                    <w:left w:val="single" w:color="000000" w:sz="4"/>
                    <w:bottom w:val="single" w:color="000000" w:sz="4"/>
                    <w:right w:val="single" w:color="000000" w:sz="4"/>
                  </w:tcBorders>
                </w:tcPr>
                <w:p/>
              </w:tc>
              <w:tc>
                <w:tcPr>
                  <w:tcW w:type="dxa" w:w="464"/>
                  <w:vMerge/>
                  <w:tcBorders>
                    <w:top w:val="none" w:color="000000" w:sz="4"/>
                    <w:left w:val="single" w:color="000000" w:sz="4"/>
                    <w:bottom w:val="single" w:color="000000" w:sz="4"/>
                    <w:right w:val="single" w:color="000000" w:sz="4"/>
                  </w:tcBorders>
                </w:tcP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供应商需提供办公所需家具、设备、办公用品以及员工工装</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招标人</w:t>
                  </w:r>
                  <w:r>
                    <w:rPr>
                      <w:rFonts w:ascii="仿宋_GB2312" w:hAnsi="仿宋_GB2312" w:cs="仿宋_GB2312" w:eastAsia="仿宋_GB2312"/>
                      <w:sz w:val="24"/>
                      <w:color w:val="0000FF"/>
                    </w:rPr>
                    <w:t>发现需要整改的，在通知供应商管理人员后</w:t>
                  </w:r>
                  <w:r>
                    <w:rPr>
                      <w:rFonts w:ascii="仿宋_GB2312" w:hAnsi="仿宋_GB2312" w:cs="仿宋_GB2312" w:eastAsia="仿宋_GB2312"/>
                      <w:sz w:val="24"/>
                      <w:color w:val="0000FF"/>
                    </w:rPr>
                    <w:t>30天</w:t>
                  </w:r>
                  <w:r>
                    <w:rPr>
                      <w:rFonts w:ascii="仿宋_GB2312" w:hAnsi="仿宋_GB2312" w:cs="仿宋_GB2312" w:eastAsia="仿宋_GB2312"/>
                      <w:sz w:val="24"/>
                      <w:color w:val="0000FF"/>
                    </w:rPr>
                    <w:t>内未整改的，扣</w:t>
                  </w:r>
                  <w:r>
                    <w:rPr>
                      <w:rFonts w:ascii="仿宋_GB2312" w:hAnsi="仿宋_GB2312" w:cs="仿宋_GB2312" w:eastAsia="仿宋_GB2312"/>
                      <w:sz w:val="24"/>
                      <w:color w:val="0000FF"/>
                    </w:rPr>
                    <w:t>5</w:t>
                  </w:r>
                  <w:r>
                    <w:rPr>
                      <w:rFonts w:ascii="仿宋_GB2312" w:hAnsi="仿宋_GB2312" w:cs="仿宋_GB2312" w:eastAsia="仿宋_GB2312"/>
                      <w:sz w:val="24"/>
                      <w:color w:val="0000FF"/>
                    </w:rPr>
                    <w:t>分</w:t>
                  </w:r>
                </w:p>
              </w:tc>
            </w:tr>
            <w:tr>
              <w:tc>
                <w:tcPr>
                  <w:tcW w:type="dxa" w:w="387"/>
                  <w:vMerge/>
                  <w:tcBorders>
                    <w:top w:val="none" w:color="000000" w:sz="4"/>
                    <w:left w:val="single" w:color="000000" w:sz="4"/>
                    <w:bottom w:val="single" w:color="000000" w:sz="4"/>
                    <w:right w:val="single" w:color="000000" w:sz="4"/>
                  </w:tcBorders>
                </w:tcPr>
                <w:p/>
              </w:tc>
              <w:tc>
                <w:tcPr>
                  <w:tcW w:type="dxa" w:w="464"/>
                  <w:vMerge/>
                  <w:tcBorders>
                    <w:top w:val="none" w:color="000000" w:sz="4"/>
                    <w:left w:val="single" w:color="000000" w:sz="4"/>
                    <w:bottom w:val="single" w:color="000000" w:sz="4"/>
                    <w:right w:val="single" w:color="000000" w:sz="4"/>
                  </w:tcBorders>
                </w:tcP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供应商需承担场馆内部的所有能源费用（水费、电费、取暖费、宽带网络使用费用、固定电话费用）</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未按规定时间进行缴纳，造成场馆无法正常运营的一次扣</w:t>
                  </w:r>
                  <w:r>
                    <w:rPr>
                      <w:rFonts w:ascii="仿宋_GB2312" w:hAnsi="仿宋_GB2312" w:cs="仿宋_GB2312" w:eastAsia="仿宋_GB2312"/>
                      <w:sz w:val="24"/>
                      <w:color w:val="0000FF"/>
                    </w:rPr>
                    <w:t>10分</w:t>
                  </w:r>
                </w:p>
              </w:tc>
            </w:tr>
            <w:tr>
              <w:tc>
                <w:tcPr>
                  <w:tcW w:type="dxa" w:w="387"/>
                  <w:vMerge/>
                  <w:tcBorders>
                    <w:top w:val="none" w:color="000000" w:sz="4"/>
                    <w:left w:val="single" w:color="000000" w:sz="4"/>
                    <w:bottom w:val="single" w:color="000000" w:sz="4"/>
                    <w:right w:val="single" w:color="000000" w:sz="4"/>
                  </w:tcBorders>
                </w:tcPr>
                <w:p/>
              </w:tc>
              <w:tc>
                <w:tcPr>
                  <w:tcW w:type="dxa" w:w="464"/>
                  <w:vMerge/>
                  <w:tcBorders>
                    <w:top w:val="none" w:color="000000" w:sz="4"/>
                    <w:left w:val="single" w:color="000000" w:sz="4"/>
                    <w:bottom w:val="single" w:color="000000" w:sz="4"/>
                    <w:right w:val="single" w:color="000000" w:sz="4"/>
                  </w:tcBorders>
                </w:tcP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供应商需自备拍摄、剪辑、宣发等软件及硬件设备（包括但不限于专业拍摄相机、无人机、稳定器、三脚架、反光板、灯光组、收音设备、专业剪辑软件）</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未按要求配备的一次扣</w:t>
                  </w:r>
                  <w:r>
                    <w:rPr>
                      <w:rFonts w:ascii="仿宋_GB2312" w:hAnsi="仿宋_GB2312" w:cs="仿宋_GB2312" w:eastAsia="仿宋_GB2312"/>
                      <w:sz w:val="24"/>
                      <w:color w:val="0000FF"/>
                    </w:rPr>
                    <w:t>1分</w:t>
                  </w:r>
                </w:p>
              </w:tc>
            </w:tr>
            <w:tr>
              <w:tc>
                <w:tcPr>
                  <w:tcW w:type="dxa" w:w="387"/>
                  <w:vMerge/>
                  <w:tcBorders>
                    <w:top w:val="none" w:color="000000" w:sz="4"/>
                    <w:left w:val="single" w:color="000000" w:sz="4"/>
                    <w:bottom w:val="single" w:color="000000" w:sz="4"/>
                    <w:right w:val="single" w:color="000000" w:sz="4"/>
                  </w:tcBorders>
                </w:tcPr>
                <w:p/>
              </w:tc>
              <w:tc>
                <w:tcPr>
                  <w:tcW w:type="dxa" w:w="4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FF"/>
                    </w:rPr>
                    <w:t>标本消杀修复管理</w:t>
                  </w: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每年进行</w:t>
                  </w:r>
                  <w:r>
                    <w:rPr>
                      <w:rFonts w:ascii="仿宋_GB2312" w:hAnsi="仿宋_GB2312" w:cs="仿宋_GB2312" w:eastAsia="仿宋_GB2312"/>
                      <w:sz w:val="24"/>
                      <w:color w:val="0000FF"/>
                    </w:rPr>
                    <w:t>2次标本消杀及修复，确保标本适宜的存储环境，需建立完善的库存管理制度</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招标人</w:t>
                  </w:r>
                  <w:r>
                    <w:rPr>
                      <w:rFonts w:ascii="仿宋_GB2312" w:hAnsi="仿宋_GB2312" w:cs="仿宋_GB2312" w:eastAsia="仿宋_GB2312"/>
                      <w:sz w:val="24"/>
                      <w:color w:val="0000FF"/>
                    </w:rPr>
                    <w:t>发现需要整改的，在通知供应商管理人员后</w:t>
                  </w:r>
                  <w:r>
                    <w:rPr>
                      <w:rFonts w:ascii="仿宋_GB2312" w:hAnsi="仿宋_GB2312" w:cs="仿宋_GB2312" w:eastAsia="仿宋_GB2312"/>
                      <w:sz w:val="24"/>
                      <w:color w:val="0000FF"/>
                    </w:rPr>
                    <w:t>30天</w:t>
                  </w:r>
                  <w:r>
                    <w:rPr>
                      <w:rFonts w:ascii="仿宋_GB2312" w:hAnsi="仿宋_GB2312" w:cs="仿宋_GB2312" w:eastAsia="仿宋_GB2312"/>
                      <w:sz w:val="24"/>
                      <w:color w:val="0000FF"/>
                    </w:rPr>
                    <w:t>内未整改的，扣</w:t>
                  </w:r>
                  <w:r>
                    <w:rPr>
                      <w:rFonts w:ascii="仿宋_GB2312" w:hAnsi="仿宋_GB2312" w:cs="仿宋_GB2312" w:eastAsia="仿宋_GB2312"/>
                      <w:sz w:val="24"/>
                      <w:color w:val="0000FF"/>
                    </w:rPr>
                    <w:t>20</w:t>
                  </w:r>
                  <w:r>
                    <w:rPr>
                      <w:rFonts w:ascii="仿宋_GB2312" w:hAnsi="仿宋_GB2312" w:cs="仿宋_GB2312" w:eastAsia="仿宋_GB2312"/>
                      <w:sz w:val="24"/>
                      <w:color w:val="0000FF"/>
                    </w:rPr>
                    <w:t>分</w:t>
                  </w:r>
                </w:p>
              </w:tc>
            </w:tr>
            <w:tr>
              <w:tc>
                <w:tcPr>
                  <w:tcW w:type="dxa" w:w="387"/>
                  <w:vMerge/>
                  <w:tcBorders>
                    <w:top w:val="none" w:color="000000" w:sz="4"/>
                    <w:left w:val="single" w:color="000000" w:sz="4"/>
                    <w:bottom w:val="single" w:color="000000" w:sz="4"/>
                    <w:right w:val="single" w:color="000000" w:sz="4"/>
                  </w:tcBorders>
                </w:tcPr>
                <w:p/>
              </w:tc>
              <w:tc>
                <w:tcPr>
                  <w:tcW w:type="dxa" w:w="464"/>
                  <w:vMerge/>
                  <w:tcBorders>
                    <w:top w:val="none" w:color="000000" w:sz="4"/>
                    <w:left w:val="single" w:color="000000" w:sz="4"/>
                    <w:bottom w:val="single" w:color="000000" w:sz="4"/>
                    <w:right w:val="single" w:color="000000" w:sz="4"/>
                  </w:tcBorders>
                </w:tcP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配备</w:t>
                  </w:r>
                  <w:r>
                    <w:rPr>
                      <w:rFonts w:ascii="仿宋_GB2312" w:hAnsi="仿宋_GB2312" w:cs="仿宋_GB2312" w:eastAsia="仿宋_GB2312"/>
                      <w:sz w:val="24"/>
                      <w:color w:val="0000FF"/>
                    </w:rPr>
                    <w:t>2名以上专业人员严格进行标本修复消杀管理</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每少一名专业人员</w:t>
                  </w:r>
                  <w:r>
                    <w:rPr>
                      <w:rFonts w:ascii="仿宋_GB2312" w:hAnsi="仿宋_GB2312" w:cs="仿宋_GB2312" w:eastAsia="仿宋_GB2312"/>
                      <w:sz w:val="24"/>
                      <w:color w:val="0000FF"/>
                    </w:rPr>
                    <w:t>扣</w:t>
                  </w:r>
                  <w:r>
                    <w:rPr>
                      <w:rFonts w:ascii="仿宋_GB2312" w:hAnsi="仿宋_GB2312" w:cs="仿宋_GB2312" w:eastAsia="仿宋_GB2312"/>
                      <w:sz w:val="24"/>
                      <w:color w:val="0000FF"/>
                    </w:rPr>
                    <w:t>2</w:t>
                  </w:r>
                  <w:r>
                    <w:rPr>
                      <w:rFonts w:ascii="仿宋_GB2312" w:hAnsi="仿宋_GB2312" w:cs="仿宋_GB2312" w:eastAsia="仿宋_GB2312"/>
                      <w:sz w:val="24"/>
                      <w:color w:val="0000FF"/>
                    </w:rPr>
                    <w:t>0</w:t>
                  </w:r>
                  <w:r>
                    <w:rPr>
                      <w:rFonts w:ascii="仿宋_GB2312" w:hAnsi="仿宋_GB2312" w:cs="仿宋_GB2312" w:eastAsia="仿宋_GB2312"/>
                      <w:sz w:val="24"/>
                      <w:color w:val="0000FF"/>
                    </w:rPr>
                    <w:t>分</w:t>
                  </w:r>
                </w:p>
              </w:tc>
            </w:tr>
            <w:tr>
              <w:tc>
                <w:tcPr>
                  <w:tcW w:type="dxa" w:w="387"/>
                  <w:vMerge/>
                  <w:tcBorders>
                    <w:top w:val="non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FF"/>
                    </w:rPr>
                    <w:t>场馆开放</w:t>
                  </w: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场馆全年实行免费开放，每周一进行闭馆维护，不对外开放</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未按时开放的，一次扣</w:t>
                  </w:r>
                  <w:r>
                    <w:rPr>
                      <w:rFonts w:ascii="仿宋_GB2312" w:hAnsi="仿宋_GB2312" w:cs="仿宋_GB2312" w:eastAsia="仿宋_GB2312"/>
                      <w:sz w:val="24"/>
                      <w:color w:val="0000FF"/>
                    </w:rPr>
                    <w:t>1分</w:t>
                  </w:r>
                </w:p>
              </w:tc>
            </w:tr>
            <w:tr>
              <w:tc>
                <w:tcPr>
                  <w:tcW w:type="dxa" w:w="387"/>
                  <w:vMerge/>
                  <w:tcBorders>
                    <w:top w:val="none" w:color="000000" w:sz="4"/>
                    <w:left w:val="single" w:color="000000" w:sz="4"/>
                    <w:bottom w:val="single" w:color="000000" w:sz="4"/>
                    <w:right w:val="single" w:color="000000" w:sz="4"/>
                  </w:tcBorders>
                </w:tcPr>
                <w:p/>
              </w:tc>
              <w:tc>
                <w:tcPr>
                  <w:tcW w:type="dxa" w:w="4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FF"/>
                    </w:rPr>
                    <w:t>应急管理</w:t>
                  </w: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供应商拟派本项目人员中应持有有效的《红十字救护员》证书或其它能证明具有相关现场救护能力的证书人员不少于</w:t>
                  </w:r>
                  <w:r>
                    <w:rPr>
                      <w:rFonts w:ascii="仿宋_GB2312" w:hAnsi="仿宋_GB2312" w:cs="仿宋_GB2312" w:eastAsia="仿宋_GB2312"/>
                      <w:sz w:val="24"/>
                      <w:color w:val="0000FF"/>
                    </w:rPr>
                    <w:t>2</w:t>
                  </w:r>
                  <w:r>
                    <w:rPr>
                      <w:rFonts w:ascii="仿宋_GB2312" w:hAnsi="仿宋_GB2312" w:cs="仿宋_GB2312" w:eastAsia="仿宋_GB2312"/>
                      <w:sz w:val="24"/>
                      <w:color w:val="0000FF"/>
                    </w:rPr>
                    <w:t>人</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每少一人扣</w:t>
                  </w:r>
                  <w:r>
                    <w:rPr>
                      <w:rFonts w:ascii="仿宋_GB2312" w:hAnsi="仿宋_GB2312" w:cs="仿宋_GB2312" w:eastAsia="仿宋_GB2312"/>
                      <w:sz w:val="24"/>
                      <w:color w:val="0000FF"/>
                    </w:rPr>
                    <w:t>5分</w:t>
                  </w:r>
                </w:p>
              </w:tc>
            </w:tr>
            <w:tr>
              <w:tc>
                <w:tcPr>
                  <w:tcW w:type="dxa" w:w="387"/>
                  <w:vMerge/>
                  <w:tcBorders>
                    <w:top w:val="none" w:color="000000" w:sz="4"/>
                    <w:left w:val="single" w:color="000000" w:sz="4"/>
                    <w:bottom w:val="single" w:color="000000" w:sz="4"/>
                    <w:right w:val="single" w:color="000000" w:sz="4"/>
                  </w:tcBorders>
                </w:tcPr>
                <w:p/>
              </w:tc>
              <w:tc>
                <w:tcPr>
                  <w:tcW w:type="dxa" w:w="464"/>
                  <w:vMerge/>
                  <w:tcBorders>
                    <w:top w:val="none" w:color="000000" w:sz="4"/>
                    <w:left w:val="single" w:color="000000" w:sz="4"/>
                    <w:bottom w:val="single" w:color="000000" w:sz="4"/>
                    <w:right w:val="single" w:color="000000" w:sz="4"/>
                  </w:tcBorders>
                </w:tcP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制定消防、自然灾害及节假日相关应急预案</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招标人</w:t>
                  </w:r>
                  <w:r>
                    <w:rPr>
                      <w:rFonts w:ascii="仿宋_GB2312" w:hAnsi="仿宋_GB2312" w:cs="仿宋_GB2312" w:eastAsia="仿宋_GB2312"/>
                      <w:sz w:val="24"/>
                      <w:color w:val="0000FF"/>
                    </w:rPr>
                    <w:t>发现需要整改的，在通知供应商管理人员后</w:t>
                  </w:r>
                  <w:r>
                    <w:rPr>
                      <w:rFonts w:ascii="仿宋_GB2312" w:hAnsi="仿宋_GB2312" w:cs="仿宋_GB2312" w:eastAsia="仿宋_GB2312"/>
                      <w:sz w:val="24"/>
                      <w:color w:val="0000FF"/>
                    </w:rPr>
                    <w:t>3天</w:t>
                  </w:r>
                  <w:r>
                    <w:rPr>
                      <w:rFonts w:ascii="仿宋_GB2312" w:hAnsi="仿宋_GB2312" w:cs="仿宋_GB2312" w:eastAsia="仿宋_GB2312"/>
                      <w:sz w:val="24"/>
                      <w:color w:val="0000FF"/>
                    </w:rPr>
                    <w:t>内未整改的，扣</w:t>
                  </w:r>
                  <w:r>
                    <w:rPr>
                      <w:rFonts w:ascii="仿宋_GB2312" w:hAnsi="仿宋_GB2312" w:cs="仿宋_GB2312" w:eastAsia="仿宋_GB2312"/>
                      <w:sz w:val="24"/>
                      <w:color w:val="0000FF"/>
                    </w:rPr>
                    <w:t>2</w:t>
                  </w:r>
                  <w:r>
                    <w:rPr>
                      <w:rFonts w:ascii="仿宋_GB2312" w:hAnsi="仿宋_GB2312" w:cs="仿宋_GB2312" w:eastAsia="仿宋_GB2312"/>
                      <w:sz w:val="24"/>
                      <w:color w:val="0000FF"/>
                    </w:rPr>
                    <w:t>分</w:t>
                  </w:r>
                </w:p>
              </w:tc>
            </w:tr>
            <w:tr>
              <w:tc>
                <w:tcPr>
                  <w:tcW w:type="dxa" w:w="387"/>
                  <w:vMerge/>
                  <w:tcBorders>
                    <w:top w:val="non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FF"/>
                    </w:rPr>
                    <w:t>人员管理</w:t>
                  </w: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供应商提供承诺函承诺本项目服务人员薪资不得低于</w:t>
                  </w:r>
                  <w:r>
                    <w:rPr>
                      <w:rFonts w:ascii="仿宋_GB2312" w:hAnsi="仿宋_GB2312" w:cs="仿宋_GB2312" w:eastAsia="仿宋_GB2312"/>
                      <w:sz w:val="24"/>
                      <w:color w:val="0000FF"/>
                    </w:rPr>
                    <w:t>鄂尔多斯</w:t>
                  </w:r>
                  <w:r>
                    <w:rPr>
                      <w:rFonts w:ascii="仿宋_GB2312" w:hAnsi="仿宋_GB2312" w:cs="仿宋_GB2312" w:eastAsia="仿宋_GB2312"/>
                      <w:sz w:val="24"/>
                      <w:color w:val="0000FF"/>
                    </w:rPr>
                    <w:t>市最低薪酬标准并提供拟派岗位人员配置情况（格式自拟）。在职期间为其购买劳动法规定的各项保险，其人员薪酬标准、劳保、福利应执行国家和地方政府的相关法律、法规和部门规章。成交供应商对其管理服务人员的疾病和人身安全等负责，</w:t>
                  </w:r>
                  <w:r>
                    <w:rPr>
                      <w:rFonts w:ascii="仿宋_GB2312" w:hAnsi="仿宋_GB2312" w:cs="仿宋_GB2312" w:eastAsia="仿宋_GB2312"/>
                      <w:sz w:val="24"/>
                      <w:color w:val="0000FF"/>
                    </w:rPr>
                    <w:t>招标人</w:t>
                  </w:r>
                  <w:r>
                    <w:rPr>
                      <w:rFonts w:ascii="仿宋_GB2312" w:hAnsi="仿宋_GB2312" w:cs="仿宋_GB2312" w:eastAsia="仿宋_GB2312"/>
                      <w:sz w:val="24"/>
                      <w:color w:val="0000FF"/>
                    </w:rPr>
                    <w:t>对此不承担任何责任和义务</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招标人</w:t>
                  </w:r>
                  <w:r>
                    <w:rPr>
                      <w:rFonts w:ascii="仿宋_GB2312" w:hAnsi="仿宋_GB2312" w:cs="仿宋_GB2312" w:eastAsia="仿宋_GB2312"/>
                      <w:sz w:val="24"/>
                      <w:color w:val="0000FF"/>
                    </w:rPr>
                    <w:t>发现需要整改的，在通知供应商管理人员后</w:t>
                  </w:r>
                  <w:r>
                    <w:rPr>
                      <w:rFonts w:ascii="仿宋_GB2312" w:hAnsi="仿宋_GB2312" w:cs="仿宋_GB2312" w:eastAsia="仿宋_GB2312"/>
                      <w:sz w:val="24"/>
                      <w:color w:val="0000FF"/>
                    </w:rPr>
                    <w:t>30天</w:t>
                  </w:r>
                  <w:r>
                    <w:rPr>
                      <w:rFonts w:ascii="仿宋_GB2312" w:hAnsi="仿宋_GB2312" w:cs="仿宋_GB2312" w:eastAsia="仿宋_GB2312"/>
                      <w:sz w:val="24"/>
                      <w:color w:val="0000FF"/>
                    </w:rPr>
                    <w:t>内未整改的，扣</w:t>
                  </w:r>
                  <w:r>
                    <w:rPr>
                      <w:rFonts w:ascii="仿宋_GB2312" w:hAnsi="仿宋_GB2312" w:cs="仿宋_GB2312" w:eastAsia="仿宋_GB2312"/>
                      <w:sz w:val="24"/>
                      <w:color w:val="0000FF"/>
                    </w:rPr>
                    <w:t>2</w:t>
                  </w:r>
                  <w:r>
                    <w:rPr>
                      <w:rFonts w:ascii="仿宋_GB2312" w:hAnsi="仿宋_GB2312" w:cs="仿宋_GB2312" w:eastAsia="仿宋_GB2312"/>
                      <w:sz w:val="24"/>
                      <w:color w:val="0000FF"/>
                    </w:rPr>
                    <w:t>分</w:t>
                  </w:r>
                </w:p>
              </w:tc>
            </w:tr>
            <w:tr>
              <w:tc>
                <w:tcPr>
                  <w:tcW w:type="dxa" w:w="3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FF"/>
                    </w:rPr>
                    <w:t>接待讲解</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FF"/>
                    </w:rPr>
                    <w:t>会议服务</w:t>
                  </w: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进行会议服务工作，积极协助布置</w:t>
                  </w:r>
                  <w:r>
                    <w:rPr>
                      <w:rFonts w:ascii="仿宋_GB2312" w:hAnsi="仿宋_GB2312" w:cs="仿宋_GB2312" w:eastAsia="仿宋_GB2312"/>
                      <w:sz w:val="24"/>
                      <w:color w:val="0000FF"/>
                    </w:rPr>
                    <w:t>会议场地，</w:t>
                  </w:r>
                  <w:r>
                    <w:rPr>
                      <w:rFonts w:ascii="仿宋_GB2312" w:hAnsi="仿宋_GB2312" w:cs="仿宋_GB2312" w:eastAsia="仿宋_GB2312"/>
                      <w:sz w:val="24"/>
                      <w:color w:val="0000FF"/>
                    </w:rPr>
                    <w:t>准备会务设施设备及物品</w:t>
                  </w:r>
                  <w:r>
                    <w:rPr>
                      <w:rFonts w:ascii="仿宋_GB2312" w:hAnsi="仿宋_GB2312" w:cs="仿宋_GB2312" w:eastAsia="仿宋_GB2312"/>
                      <w:sz w:val="24"/>
                      <w:color w:val="0000FF"/>
                    </w:rPr>
                    <w:t>，</w:t>
                  </w:r>
                  <w:r>
                    <w:rPr>
                      <w:rFonts w:ascii="仿宋_GB2312" w:hAnsi="仿宋_GB2312" w:cs="仿宋_GB2312" w:eastAsia="仿宋_GB2312"/>
                      <w:sz w:val="24"/>
                      <w:color w:val="0000FF"/>
                    </w:rPr>
                    <w:t>会后做好清理工作</w:t>
                  </w:r>
                  <w:r>
                    <w:rPr>
                      <w:rFonts w:ascii="仿宋_GB2312" w:hAnsi="仿宋_GB2312" w:cs="仿宋_GB2312" w:eastAsia="仿宋_GB2312"/>
                      <w:sz w:val="24"/>
                      <w:color w:val="0000FF"/>
                    </w:rPr>
                    <w:t>，</w:t>
                  </w:r>
                  <w:r>
                    <w:rPr>
                      <w:rFonts w:ascii="仿宋_GB2312" w:hAnsi="仿宋_GB2312" w:cs="仿宋_GB2312" w:eastAsia="仿宋_GB2312"/>
                      <w:sz w:val="24"/>
                      <w:color w:val="0000FF"/>
                    </w:rPr>
                    <w:t>桌椅摆放有序，保持洁净</w:t>
                  </w:r>
                  <w:r>
                    <w:rPr>
                      <w:rFonts w:ascii="仿宋_GB2312" w:hAnsi="仿宋_GB2312" w:cs="仿宋_GB2312" w:eastAsia="仿宋_GB2312"/>
                      <w:sz w:val="24"/>
                      <w:color w:val="0000FF"/>
                    </w:rPr>
                    <w:t>。（</w:t>
                  </w:r>
                  <w:r>
                    <w:rPr>
                      <w:rFonts w:ascii="仿宋_GB2312" w:hAnsi="仿宋_GB2312" w:cs="仿宋_GB2312" w:eastAsia="仿宋_GB2312"/>
                      <w:sz w:val="24"/>
                      <w:color w:val="0000FF"/>
                    </w:rPr>
                    <w:t>招标人举办超过</w:t>
                  </w:r>
                  <w:r>
                    <w:rPr>
                      <w:rFonts w:ascii="仿宋_GB2312" w:hAnsi="仿宋_GB2312" w:cs="仿宋_GB2312" w:eastAsia="仿宋_GB2312"/>
                      <w:sz w:val="24"/>
                      <w:color w:val="0000FF"/>
                    </w:rPr>
                    <w:t>50人以上大型会议布展会务服务及保洁不包含在内</w:t>
                  </w:r>
                  <w:r>
                    <w:rPr>
                      <w:rFonts w:ascii="仿宋_GB2312" w:hAnsi="仿宋_GB2312" w:cs="仿宋_GB2312" w:eastAsia="仿宋_GB2312"/>
                      <w:sz w:val="24"/>
                      <w:color w:val="0000FF"/>
                    </w:rPr>
                    <w:t>）</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未按要求完成一次视情节扣</w:t>
                  </w:r>
                  <w:r>
                    <w:rPr>
                      <w:rFonts w:ascii="仿宋_GB2312" w:hAnsi="仿宋_GB2312" w:cs="仿宋_GB2312" w:eastAsia="仿宋_GB2312"/>
                      <w:sz w:val="24"/>
                      <w:color w:val="0000FF"/>
                    </w:rPr>
                    <w:t>1-2分</w:t>
                  </w:r>
                </w:p>
              </w:tc>
            </w:tr>
            <w:tr>
              <w:tc>
                <w:tcPr>
                  <w:tcW w:type="dxa" w:w="387"/>
                  <w:vMerge/>
                  <w:tcBorders>
                    <w:top w:val="none" w:color="000000" w:sz="4"/>
                    <w:left w:val="single" w:color="000000" w:sz="4"/>
                    <w:bottom w:val="single" w:color="000000" w:sz="4"/>
                    <w:right w:val="single" w:color="000000" w:sz="4"/>
                  </w:tcBorders>
                </w:tcPr>
                <w:p/>
              </w:tc>
              <w:tc>
                <w:tcPr>
                  <w:tcW w:type="dxa" w:w="4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FF"/>
                    </w:rPr>
                    <w:t>接待讲解服务</w:t>
                  </w: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提供不少于</w:t>
                  </w:r>
                  <w:r>
                    <w:rPr>
                      <w:rFonts w:ascii="仿宋_GB2312" w:hAnsi="仿宋_GB2312" w:cs="仿宋_GB2312" w:eastAsia="仿宋_GB2312"/>
                      <w:sz w:val="24"/>
                      <w:color w:val="0000FF"/>
                    </w:rPr>
                    <w:t>12人的讲解服务，</w:t>
                  </w:r>
                  <w:r>
                    <w:rPr>
                      <w:rFonts w:ascii="仿宋_GB2312" w:hAnsi="仿宋_GB2312" w:cs="仿宋_GB2312" w:eastAsia="仿宋_GB2312"/>
                      <w:sz w:val="24"/>
                      <w:color w:val="0000FF"/>
                    </w:rPr>
                    <w:t>负责完成</w:t>
                  </w:r>
                  <w:r>
                    <w:rPr>
                      <w:rFonts w:ascii="仿宋_GB2312" w:hAnsi="仿宋_GB2312" w:cs="仿宋_GB2312" w:eastAsia="仿宋_GB2312"/>
                      <w:sz w:val="24"/>
                      <w:color w:val="0000FF"/>
                    </w:rPr>
                    <w:t>康巴什自然博物馆</w:t>
                  </w:r>
                  <w:r>
                    <w:rPr>
                      <w:rFonts w:ascii="仿宋_GB2312" w:hAnsi="仿宋_GB2312" w:cs="仿宋_GB2312" w:eastAsia="仿宋_GB2312"/>
                      <w:sz w:val="24"/>
                      <w:color w:val="0000FF"/>
                    </w:rPr>
                    <w:t>的讲解接待、接听预约咨询电话、解答群众咨询问题、维持活动秩序、活动策划、开展宣讲及巡展活动，协助完成</w:t>
                  </w:r>
                  <w:r>
                    <w:rPr>
                      <w:rFonts w:ascii="仿宋_GB2312" w:hAnsi="仿宋_GB2312" w:cs="仿宋_GB2312" w:eastAsia="仿宋_GB2312"/>
                      <w:sz w:val="24"/>
                      <w:color w:val="0000FF"/>
                    </w:rPr>
                    <w:t>康巴什自然博物馆</w:t>
                  </w:r>
                  <w:r>
                    <w:rPr>
                      <w:rFonts w:ascii="仿宋_GB2312" w:hAnsi="仿宋_GB2312" w:cs="仿宋_GB2312" w:eastAsia="仿宋_GB2312"/>
                      <w:sz w:val="24"/>
                      <w:color w:val="0000FF"/>
                    </w:rPr>
                    <w:t>管理部门其他相关工作</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每少一人扣</w:t>
                  </w:r>
                  <w:r>
                    <w:rPr>
                      <w:rFonts w:ascii="仿宋_GB2312" w:hAnsi="仿宋_GB2312" w:cs="仿宋_GB2312" w:eastAsia="仿宋_GB2312"/>
                      <w:sz w:val="24"/>
                      <w:color w:val="0000FF"/>
                    </w:rPr>
                    <w:t>1分</w:t>
                  </w:r>
                </w:p>
              </w:tc>
            </w:tr>
            <w:tr>
              <w:tc>
                <w:tcPr>
                  <w:tcW w:type="dxa" w:w="387"/>
                  <w:vMerge/>
                  <w:tcBorders>
                    <w:top w:val="none" w:color="000000" w:sz="4"/>
                    <w:left w:val="single" w:color="000000" w:sz="4"/>
                    <w:bottom w:val="single" w:color="000000" w:sz="4"/>
                    <w:right w:val="single" w:color="000000" w:sz="4"/>
                  </w:tcBorders>
                </w:tcPr>
                <w:p/>
              </w:tc>
              <w:tc>
                <w:tcPr>
                  <w:tcW w:type="dxa" w:w="464"/>
                  <w:vMerge/>
                  <w:tcBorders>
                    <w:top w:val="none" w:color="000000" w:sz="4"/>
                    <w:left w:val="single" w:color="000000" w:sz="4"/>
                    <w:bottom w:val="single" w:color="000000" w:sz="4"/>
                    <w:right w:val="single" w:color="000000" w:sz="4"/>
                  </w:tcBorders>
                </w:tcP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要求配备至少</w:t>
                  </w:r>
                  <w:r>
                    <w:rPr>
                      <w:rFonts w:ascii="仿宋_GB2312" w:hAnsi="仿宋_GB2312" w:cs="仿宋_GB2312" w:eastAsia="仿宋_GB2312"/>
                      <w:sz w:val="24"/>
                      <w:color w:val="0000FF"/>
                    </w:rPr>
                    <w:t>2名英文讲解，1名蒙语讲解。可为外宾提供讲解引导服务。</w:t>
                  </w:r>
                  <w:r>
                    <w:rPr>
                      <w:rFonts w:ascii="仿宋_GB2312" w:hAnsi="仿宋_GB2312" w:cs="仿宋_GB2312" w:eastAsia="仿宋_GB2312"/>
                      <w:sz w:val="24"/>
                      <w:color w:val="0000FF"/>
                    </w:rPr>
                    <w:t>（需提供人员资料及毕业证书）</w:t>
                  </w:r>
                </w:p>
                <w:p>
                  <w:pPr>
                    <w:pStyle w:val="null5"/>
                    <w:jc w:val="both"/>
                  </w:pP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每少一人扣</w:t>
                  </w:r>
                  <w:r>
                    <w:rPr>
                      <w:rFonts w:ascii="仿宋_GB2312" w:hAnsi="仿宋_GB2312" w:cs="仿宋_GB2312" w:eastAsia="仿宋_GB2312"/>
                      <w:sz w:val="24"/>
                      <w:color w:val="0000FF"/>
                    </w:rPr>
                    <w:t>5分</w:t>
                  </w:r>
                </w:p>
              </w:tc>
            </w:tr>
            <w:tr>
              <w:tc>
                <w:tcPr>
                  <w:tcW w:type="dxa" w:w="3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FF"/>
                    </w:rPr>
                    <w:t>环境卫生</w:t>
                  </w:r>
                </w:p>
              </w:tc>
              <w:tc>
                <w:tcPr>
                  <w:tcW w:type="dxa" w:w="4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FF"/>
                    </w:rPr>
                    <w:t>环境卫生管理服务</w:t>
                  </w: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提供不少于</w:t>
                  </w:r>
                  <w:r>
                    <w:rPr>
                      <w:rFonts w:ascii="仿宋_GB2312" w:hAnsi="仿宋_GB2312" w:cs="仿宋_GB2312" w:eastAsia="仿宋_GB2312"/>
                      <w:sz w:val="24"/>
                      <w:color w:val="0000FF"/>
                    </w:rPr>
                    <w:t>8人的保洁服务，做到服务区域无脏乱现象和不洁死角。公共部位（卫生间、电梯厅、楼梯、走廊、大厅、外场等）定期清扫擦拭、消杀、无尘土、污迹、烟头、纸屑、垃圾、异味、蚊蝇；展厅、会议室定期清扫擦拭，做到地面、墙壁、门窗及家具用具无尘土、污物，洁净明亮</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保洁人员每少一人扣</w:t>
                  </w:r>
                  <w:r>
                    <w:rPr>
                      <w:rFonts w:ascii="仿宋_GB2312" w:hAnsi="仿宋_GB2312" w:cs="仿宋_GB2312" w:eastAsia="仿宋_GB2312"/>
                      <w:sz w:val="24"/>
                      <w:color w:val="0000FF"/>
                    </w:rPr>
                    <w:t>1分；</w:t>
                  </w:r>
                  <w:r>
                    <w:rPr>
                      <w:rFonts w:ascii="仿宋_GB2312" w:hAnsi="仿宋_GB2312" w:cs="仿宋_GB2312" w:eastAsia="仿宋_GB2312"/>
                      <w:sz w:val="24"/>
                      <w:color w:val="0000FF"/>
                    </w:rPr>
                    <w:t>招标人</w:t>
                  </w:r>
                  <w:r>
                    <w:rPr>
                      <w:rFonts w:ascii="仿宋_GB2312" w:hAnsi="仿宋_GB2312" w:cs="仿宋_GB2312" w:eastAsia="仿宋_GB2312"/>
                      <w:sz w:val="24"/>
                      <w:color w:val="0000FF"/>
                    </w:rPr>
                    <w:t>发现需要整改的，在通知供应商管理人员后</w:t>
                  </w:r>
                  <w:r>
                    <w:rPr>
                      <w:rFonts w:ascii="仿宋_GB2312" w:hAnsi="仿宋_GB2312" w:cs="仿宋_GB2312" w:eastAsia="仿宋_GB2312"/>
                      <w:sz w:val="24"/>
                      <w:color w:val="0000FF"/>
                    </w:rPr>
                    <w:t>6小时</w:t>
                  </w:r>
                  <w:r>
                    <w:rPr>
                      <w:rFonts w:ascii="仿宋_GB2312" w:hAnsi="仿宋_GB2312" w:cs="仿宋_GB2312" w:eastAsia="仿宋_GB2312"/>
                      <w:sz w:val="24"/>
                      <w:color w:val="0000FF"/>
                    </w:rPr>
                    <w:t>内未整改的，扣</w:t>
                  </w:r>
                  <w:r>
                    <w:rPr>
                      <w:rFonts w:ascii="仿宋_GB2312" w:hAnsi="仿宋_GB2312" w:cs="仿宋_GB2312" w:eastAsia="仿宋_GB2312"/>
                      <w:sz w:val="24"/>
                      <w:color w:val="0000FF"/>
                    </w:rPr>
                    <w:t>1分</w:t>
                  </w:r>
                </w:p>
              </w:tc>
            </w:tr>
            <w:tr>
              <w:tc>
                <w:tcPr>
                  <w:tcW w:type="dxa" w:w="387"/>
                  <w:vMerge/>
                  <w:tcBorders>
                    <w:top w:val="none" w:color="000000" w:sz="4"/>
                    <w:left w:val="single" w:color="000000" w:sz="4"/>
                    <w:bottom w:val="single" w:color="000000" w:sz="4"/>
                    <w:right w:val="single" w:color="000000" w:sz="4"/>
                  </w:tcBorders>
                </w:tcPr>
                <w:p/>
              </w:tc>
              <w:tc>
                <w:tcPr>
                  <w:tcW w:type="dxa" w:w="464"/>
                  <w:vMerge/>
                  <w:tcBorders>
                    <w:top w:val="none" w:color="000000" w:sz="4"/>
                    <w:left w:val="single" w:color="000000" w:sz="4"/>
                    <w:bottom w:val="single" w:color="000000" w:sz="4"/>
                    <w:right w:val="single" w:color="000000" w:sz="4"/>
                  </w:tcBorders>
                </w:tcP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保持广场、绿化带、花池沿等干净整洁无污迹、烟头、纸屑、垃圾</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招标人</w:t>
                  </w:r>
                  <w:r>
                    <w:rPr>
                      <w:rFonts w:ascii="仿宋_GB2312" w:hAnsi="仿宋_GB2312" w:cs="仿宋_GB2312" w:eastAsia="仿宋_GB2312"/>
                      <w:sz w:val="24"/>
                      <w:color w:val="0000FF"/>
                    </w:rPr>
                    <w:t>发现需要整改，在通知供应商管理人员后</w:t>
                  </w:r>
                  <w:r>
                    <w:rPr>
                      <w:rFonts w:ascii="仿宋_GB2312" w:hAnsi="仿宋_GB2312" w:cs="仿宋_GB2312" w:eastAsia="仿宋_GB2312"/>
                      <w:sz w:val="24"/>
                      <w:color w:val="0000FF"/>
                    </w:rPr>
                    <w:t>6小时</w:t>
                  </w:r>
                  <w:r>
                    <w:rPr>
                      <w:rFonts w:ascii="仿宋_GB2312" w:hAnsi="仿宋_GB2312" w:cs="仿宋_GB2312" w:eastAsia="仿宋_GB2312"/>
                      <w:sz w:val="24"/>
                      <w:color w:val="0000FF"/>
                    </w:rPr>
                    <w:t>内未整改的，扣</w:t>
                  </w:r>
                  <w:r>
                    <w:rPr>
                      <w:rFonts w:ascii="仿宋_GB2312" w:hAnsi="仿宋_GB2312" w:cs="仿宋_GB2312" w:eastAsia="仿宋_GB2312"/>
                      <w:sz w:val="24"/>
                      <w:color w:val="0000FF"/>
                    </w:rPr>
                    <w:t>1分</w:t>
                  </w:r>
                </w:p>
              </w:tc>
            </w:tr>
            <w:tr>
              <w:tc>
                <w:tcPr>
                  <w:tcW w:type="dxa" w:w="387"/>
                  <w:vMerge/>
                  <w:tcBorders>
                    <w:top w:val="none" w:color="000000" w:sz="4"/>
                    <w:left w:val="single" w:color="000000" w:sz="4"/>
                    <w:bottom w:val="single" w:color="000000" w:sz="4"/>
                    <w:right w:val="single" w:color="000000" w:sz="4"/>
                  </w:tcBorders>
                </w:tcPr>
                <w:p/>
              </w:tc>
              <w:tc>
                <w:tcPr>
                  <w:tcW w:type="dxa" w:w="464"/>
                  <w:vMerge/>
                  <w:tcBorders>
                    <w:top w:val="none" w:color="000000" w:sz="4"/>
                    <w:left w:val="single" w:color="000000" w:sz="4"/>
                    <w:bottom w:val="single" w:color="000000" w:sz="4"/>
                    <w:right w:val="single" w:color="000000" w:sz="4"/>
                  </w:tcBorders>
                </w:tcP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垃圾的收集及清运。临展布展施工、建筑与专业维护维修保养产生的垃圾收集清运与场地保洁不包括在内</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发现一次未按时清扫或清运的扣</w:t>
                  </w:r>
                  <w:r>
                    <w:rPr>
                      <w:rFonts w:ascii="仿宋_GB2312" w:hAnsi="仿宋_GB2312" w:cs="仿宋_GB2312" w:eastAsia="仿宋_GB2312"/>
                      <w:sz w:val="24"/>
                      <w:color w:val="0000FF"/>
                    </w:rPr>
                    <w:t>2分</w:t>
                  </w:r>
                </w:p>
              </w:tc>
            </w:tr>
            <w:tr>
              <w:tc>
                <w:tcPr>
                  <w:tcW w:type="dxa" w:w="387"/>
                  <w:vMerge/>
                  <w:tcBorders>
                    <w:top w:val="none" w:color="000000" w:sz="4"/>
                    <w:left w:val="single" w:color="000000" w:sz="4"/>
                    <w:bottom w:val="single" w:color="000000" w:sz="4"/>
                    <w:right w:val="single" w:color="000000" w:sz="4"/>
                  </w:tcBorders>
                </w:tcPr>
                <w:p/>
              </w:tc>
              <w:tc>
                <w:tcPr>
                  <w:tcW w:type="dxa" w:w="464"/>
                  <w:vMerge/>
                  <w:tcBorders>
                    <w:top w:val="none" w:color="000000" w:sz="4"/>
                    <w:left w:val="single" w:color="000000" w:sz="4"/>
                    <w:bottom w:val="single" w:color="000000" w:sz="4"/>
                    <w:right w:val="single" w:color="000000" w:sz="4"/>
                  </w:tcBorders>
                </w:tcP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自备清洁用品用具（含耗材）。自备保洁所需洗地机、尘推车等机械设备。</w:t>
                  </w:r>
                </w:p>
                <w:p>
                  <w:pPr>
                    <w:pStyle w:val="null5"/>
                    <w:jc w:val="both"/>
                  </w:pP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未按要求完成一次扣</w:t>
                  </w:r>
                  <w:r>
                    <w:rPr>
                      <w:rFonts w:ascii="仿宋_GB2312" w:hAnsi="仿宋_GB2312" w:cs="仿宋_GB2312" w:eastAsia="仿宋_GB2312"/>
                      <w:sz w:val="24"/>
                      <w:color w:val="0000FF"/>
                    </w:rPr>
                    <w:t>2分</w:t>
                  </w:r>
                </w:p>
              </w:tc>
            </w:tr>
            <w:tr>
              <w:tc>
                <w:tcPr>
                  <w:tcW w:type="dxa" w:w="387"/>
                  <w:vMerge/>
                  <w:tcBorders>
                    <w:top w:val="none" w:color="000000" w:sz="4"/>
                    <w:left w:val="single" w:color="000000" w:sz="4"/>
                    <w:bottom w:val="single" w:color="000000" w:sz="4"/>
                    <w:right w:val="single" w:color="000000" w:sz="4"/>
                  </w:tcBorders>
                </w:tcPr>
                <w:p/>
              </w:tc>
              <w:tc>
                <w:tcPr>
                  <w:tcW w:type="dxa" w:w="464"/>
                  <w:vMerge/>
                  <w:tcBorders>
                    <w:top w:val="none" w:color="000000" w:sz="4"/>
                    <w:left w:val="single" w:color="000000" w:sz="4"/>
                    <w:bottom w:val="single" w:color="000000" w:sz="4"/>
                    <w:right w:val="single" w:color="000000" w:sz="4"/>
                  </w:tcBorders>
                </w:tcP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建立环境卫生管理服务制度及台账</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每缺少一项扣</w:t>
                  </w:r>
                  <w:r>
                    <w:rPr>
                      <w:rFonts w:ascii="仿宋_GB2312" w:hAnsi="仿宋_GB2312" w:cs="仿宋_GB2312" w:eastAsia="仿宋_GB2312"/>
                      <w:sz w:val="24"/>
                      <w:color w:val="0000FF"/>
                    </w:rPr>
                    <w:t>2分</w:t>
                  </w:r>
                </w:p>
              </w:tc>
            </w:tr>
            <w:tr>
              <w:tc>
                <w:tcPr>
                  <w:tcW w:type="dxa" w:w="3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FF"/>
                    </w:rPr>
                    <w:t>强弱电及设施设备维护</w:t>
                  </w:r>
                </w:p>
              </w:tc>
              <w:tc>
                <w:tcPr>
                  <w:tcW w:type="dxa" w:w="4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FF"/>
                    </w:rPr>
                    <w:t>设备维修维护巡检管理服务</w:t>
                  </w: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定期巡检维修维护所有设施设备。包括但不限于高压柜、变压器、低压配电柜、给排水工程、消防工程、暖通工程、空调系统、电梯、全息成像系统、体感交互系统、音响系统（含功放、数字音频处理器）、全景伺服轨道镜、中控软件系统、网络系统、</w:t>
                  </w:r>
                  <w:r>
                    <w:rPr>
                      <w:rFonts w:ascii="仿宋_GB2312" w:hAnsi="仿宋_GB2312" w:cs="仿宋_GB2312" w:eastAsia="仿宋_GB2312"/>
                      <w:sz w:val="24"/>
                      <w:color w:val="0000FF"/>
                    </w:rPr>
                    <w:t>LED传感系统、激光传输系统、电气照明系统等。（需配备专业人员进行维修维护）</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未按要求完成一次扣</w:t>
                  </w:r>
                  <w:r>
                    <w:rPr>
                      <w:rFonts w:ascii="仿宋_GB2312" w:hAnsi="仿宋_GB2312" w:cs="仿宋_GB2312" w:eastAsia="仿宋_GB2312"/>
                      <w:sz w:val="24"/>
                      <w:color w:val="0000FF"/>
                    </w:rPr>
                    <w:t>1分</w:t>
                  </w:r>
                </w:p>
              </w:tc>
            </w:tr>
            <w:tr>
              <w:tc>
                <w:tcPr>
                  <w:tcW w:type="dxa" w:w="387"/>
                  <w:vMerge/>
                  <w:tcBorders>
                    <w:top w:val="none" w:color="000000" w:sz="4"/>
                    <w:left w:val="single" w:color="000000" w:sz="4"/>
                    <w:bottom w:val="single" w:color="000000" w:sz="4"/>
                    <w:right w:val="single" w:color="000000" w:sz="4"/>
                  </w:tcBorders>
                </w:tcPr>
                <w:p/>
              </w:tc>
              <w:tc>
                <w:tcPr>
                  <w:tcW w:type="dxa" w:w="464"/>
                  <w:vMerge/>
                  <w:tcBorders>
                    <w:top w:val="none" w:color="000000" w:sz="4"/>
                    <w:left w:val="single" w:color="000000" w:sz="4"/>
                    <w:bottom w:val="single" w:color="000000" w:sz="4"/>
                    <w:right w:val="single" w:color="000000" w:sz="4"/>
                  </w:tcBorders>
                </w:tcP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保障</w:t>
                  </w:r>
                  <w:r>
                    <w:rPr>
                      <w:rFonts w:ascii="仿宋_GB2312" w:hAnsi="仿宋_GB2312" w:cs="仿宋_GB2312" w:eastAsia="仿宋_GB2312"/>
                      <w:sz w:val="24"/>
                      <w:color w:val="0000FF"/>
                    </w:rPr>
                    <w:t>办公</w:t>
                  </w:r>
                  <w:r>
                    <w:rPr>
                      <w:rFonts w:ascii="仿宋_GB2312" w:hAnsi="仿宋_GB2312" w:cs="仿宋_GB2312" w:eastAsia="仿宋_GB2312"/>
                      <w:sz w:val="24"/>
                      <w:color w:val="0000FF"/>
                    </w:rPr>
                    <w:t>及展项</w:t>
                  </w:r>
                  <w:r>
                    <w:rPr>
                      <w:rFonts w:ascii="仿宋_GB2312" w:hAnsi="仿宋_GB2312" w:cs="仿宋_GB2312" w:eastAsia="仿宋_GB2312"/>
                      <w:sz w:val="24"/>
                      <w:color w:val="0000FF"/>
                    </w:rPr>
                    <w:t>网络的通畅</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连续断网</w:t>
                  </w:r>
                  <w:r>
                    <w:rPr>
                      <w:rFonts w:ascii="仿宋_GB2312" w:hAnsi="仿宋_GB2312" w:cs="仿宋_GB2312" w:eastAsia="仿宋_GB2312"/>
                      <w:sz w:val="24"/>
                      <w:color w:val="0000FF"/>
                    </w:rPr>
                    <w:t>6小时内未整改的，扣1分</w:t>
                  </w:r>
                </w:p>
              </w:tc>
            </w:tr>
            <w:tr>
              <w:tc>
                <w:tcPr>
                  <w:tcW w:type="dxa" w:w="387"/>
                  <w:vMerge/>
                  <w:tcBorders>
                    <w:top w:val="none" w:color="000000" w:sz="4"/>
                    <w:left w:val="single" w:color="000000" w:sz="4"/>
                    <w:bottom w:val="single" w:color="000000" w:sz="4"/>
                    <w:right w:val="single" w:color="000000" w:sz="4"/>
                  </w:tcBorders>
                </w:tcPr>
                <w:p/>
              </w:tc>
              <w:tc>
                <w:tcPr>
                  <w:tcW w:type="dxa" w:w="464"/>
                  <w:vMerge/>
                  <w:tcBorders>
                    <w:top w:val="none" w:color="000000" w:sz="4"/>
                    <w:left w:val="single" w:color="000000" w:sz="4"/>
                    <w:bottom w:val="single" w:color="000000" w:sz="4"/>
                    <w:right w:val="single" w:color="000000" w:sz="4"/>
                  </w:tcBorders>
                </w:tcP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保障</w:t>
                  </w:r>
                  <w:r>
                    <w:rPr>
                      <w:rFonts w:ascii="仿宋_GB2312" w:hAnsi="仿宋_GB2312" w:cs="仿宋_GB2312" w:eastAsia="仿宋_GB2312"/>
                      <w:sz w:val="24"/>
                      <w:color w:val="0000FF"/>
                    </w:rPr>
                    <w:t>监控系统信号及存储的检测、排查及定期保养</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运营区监控系统连续</w:t>
                  </w:r>
                  <w:r>
                    <w:rPr>
                      <w:rFonts w:ascii="仿宋_GB2312" w:hAnsi="仿宋_GB2312" w:cs="仿宋_GB2312" w:eastAsia="仿宋_GB2312"/>
                      <w:sz w:val="24"/>
                      <w:color w:val="0000FF"/>
                    </w:rPr>
                    <w:t>6小时断联未整改的，扣1分</w:t>
                  </w:r>
                </w:p>
              </w:tc>
            </w:tr>
            <w:tr>
              <w:tc>
                <w:tcPr>
                  <w:tcW w:type="dxa" w:w="387"/>
                  <w:vMerge/>
                  <w:tcBorders>
                    <w:top w:val="none" w:color="000000" w:sz="4"/>
                    <w:left w:val="single" w:color="000000" w:sz="4"/>
                    <w:bottom w:val="single" w:color="000000" w:sz="4"/>
                    <w:right w:val="single" w:color="000000" w:sz="4"/>
                  </w:tcBorders>
                </w:tcPr>
                <w:p/>
              </w:tc>
              <w:tc>
                <w:tcPr>
                  <w:tcW w:type="dxa" w:w="464"/>
                  <w:vMerge/>
                  <w:tcBorders>
                    <w:top w:val="none" w:color="000000" w:sz="4"/>
                    <w:left w:val="single" w:color="000000" w:sz="4"/>
                    <w:bottom w:val="single" w:color="000000" w:sz="4"/>
                    <w:right w:val="single" w:color="000000" w:sz="4"/>
                  </w:tcBorders>
                </w:tcP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建立设施设备维修维护巡检管理制度及台账</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每缺少一项扣</w:t>
                  </w:r>
                  <w:r>
                    <w:rPr>
                      <w:rFonts w:ascii="仿宋_GB2312" w:hAnsi="仿宋_GB2312" w:cs="仿宋_GB2312" w:eastAsia="仿宋_GB2312"/>
                      <w:sz w:val="24"/>
                      <w:color w:val="0000FF"/>
                    </w:rPr>
                    <w:t>2分</w:t>
                  </w:r>
                </w:p>
              </w:tc>
            </w:tr>
            <w:tr>
              <w:tc>
                <w:tcPr>
                  <w:tcW w:type="dxa" w:w="387"/>
                  <w:vMerge/>
                  <w:tcBorders>
                    <w:top w:val="none" w:color="000000" w:sz="4"/>
                    <w:left w:val="single" w:color="000000" w:sz="4"/>
                    <w:bottom w:val="single" w:color="000000" w:sz="4"/>
                    <w:right w:val="single" w:color="000000" w:sz="4"/>
                  </w:tcBorders>
                </w:tcPr>
                <w:p/>
              </w:tc>
              <w:tc>
                <w:tcPr>
                  <w:tcW w:type="dxa" w:w="4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FF"/>
                    </w:rPr>
                    <w:t>软件及网络系统升级更新维护服务</w:t>
                  </w: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提供系统升级与补丁服务，提供主动式和响应式的补丁软件和固件支持及操作系统软件升级，旨在提高服务器、网络设备和存储设备的稳定性、安全性，并满足对新增软</w:t>
                  </w:r>
                  <w:r>
                    <w:rPr>
                      <w:rFonts w:ascii="仿宋_GB2312" w:hAnsi="仿宋_GB2312" w:cs="仿宋_GB2312" w:eastAsia="仿宋_GB2312"/>
                      <w:sz w:val="24"/>
                      <w:color w:val="0000FF"/>
                    </w:rPr>
                    <w:t>/硬件产品的支持需求</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未按要求完成一次视情节扣</w:t>
                  </w:r>
                  <w:r>
                    <w:rPr>
                      <w:rFonts w:ascii="仿宋_GB2312" w:hAnsi="仿宋_GB2312" w:cs="仿宋_GB2312" w:eastAsia="仿宋_GB2312"/>
                      <w:sz w:val="24"/>
                      <w:color w:val="0000FF"/>
                    </w:rPr>
                    <w:t>1-3分</w:t>
                  </w:r>
                </w:p>
              </w:tc>
            </w:tr>
            <w:tr>
              <w:tc>
                <w:tcPr>
                  <w:tcW w:type="dxa" w:w="387"/>
                  <w:vMerge/>
                  <w:tcBorders>
                    <w:top w:val="none" w:color="000000" w:sz="4"/>
                    <w:left w:val="single" w:color="000000" w:sz="4"/>
                    <w:bottom w:val="single" w:color="000000" w:sz="4"/>
                    <w:right w:val="single" w:color="000000" w:sz="4"/>
                  </w:tcBorders>
                </w:tcPr>
                <w:p/>
              </w:tc>
              <w:tc>
                <w:tcPr>
                  <w:tcW w:type="dxa" w:w="464"/>
                  <w:vMerge/>
                  <w:tcBorders>
                    <w:top w:val="none" w:color="000000" w:sz="4"/>
                    <w:left w:val="single" w:color="000000" w:sz="4"/>
                    <w:bottom w:val="single" w:color="000000" w:sz="4"/>
                    <w:right w:val="single" w:color="000000" w:sz="4"/>
                  </w:tcBorders>
                </w:tcP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提供软件与网络的迁移与二次安装服务</w:t>
                  </w:r>
                  <w:r>
                    <w:rPr>
                      <w:rFonts w:ascii="仿宋_GB2312" w:hAnsi="仿宋_GB2312" w:cs="仿宋_GB2312" w:eastAsia="仿宋_GB2312"/>
                      <w:sz w:val="24"/>
                      <w:color w:val="0000FF"/>
                    </w:rPr>
                    <w:t>：</w:t>
                  </w:r>
                  <w:r>
                    <w:rPr>
                      <w:rFonts w:ascii="仿宋_GB2312" w:hAnsi="仿宋_GB2312" w:cs="仿宋_GB2312" w:eastAsia="仿宋_GB2312"/>
                      <w:sz w:val="24"/>
                      <w:color w:val="0000FF"/>
                    </w:rPr>
                    <w:t>通过更改应用程序安装路径、使用迁移工具、手动迁移安装等方式配合场馆软硬件的迁移更新</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未按要求完成一次视情节扣</w:t>
                  </w:r>
                  <w:r>
                    <w:rPr>
                      <w:rFonts w:ascii="仿宋_GB2312" w:hAnsi="仿宋_GB2312" w:cs="仿宋_GB2312" w:eastAsia="仿宋_GB2312"/>
                      <w:sz w:val="24"/>
                      <w:color w:val="0000FF"/>
                    </w:rPr>
                    <w:t>1-3分</w:t>
                  </w:r>
                </w:p>
              </w:tc>
            </w:tr>
            <w:tr>
              <w:tc>
                <w:tcPr>
                  <w:tcW w:type="dxa" w:w="387"/>
                  <w:vMerge/>
                  <w:tcBorders>
                    <w:top w:val="none" w:color="000000" w:sz="4"/>
                    <w:left w:val="single" w:color="000000" w:sz="4"/>
                    <w:bottom w:val="single" w:color="000000" w:sz="4"/>
                    <w:right w:val="single" w:color="000000" w:sz="4"/>
                  </w:tcBorders>
                </w:tcPr>
                <w:p/>
              </w:tc>
              <w:tc>
                <w:tcPr>
                  <w:tcW w:type="dxa" w:w="4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FF"/>
                    </w:rPr>
                    <w:t>信息安全管理服务</w:t>
                  </w: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网络设备检查与维修：定期检查和维修网络设备，包括路由器、交换机和防火墙等，确保设备正常运行并修复可能的故障或损坏</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设备</w:t>
                  </w:r>
                  <w:r>
                    <w:rPr>
                      <w:rFonts w:ascii="仿宋_GB2312" w:hAnsi="仿宋_GB2312" w:cs="仿宋_GB2312" w:eastAsia="仿宋_GB2312"/>
                      <w:sz w:val="24"/>
                      <w:color w:val="0000FF"/>
                    </w:rPr>
                    <w:t>6小时内未正常运行且无整改措施的，一次扣1分</w:t>
                  </w:r>
                </w:p>
              </w:tc>
            </w:tr>
            <w:tr>
              <w:tc>
                <w:tcPr>
                  <w:tcW w:type="dxa" w:w="387"/>
                  <w:vMerge/>
                  <w:tcBorders>
                    <w:top w:val="none" w:color="000000" w:sz="4"/>
                    <w:left w:val="single" w:color="000000" w:sz="4"/>
                    <w:bottom w:val="single" w:color="000000" w:sz="4"/>
                    <w:right w:val="single" w:color="000000" w:sz="4"/>
                  </w:tcBorders>
                </w:tcPr>
                <w:p/>
              </w:tc>
              <w:tc>
                <w:tcPr>
                  <w:tcW w:type="dxa" w:w="464"/>
                  <w:vMerge/>
                  <w:tcBorders>
                    <w:top w:val="none" w:color="000000" w:sz="4"/>
                    <w:left w:val="single" w:color="000000" w:sz="4"/>
                    <w:bottom w:val="single" w:color="000000" w:sz="4"/>
                    <w:right w:val="single" w:color="000000" w:sz="4"/>
                  </w:tcBorders>
                </w:tcP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网络安全检测与防护：进行网络安全检测和防护工作，使用先进的安全工具进行漏洞扫描和攻击检测，并采取相应的防护措施</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发现网络安全漏洞</w:t>
                  </w:r>
                  <w:r>
                    <w:rPr>
                      <w:rFonts w:ascii="仿宋_GB2312" w:hAnsi="仿宋_GB2312" w:cs="仿宋_GB2312" w:eastAsia="仿宋_GB2312"/>
                      <w:sz w:val="24"/>
                      <w:color w:val="0000FF"/>
                    </w:rPr>
                    <w:t>6小时内未整改的，一次扣2分</w:t>
                  </w:r>
                </w:p>
              </w:tc>
            </w:tr>
            <w:tr>
              <w:tc>
                <w:tcPr>
                  <w:tcW w:type="dxa" w:w="387"/>
                  <w:vMerge/>
                  <w:tcBorders>
                    <w:top w:val="none" w:color="000000" w:sz="4"/>
                    <w:left w:val="single" w:color="000000" w:sz="4"/>
                    <w:bottom w:val="single" w:color="000000" w:sz="4"/>
                    <w:right w:val="single" w:color="000000" w:sz="4"/>
                  </w:tcBorders>
                </w:tcPr>
                <w:p/>
              </w:tc>
              <w:tc>
                <w:tcPr>
                  <w:tcW w:type="dxa" w:w="464"/>
                  <w:vMerge/>
                  <w:tcBorders>
                    <w:top w:val="none" w:color="000000" w:sz="4"/>
                    <w:left w:val="single" w:color="000000" w:sz="4"/>
                    <w:bottom w:val="single" w:color="000000" w:sz="4"/>
                    <w:right w:val="single" w:color="000000" w:sz="4"/>
                  </w:tcBorders>
                </w:tcP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网络性能优化：根据网络流量和使用情况，对网络进行优化和调整，提高网络的性能和稳定性</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连续断网</w:t>
                  </w:r>
                  <w:r>
                    <w:rPr>
                      <w:rFonts w:ascii="仿宋_GB2312" w:hAnsi="仿宋_GB2312" w:cs="仿宋_GB2312" w:eastAsia="仿宋_GB2312"/>
                      <w:sz w:val="24"/>
                      <w:color w:val="0000FF"/>
                    </w:rPr>
                    <w:t>6小时内未整改的，扣1分</w:t>
                  </w:r>
                </w:p>
              </w:tc>
            </w:tr>
            <w:tr>
              <w:tc>
                <w:tcPr>
                  <w:tcW w:type="dxa" w:w="387"/>
                  <w:vMerge/>
                  <w:tcBorders>
                    <w:top w:val="none" w:color="000000" w:sz="4"/>
                    <w:left w:val="single" w:color="000000" w:sz="4"/>
                    <w:bottom w:val="single" w:color="000000" w:sz="4"/>
                    <w:right w:val="single" w:color="000000" w:sz="4"/>
                  </w:tcBorders>
                </w:tcPr>
                <w:p/>
              </w:tc>
              <w:tc>
                <w:tcPr>
                  <w:tcW w:type="dxa" w:w="464"/>
                  <w:vMerge/>
                  <w:tcBorders>
                    <w:top w:val="none" w:color="000000" w:sz="4"/>
                    <w:left w:val="single" w:color="000000" w:sz="4"/>
                    <w:bottom w:val="single" w:color="000000" w:sz="4"/>
                    <w:right w:val="single" w:color="000000" w:sz="4"/>
                  </w:tcBorders>
                </w:tcP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数据备份与恢复：定期对重要数据进行备份和恢复操作，防止数据丢失和损坏</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未按要求备份一次视情节扣</w:t>
                  </w:r>
                  <w:r>
                    <w:rPr>
                      <w:rFonts w:ascii="仿宋_GB2312" w:hAnsi="仿宋_GB2312" w:cs="仿宋_GB2312" w:eastAsia="仿宋_GB2312"/>
                      <w:sz w:val="24"/>
                      <w:color w:val="0000FF"/>
                    </w:rPr>
                    <w:t>1-3分</w:t>
                  </w:r>
                </w:p>
              </w:tc>
            </w:tr>
            <w:tr>
              <w:tc>
                <w:tcPr>
                  <w:tcW w:type="dxa" w:w="387"/>
                  <w:vMerge/>
                  <w:tcBorders>
                    <w:top w:val="none" w:color="000000" w:sz="4"/>
                    <w:left w:val="single" w:color="000000" w:sz="4"/>
                    <w:bottom w:val="single" w:color="000000" w:sz="4"/>
                    <w:right w:val="single" w:color="000000" w:sz="4"/>
                  </w:tcBorders>
                </w:tcPr>
                <w:p/>
              </w:tc>
              <w:tc>
                <w:tcPr>
                  <w:tcW w:type="dxa" w:w="464"/>
                  <w:vMerge/>
                  <w:tcBorders>
                    <w:top w:val="none" w:color="000000" w:sz="4"/>
                    <w:left w:val="single" w:color="000000" w:sz="4"/>
                    <w:bottom w:val="single" w:color="000000" w:sz="4"/>
                    <w:right w:val="single" w:color="000000" w:sz="4"/>
                  </w:tcBorders>
                </w:tcP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应急响应：及时响应和处理各种突发的网络故障和安全威胁，确保网络的可用性和安全性</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未按要求通过应急演练考核的一次扣</w:t>
                  </w:r>
                  <w:r>
                    <w:rPr>
                      <w:rFonts w:ascii="仿宋_GB2312" w:hAnsi="仿宋_GB2312" w:cs="仿宋_GB2312" w:eastAsia="仿宋_GB2312"/>
                      <w:sz w:val="24"/>
                      <w:color w:val="0000FF"/>
                    </w:rPr>
                    <w:t>3分</w:t>
                  </w:r>
                </w:p>
              </w:tc>
            </w:tr>
            <w:tr>
              <w:tc>
                <w:tcPr>
                  <w:tcW w:type="dxa" w:w="387"/>
                  <w:vMerge/>
                  <w:tcBorders>
                    <w:top w:val="none" w:color="000000" w:sz="4"/>
                    <w:left w:val="single" w:color="000000" w:sz="4"/>
                    <w:bottom w:val="single" w:color="000000" w:sz="4"/>
                    <w:right w:val="single" w:color="000000" w:sz="4"/>
                  </w:tcBorders>
                </w:tcPr>
                <w:p/>
              </w:tc>
              <w:tc>
                <w:tcPr>
                  <w:tcW w:type="dxa" w:w="464"/>
                  <w:vMerge/>
                  <w:tcBorders>
                    <w:top w:val="none" w:color="000000" w:sz="4"/>
                    <w:left w:val="single" w:color="000000" w:sz="4"/>
                    <w:bottom w:val="single" w:color="000000" w:sz="4"/>
                    <w:right w:val="single" w:color="000000" w:sz="4"/>
                  </w:tcBorders>
                </w:tcP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信息资产统计服务：帮助用户对现有的信息资产情况进行了解，包括硬件设备型号、数量、版本等信息统计记录，以及软件产品型号、版本和补丁等信息统计记录</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发现记录缺失</w:t>
                  </w:r>
                  <w:r>
                    <w:rPr>
                      <w:rFonts w:ascii="仿宋_GB2312" w:hAnsi="仿宋_GB2312" w:cs="仿宋_GB2312" w:eastAsia="仿宋_GB2312"/>
                      <w:sz w:val="24"/>
                      <w:color w:val="0000FF"/>
                    </w:rPr>
                    <w:t>6小时内未整改的，一次扣2分</w:t>
                  </w:r>
                </w:p>
              </w:tc>
            </w:tr>
            <w:tr>
              <w:tc>
                <w:tcPr>
                  <w:tcW w:type="dxa" w:w="387"/>
                  <w:vMerge/>
                  <w:tcBorders>
                    <w:top w:val="none" w:color="000000" w:sz="4"/>
                    <w:left w:val="single" w:color="000000" w:sz="4"/>
                    <w:bottom w:val="single" w:color="000000" w:sz="4"/>
                    <w:right w:val="single" w:color="000000" w:sz="4"/>
                  </w:tcBorders>
                </w:tcPr>
                <w:p/>
              </w:tc>
              <w:tc>
                <w:tcPr>
                  <w:tcW w:type="dxa" w:w="464"/>
                  <w:vMerge/>
                  <w:tcBorders>
                    <w:top w:val="none" w:color="000000" w:sz="4"/>
                    <w:left w:val="single" w:color="000000" w:sz="4"/>
                    <w:bottom w:val="single" w:color="000000" w:sz="4"/>
                    <w:right w:val="single" w:color="000000" w:sz="4"/>
                  </w:tcBorders>
                </w:tcP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主机、存储系统运维服务：包括主机、存储设备的日常监控，设备的运行状态监控，故障处理，操作系统维护，补丁升级等内容</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发现运维系统不符合要求</w:t>
                  </w:r>
                  <w:r>
                    <w:rPr>
                      <w:rFonts w:ascii="仿宋_GB2312" w:hAnsi="仿宋_GB2312" w:cs="仿宋_GB2312" w:eastAsia="仿宋_GB2312"/>
                      <w:sz w:val="24"/>
                      <w:color w:val="0000FF"/>
                    </w:rPr>
                    <w:t>6小时内未整改的，一次扣1分</w:t>
                  </w:r>
                </w:p>
              </w:tc>
            </w:tr>
            <w:tr>
              <w:tc>
                <w:tcPr>
                  <w:tcW w:type="dxa" w:w="3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FF"/>
                    </w:rPr>
                    <w:t>场馆建设研究及产品开发</w:t>
                  </w:r>
                </w:p>
              </w:tc>
              <w:tc>
                <w:tcPr>
                  <w:tcW w:type="dxa" w:w="4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FF"/>
                    </w:rPr>
                    <w:t>数字化场馆建设</w:t>
                  </w: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开发上线一款康巴什自然博物馆</w:t>
                  </w:r>
                  <w:r>
                    <w:rPr>
                      <w:rFonts w:ascii="仿宋_GB2312" w:hAnsi="仿宋_GB2312" w:cs="仿宋_GB2312" w:eastAsia="仿宋_GB2312"/>
                      <w:sz w:val="24"/>
                      <w:color w:val="0000FF"/>
                    </w:rPr>
                    <w:t>app，开发上线一款康巴什自然博物馆小程序，开发上线康巴什自然博物馆网站，使得用户可以方便地查询场馆信息、预订场地、查询活动信息和进行活动预约，提供游客个性化服务</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未按要求开发对应社交媒体平台的，一次扣</w:t>
                  </w:r>
                  <w:r>
                    <w:rPr>
                      <w:rFonts w:ascii="仿宋_GB2312" w:hAnsi="仿宋_GB2312" w:cs="仿宋_GB2312" w:eastAsia="仿宋_GB2312"/>
                      <w:sz w:val="24"/>
                      <w:color w:val="0000FF"/>
                    </w:rPr>
                    <w:t>1分</w:t>
                  </w:r>
                </w:p>
              </w:tc>
            </w:tr>
            <w:tr>
              <w:tc>
                <w:tcPr>
                  <w:tcW w:type="dxa" w:w="387"/>
                  <w:vMerge/>
                  <w:tcBorders>
                    <w:top w:val="none" w:color="000000" w:sz="4"/>
                    <w:left w:val="single" w:color="000000" w:sz="4"/>
                    <w:bottom w:val="single" w:color="000000" w:sz="4"/>
                    <w:right w:val="single" w:color="000000" w:sz="4"/>
                  </w:tcBorders>
                </w:tcPr>
                <w:p/>
              </w:tc>
              <w:tc>
                <w:tcPr>
                  <w:tcW w:type="dxa" w:w="464"/>
                  <w:vMerge/>
                  <w:tcBorders>
                    <w:top w:val="none" w:color="000000" w:sz="4"/>
                    <w:left w:val="single" w:color="000000" w:sz="4"/>
                    <w:bottom w:val="single" w:color="000000" w:sz="4"/>
                    <w:right w:val="single" w:color="000000" w:sz="4"/>
                  </w:tcBorders>
                </w:tcP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开发建设线上康巴什自然博物馆，实现场馆远程全景浏览</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未按要求建设开发一次扣</w:t>
                  </w:r>
                  <w:r>
                    <w:rPr>
                      <w:rFonts w:ascii="仿宋_GB2312" w:hAnsi="仿宋_GB2312" w:cs="仿宋_GB2312" w:eastAsia="仿宋_GB2312"/>
                      <w:sz w:val="24"/>
                      <w:color w:val="0000FF"/>
                    </w:rPr>
                    <w:t>1分</w:t>
                  </w:r>
                </w:p>
              </w:tc>
            </w:tr>
            <w:tr>
              <w:tc>
                <w:tcPr>
                  <w:tcW w:type="dxa" w:w="387"/>
                  <w:vMerge/>
                  <w:tcBorders>
                    <w:top w:val="none" w:color="000000" w:sz="4"/>
                    <w:left w:val="single" w:color="000000" w:sz="4"/>
                    <w:bottom w:val="single" w:color="000000" w:sz="4"/>
                    <w:right w:val="single" w:color="000000" w:sz="4"/>
                  </w:tcBorders>
                </w:tcPr>
                <w:p/>
              </w:tc>
              <w:tc>
                <w:tcPr>
                  <w:tcW w:type="dxa" w:w="464"/>
                  <w:vMerge/>
                  <w:tcBorders>
                    <w:top w:val="none" w:color="000000" w:sz="4"/>
                    <w:left w:val="single" w:color="000000" w:sz="4"/>
                    <w:bottom w:val="single" w:color="000000" w:sz="4"/>
                    <w:right w:val="single" w:color="000000" w:sz="4"/>
                  </w:tcBorders>
                </w:tcP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每年申请注册自然博物馆相关软件著作权不少于</w:t>
                  </w:r>
                  <w:r>
                    <w:rPr>
                      <w:rFonts w:ascii="仿宋_GB2312" w:hAnsi="仿宋_GB2312" w:cs="仿宋_GB2312" w:eastAsia="仿宋_GB2312"/>
                      <w:sz w:val="24"/>
                      <w:color w:val="0000FF"/>
                    </w:rPr>
                    <w:t>6项。</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每少一项扣</w:t>
                  </w:r>
                  <w:r>
                    <w:rPr>
                      <w:rFonts w:ascii="仿宋_GB2312" w:hAnsi="仿宋_GB2312" w:cs="仿宋_GB2312" w:eastAsia="仿宋_GB2312"/>
                      <w:sz w:val="24"/>
                      <w:color w:val="0000FF"/>
                    </w:rPr>
                    <w:t>2分</w:t>
                  </w:r>
                </w:p>
              </w:tc>
            </w:tr>
            <w:tr>
              <w:tc>
                <w:tcPr>
                  <w:tcW w:type="dxa" w:w="387"/>
                  <w:vMerge/>
                  <w:tcBorders>
                    <w:top w:val="non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FF"/>
                    </w:rPr>
                    <w:t>自然科普类课题研究</w:t>
                  </w: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每年需发布不少于</w:t>
                  </w:r>
                  <w:r>
                    <w:rPr>
                      <w:rFonts w:ascii="仿宋_GB2312" w:hAnsi="仿宋_GB2312" w:cs="仿宋_GB2312" w:eastAsia="仿宋_GB2312"/>
                      <w:sz w:val="24"/>
                      <w:color w:val="0000FF"/>
                    </w:rPr>
                    <w:t>15篇</w:t>
                  </w:r>
                  <w:r>
                    <w:rPr>
                      <w:rFonts w:ascii="仿宋_GB2312" w:hAnsi="仿宋_GB2312" w:cs="仿宋_GB2312" w:eastAsia="仿宋_GB2312"/>
                      <w:sz w:val="24"/>
                      <w:color w:val="0000FF"/>
                    </w:rPr>
                    <w:t>自然博物馆相关科研课题</w:t>
                  </w:r>
                  <w:r>
                    <w:rPr>
                      <w:rFonts w:ascii="仿宋_GB2312" w:hAnsi="仿宋_GB2312" w:cs="仿宋_GB2312" w:eastAsia="仿宋_GB2312"/>
                      <w:sz w:val="24"/>
                      <w:color w:val="0000FF"/>
                    </w:rPr>
                    <w:t>研究文献。</w:t>
                  </w:r>
                  <w:r>
                    <w:rPr>
                      <w:rFonts w:ascii="仿宋_GB2312" w:hAnsi="仿宋_GB2312" w:cs="仿宋_GB2312" w:eastAsia="仿宋_GB2312"/>
                      <w:sz w:val="24"/>
                      <w:color w:val="0000FF"/>
                    </w:rPr>
                    <w:t>整合高校、科研院所等单位的研究力量</w:t>
                  </w:r>
                  <w:r>
                    <w:rPr>
                      <w:rFonts w:ascii="仿宋_GB2312" w:hAnsi="仿宋_GB2312" w:cs="仿宋_GB2312" w:eastAsia="仿宋_GB2312"/>
                      <w:sz w:val="24"/>
                      <w:color w:val="0000FF"/>
                    </w:rPr>
                    <w:t>共同研究</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每少一篇扣</w:t>
                  </w:r>
                  <w:r>
                    <w:rPr>
                      <w:rFonts w:ascii="仿宋_GB2312" w:hAnsi="仿宋_GB2312" w:cs="仿宋_GB2312" w:eastAsia="仿宋_GB2312"/>
                      <w:sz w:val="24"/>
                      <w:color w:val="0000FF"/>
                    </w:rPr>
                    <w:t>1分</w:t>
                  </w:r>
                </w:p>
              </w:tc>
            </w:tr>
            <w:tr>
              <w:tc>
                <w:tcPr>
                  <w:tcW w:type="dxa" w:w="387"/>
                  <w:vMerge/>
                  <w:tcBorders>
                    <w:top w:val="none" w:color="000000" w:sz="4"/>
                    <w:left w:val="single" w:color="000000" w:sz="4"/>
                    <w:bottom w:val="single" w:color="000000" w:sz="4"/>
                    <w:right w:val="single" w:color="000000" w:sz="4"/>
                  </w:tcBorders>
                </w:tcPr>
                <w:p/>
              </w:tc>
              <w:tc>
                <w:tcPr>
                  <w:tcW w:type="dxa" w:w="4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FF"/>
                    </w:rPr>
                    <w:t>宣传推广</w:t>
                  </w: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社交媒体营销：需制定全面的社交媒体营销策略</w:t>
                  </w:r>
                  <w:r>
                    <w:rPr>
                      <w:rFonts w:ascii="仿宋_GB2312" w:hAnsi="仿宋_GB2312" w:cs="仿宋_GB2312" w:eastAsia="仿宋_GB2312"/>
                      <w:sz w:val="24"/>
                      <w:color w:val="0000FF"/>
                    </w:rPr>
                    <w:t>。打造新媒体宣</w:t>
                  </w:r>
                  <w:r>
                    <w:rPr>
                      <w:rFonts w:ascii="仿宋_GB2312" w:hAnsi="仿宋_GB2312" w:cs="仿宋_GB2312" w:eastAsia="仿宋_GB2312"/>
                      <w:sz w:val="24"/>
                      <w:color w:val="0000FF"/>
                    </w:rPr>
                    <w:t>传矩阵</w:t>
                  </w:r>
                  <w:r>
                    <w:rPr>
                      <w:rFonts w:ascii="仿宋_GB2312" w:hAnsi="仿宋_GB2312" w:cs="仿宋_GB2312" w:eastAsia="仿宋_GB2312"/>
                      <w:sz w:val="24"/>
                      <w:color w:val="0000FF"/>
                    </w:rPr>
                    <w:t>：开设康巴什自然博物馆</w:t>
                  </w:r>
                  <w:r>
                    <w:rPr>
                      <w:rFonts w:ascii="仿宋_GB2312" w:hAnsi="仿宋_GB2312" w:cs="仿宋_GB2312" w:eastAsia="仿宋_GB2312"/>
                      <w:sz w:val="24"/>
                      <w:color w:val="0000FF"/>
                    </w:rPr>
                    <w:t>微信公众账号</w:t>
                  </w:r>
                  <w:r>
                    <w:rPr>
                      <w:rFonts w:ascii="仿宋_GB2312" w:hAnsi="仿宋_GB2312" w:cs="仿宋_GB2312" w:eastAsia="仿宋_GB2312"/>
                      <w:sz w:val="24"/>
                      <w:color w:val="0000FF"/>
                    </w:rPr>
                    <w:t>原创</w:t>
                  </w:r>
                  <w:r>
                    <w:rPr>
                      <w:rFonts w:ascii="仿宋_GB2312" w:hAnsi="仿宋_GB2312" w:cs="仿宋_GB2312" w:eastAsia="仿宋_GB2312"/>
                      <w:sz w:val="24"/>
                      <w:color w:val="0000FF"/>
                    </w:rPr>
                    <w:t>推文每年</w:t>
                  </w:r>
                  <w:r>
                    <w:rPr>
                      <w:rFonts w:ascii="仿宋_GB2312" w:hAnsi="仿宋_GB2312" w:cs="仿宋_GB2312" w:eastAsia="仿宋_GB2312"/>
                      <w:sz w:val="24"/>
                      <w:color w:val="0000FF"/>
                    </w:rPr>
                    <w:t>发布原创推文</w:t>
                  </w:r>
                  <w:r>
                    <w:rPr>
                      <w:rFonts w:ascii="仿宋_GB2312" w:hAnsi="仿宋_GB2312" w:cs="仿宋_GB2312" w:eastAsia="仿宋_GB2312"/>
                      <w:sz w:val="24"/>
                      <w:color w:val="0000FF"/>
                    </w:rPr>
                    <w:t>120</w:t>
                  </w:r>
                  <w:r>
                    <w:rPr>
                      <w:rFonts w:ascii="仿宋_GB2312" w:hAnsi="仿宋_GB2312" w:cs="仿宋_GB2312" w:eastAsia="仿宋_GB2312"/>
                      <w:sz w:val="24"/>
                      <w:color w:val="0000FF"/>
                    </w:rPr>
                    <w:t>篇</w:t>
                  </w:r>
                  <w:r>
                    <w:rPr>
                      <w:rFonts w:ascii="仿宋_GB2312" w:hAnsi="仿宋_GB2312" w:cs="仿宋_GB2312" w:eastAsia="仿宋_GB2312"/>
                      <w:sz w:val="24"/>
                      <w:color w:val="0000FF"/>
                    </w:rPr>
                    <w:t>以上</w:t>
                  </w:r>
                  <w:r>
                    <w:rPr>
                      <w:rFonts w:ascii="仿宋_GB2312" w:hAnsi="仿宋_GB2312" w:cs="仿宋_GB2312" w:eastAsia="仿宋_GB2312"/>
                      <w:sz w:val="24"/>
                      <w:color w:val="0000FF"/>
                    </w:rPr>
                    <w:t>，</w:t>
                  </w:r>
                  <w:r>
                    <w:rPr>
                      <w:rFonts w:ascii="仿宋_GB2312" w:hAnsi="仿宋_GB2312" w:cs="仿宋_GB2312" w:eastAsia="仿宋_GB2312"/>
                      <w:sz w:val="24"/>
                      <w:color w:val="0000FF"/>
                    </w:rPr>
                    <w:t>视频号、抖音号原创视频发布量每年</w:t>
                  </w:r>
                  <w:r>
                    <w:rPr>
                      <w:rFonts w:ascii="仿宋_GB2312" w:hAnsi="仿宋_GB2312" w:cs="仿宋_GB2312" w:eastAsia="仿宋_GB2312"/>
                      <w:sz w:val="24"/>
                      <w:color w:val="0000FF"/>
                    </w:rPr>
                    <w:t>50条以上，</w:t>
                  </w:r>
                  <w:r>
                    <w:rPr>
                      <w:rFonts w:ascii="仿宋_GB2312" w:hAnsi="仿宋_GB2312" w:cs="仿宋_GB2312" w:eastAsia="仿宋_GB2312"/>
                      <w:sz w:val="24"/>
                      <w:color w:val="0000FF"/>
                    </w:rPr>
                    <w:t>阅读量</w:t>
                  </w:r>
                  <w:r>
                    <w:rPr>
                      <w:rFonts w:ascii="仿宋_GB2312" w:hAnsi="仿宋_GB2312" w:cs="仿宋_GB2312" w:eastAsia="仿宋_GB2312"/>
                      <w:sz w:val="24"/>
                      <w:color w:val="0000FF"/>
                    </w:rPr>
                    <w:t>播放量</w:t>
                  </w:r>
                  <w:r>
                    <w:rPr>
                      <w:rFonts w:ascii="仿宋_GB2312" w:hAnsi="仿宋_GB2312" w:cs="仿宋_GB2312" w:eastAsia="仿宋_GB2312"/>
                      <w:sz w:val="24"/>
                      <w:color w:val="0000FF"/>
                    </w:rPr>
                    <w:t>达到至少</w:t>
                  </w:r>
                  <w:r>
                    <w:rPr>
                      <w:rFonts w:ascii="仿宋_GB2312" w:hAnsi="仿宋_GB2312" w:cs="仿宋_GB2312" w:eastAsia="仿宋_GB2312"/>
                      <w:sz w:val="24"/>
                      <w:color w:val="0000FF"/>
                    </w:rPr>
                    <w:t>20万人次</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推文每少一篇扣</w:t>
                  </w:r>
                  <w:r>
                    <w:rPr>
                      <w:rFonts w:ascii="仿宋_GB2312" w:hAnsi="仿宋_GB2312" w:cs="仿宋_GB2312" w:eastAsia="仿宋_GB2312"/>
                      <w:sz w:val="24"/>
                      <w:color w:val="0000FF"/>
                    </w:rPr>
                    <w:t>1分；视频每少1条扣1分</w:t>
                  </w:r>
                </w:p>
              </w:tc>
            </w:tr>
            <w:tr>
              <w:tc>
                <w:tcPr>
                  <w:tcW w:type="dxa" w:w="387"/>
                  <w:vMerge/>
                  <w:tcBorders>
                    <w:top w:val="none" w:color="000000" w:sz="4"/>
                    <w:left w:val="single" w:color="000000" w:sz="4"/>
                    <w:bottom w:val="single" w:color="000000" w:sz="4"/>
                    <w:right w:val="single" w:color="000000" w:sz="4"/>
                  </w:tcBorders>
                </w:tcPr>
                <w:p/>
              </w:tc>
              <w:tc>
                <w:tcPr>
                  <w:tcW w:type="dxa" w:w="464"/>
                  <w:vMerge/>
                  <w:tcBorders>
                    <w:top w:val="none" w:color="000000" w:sz="4"/>
                    <w:left w:val="single" w:color="000000" w:sz="4"/>
                    <w:bottom w:val="single" w:color="000000" w:sz="4"/>
                    <w:right w:val="single" w:color="000000" w:sz="4"/>
                  </w:tcBorders>
                </w:tcP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教育合作项目：馆藏以展览、展示形式</w:t>
                  </w:r>
                  <w:r>
                    <w:rPr>
                      <w:rFonts w:ascii="仿宋_GB2312" w:hAnsi="仿宋_GB2312" w:cs="仿宋_GB2312" w:eastAsia="仿宋_GB2312"/>
                      <w:sz w:val="24"/>
                      <w:color w:val="0000FF"/>
                    </w:rPr>
                    <w:t>“走”出博物馆，“走”近社会。结合博物馆的展陈主题，扩大博物馆的社会影响力。每年至少与10家学校</w:t>
                  </w:r>
                  <w:r>
                    <w:rPr>
                      <w:rFonts w:ascii="仿宋_GB2312" w:hAnsi="仿宋_GB2312" w:cs="仿宋_GB2312" w:eastAsia="仿宋_GB2312"/>
                      <w:sz w:val="24"/>
                      <w:color w:val="0000FF"/>
                    </w:rPr>
                    <w:t>或</w:t>
                  </w:r>
                  <w:r>
                    <w:rPr>
                      <w:rFonts w:ascii="仿宋_GB2312" w:hAnsi="仿宋_GB2312" w:cs="仿宋_GB2312" w:eastAsia="仿宋_GB2312"/>
                      <w:sz w:val="24"/>
                      <w:color w:val="0000FF"/>
                    </w:rPr>
                    <w:t>社区机构实现项目合作</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每少</w:t>
                  </w:r>
                  <w:r>
                    <w:rPr>
                      <w:rFonts w:ascii="仿宋_GB2312" w:hAnsi="仿宋_GB2312" w:cs="仿宋_GB2312" w:eastAsia="仿宋_GB2312"/>
                      <w:sz w:val="24"/>
                      <w:color w:val="0000FF"/>
                    </w:rPr>
                    <w:t>1家学校或社区机构扣2分</w:t>
                  </w:r>
                </w:p>
              </w:tc>
            </w:tr>
            <w:tr>
              <w:tc>
                <w:tcPr>
                  <w:tcW w:type="dxa" w:w="387"/>
                  <w:vMerge/>
                  <w:tcBorders>
                    <w:top w:val="none" w:color="000000" w:sz="4"/>
                    <w:left w:val="single" w:color="000000" w:sz="4"/>
                    <w:bottom w:val="single" w:color="000000" w:sz="4"/>
                    <w:right w:val="single" w:color="000000" w:sz="4"/>
                  </w:tcBorders>
                </w:tcPr>
                <w:p/>
              </w:tc>
              <w:tc>
                <w:tcPr>
                  <w:tcW w:type="dxa" w:w="464"/>
                  <w:vMerge/>
                  <w:tcBorders>
                    <w:top w:val="none" w:color="000000" w:sz="4"/>
                    <w:left w:val="single" w:color="000000" w:sz="4"/>
                    <w:bottom w:val="single" w:color="000000" w:sz="4"/>
                    <w:right w:val="single" w:color="000000" w:sz="4"/>
                  </w:tcBorders>
                </w:tcP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品牌</w:t>
                  </w:r>
                  <w:r>
                    <w:rPr>
                      <w:rFonts w:ascii="仿宋_GB2312" w:hAnsi="仿宋_GB2312" w:cs="仿宋_GB2312" w:eastAsia="仿宋_GB2312"/>
                      <w:sz w:val="24"/>
                      <w:color w:val="0000FF"/>
                    </w:rPr>
                    <w:t>建设与宣传</w:t>
                  </w:r>
                  <w:r>
                    <w:rPr>
                      <w:rFonts w:ascii="仿宋_GB2312" w:hAnsi="仿宋_GB2312" w:cs="仿宋_GB2312" w:eastAsia="仿宋_GB2312"/>
                      <w:sz w:val="24"/>
                      <w:color w:val="0000FF"/>
                    </w:rPr>
                    <w:t>：建立完善的品牌传播体系，包括标识设计、口号宣传、形象广告等，形成统一的品牌形象。利用各种传播渠道，宣传博物馆的活动和特色，提升其在公众心中的知名度和美誉度</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招标人</w:t>
                  </w:r>
                  <w:r>
                    <w:rPr>
                      <w:rFonts w:ascii="仿宋_GB2312" w:hAnsi="仿宋_GB2312" w:cs="仿宋_GB2312" w:eastAsia="仿宋_GB2312"/>
                      <w:sz w:val="24"/>
                      <w:color w:val="0000FF"/>
                    </w:rPr>
                    <w:t>发现需要整改，在通知供应商管理人员后</w:t>
                  </w:r>
                  <w:r>
                    <w:rPr>
                      <w:rFonts w:ascii="仿宋_GB2312" w:hAnsi="仿宋_GB2312" w:cs="仿宋_GB2312" w:eastAsia="仿宋_GB2312"/>
                      <w:sz w:val="24"/>
                      <w:color w:val="0000FF"/>
                    </w:rPr>
                    <w:t>7天</w:t>
                  </w:r>
                  <w:r>
                    <w:rPr>
                      <w:rFonts w:ascii="仿宋_GB2312" w:hAnsi="仿宋_GB2312" w:cs="仿宋_GB2312" w:eastAsia="仿宋_GB2312"/>
                      <w:sz w:val="24"/>
                      <w:color w:val="0000FF"/>
                    </w:rPr>
                    <w:t>内未整改的，扣</w:t>
                  </w:r>
                  <w:r>
                    <w:rPr>
                      <w:rFonts w:ascii="仿宋_GB2312" w:hAnsi="仿宋_GB2312" w:cs="仿宋_GB2312" w:eastAsia="仿宋_GB2312"/>
                      <w:sz w:val="24"/>
                      <w:color w:val="0000FF"/>
                    </w:rPr>
                    <w:t>1分</w:t>
                  </w:r>
                </w:p>
              </w:tc>
            </w:tr>
            <w:tr>
              <w:tc>
                <w:tcPr>
                  <w:tcW w:type="dxa" w:w="387"/>
                  <w:vMerge/>
                  <w:tcBorders>
                    <w:top w:val="none" w:color="000000" w:sz="4"/>
                    <w:left w:val="single" w:color="000000" w:sz="4"/>
                    <w:bottom w:val="single" w:color="000000" w:sz="4"/>
                    <w:right w:val="single" w:color="000000" w:sz="4"/>
                  </w:tcBorders>
                </w:tcPr>
                <w:p/>
              </w:tc>
              <w:tc>
                <w:tcPr>
                  <w:tcW w:type="dxa" w:w="464"/>
                  <w:vMerge/>
                  <w:tcBorders>
                    <w:top w:val="none" w:color="000000" w:sz="4"/>
                    <w:left w:val="single" w:color="000000" w:sz="4"/>
                    <w:bottom w:val="single" w:color="000000" w:sz="4"/>
                    <w:right w:val="single" w:color="000000" w:sz="4"/>
                  </w:tcBorders>
                </w:tcP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每年进行省内、省外场馆线下宣传推荐活动不少于</w:t>
                  </w:r>
                  <w:r>
                    <w:rPr>
                      <w:rFonts w:ascii="仿宋_GB2312" w:hAnsi="仿宋_GB2312" w:cs="仿宋_GB2312" w:eastAsia="仿宋_GB2312"/>
                      <w:sz w:val="24"/>
                      <w:color w:val="0000FF"/>
                    </w:rPr>
                    <w:t>5场</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每少参加一场活动扣</w:t>
                  </w:r>
                  <w:r>
                    <w:rPr>
                      <w:rFonts w:ascii="仿宋_GB2312" w:hAnsi="仿宋_GB2312" w:cs="仿宋_GB2312" w:eastAsia="仿宋_GB2312"/>
                      <w:sz w:val="24"/>
                      <w:color w:val="0000FF"/>
                    </w:rPr>
                    <w:t>2分</w:t>
                  </w:r>
                </w:p>
              </w:tc>
            </w:tr>
            <w:tr>
              <w:tc>
                <w:tcPr>
                  <w:tcW w:type="dxa" w:w="387"/>
                  <w:vMerge/>
                  <w:tcBorders>
                    <w:top w:val="none" w:color="000000" w:sz="4"/>
                    <w:left w:val="single" w:color="000000" w:sz="4"/>
                    <w:bottom w:val="single" w:color="000000" w:sz="4"/>
                    <w:right w:val="single" w:color="000000" w:sz="4"/>
                  </w:tcBorders>
                </w:tcPr>
                <w:p/>
              </w:tc>
              <w:tc>
                <w:tcPr>
                  <w:tcW w:type="dxa" w:w="4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FF"/>
                    </w:rPr>
                    <w:t>文创产品开发</w:t>
                  </w: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打造自然博物馆文创衍生产品：每年创新设计</w:t>
                  </w:r>
                  <w:r>
                    <w:rPr>
                      <w:rFonts w:ascii="仿宋_GB2312" w:hAnsi="仿宋_GB2312" w:cs="仿宋_GB2312" w:eastAsia="仿宋_GB2312"/>
                      <w:sz w:val="24"/>
                      <w:color w:val="0000FF"/>
                    </w:rPr>
                    <w:t>15款以上康巴什自然博物馆定制文创衍生产品。并需申报设计类国家级奖项。</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每少一款文创衍生产品扣</w:t>
                  </w:r>
                  <w:r>
                    <w:rPr>
                      <w:rFonts w:ascii="仿宋_GB2312" w:hAnsi="仿宋_GB2312" w:cs="仿宋_GB2312" w:eastAsia="仿宋_GB2312"/>
                      <w:sz w:val="24"/>
                      <w:color w:val="0000FF"/>
                    </w:rPr>
                    <w:t>1分</w:t>
                  </w:r>
                </w:p>
              </w:tc>
            </w:tr>
            <w:tr>
              <w:tc>
                <w:tcPr>
                  <w:tcW w:type="dxa" w:w="387"/>
                  <w:vMerge/>
                  <w:tcBorders>
                    <w:top w:val="none" w:color="000000" w:sz="4"/>
                    <w:left w:val="single" w:color="000000" w:sz="4"/>
                    <w:bottom w:val="single" w:color="000000" w:sz="4"/>
                    <w:right w:val="single" w:color="000000" w:sz="4"/>
                  </w:tcBorders>
                </w:tcPr>
                <w:p/>
              </w:tc>
              <w:tc>
                <w:tcPr>
                  <w:tcW w:type="dxa" w:w="464"/>
                  <w:vMerge/>
                  <w:tcBorders>
                    <w:top w:val="none" w:color="000000" w:sz="4"/>
                    <w:left w:val="single" w:color="000000" w:sz="4"/>
                    <w:bottom w:val="single" w:color="000000" w:sz="4"/>
                    <w:right w:val="single" w:color="000000" w:sz="4"/>
                  </w:tcBorders>
                </w:tcP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每年完成至少</w:t>
                  </w:r>
                  <w:r>
                    <w:rPr>
                      <w:rFonts w:ascii="仿宋_GB2312" w:hAnsi="仿宋_GB2312" w:cs="仿宋_GB2312" w:eastAsia="仿宋_GB2312"/>
                      <w:sz w:val="24"/>
                      <w:color w:val="0000FF"/>
                    </w:rPr>
                    <w:t>15项以上自然博物馆文创产品版权申请。</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每少一项文创产品版权扣</w:t>
                  </w:r>
                  <w:r>
                    <w:rPr>
                      <w:rFonts w:ascii="仿宋_GB2312" w:hAnsi="仿宋_GB2312" w:cs="仿宋_GB2312" w:eastAsia="仿宋_GB2312"/>
                      <w:sz w:val="24"/>
                      <w:color w:val="0000FF"/>
                    </w:rPr>
                    <w:t>1分</w:t>
                  </w:r>
                </w:p>
              </w:tc>
            </w:tr>
            <w:tr>
              <w:tc>
                <w:tcPr>
                  <w:tcW w:type="dxa" w:w="387"/>
                  <w:vMerge/>
                  <w:tcBorders>
                    <w:top w:val="none" w:color="000000" w:sz="4"/>
                    <w:left w:val="single" w:color="000000" w:sz="4"/>
                    <w:bottom w:val="single" w:color="000000" w:sz="4"/>
                    <w:right w:val="single" w:color="000000" w:sz="4"/>
                  </w:tcBorders>
                </w:tcPr>
                <w:p/>
              </w:tc>
              <w:tc>
                <w:tcPr>
                  <w:tcW w:type="dxa" w:w="4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FF"/>
                    </w:rPr>
                    <w:t>研学课程开发</w:t>
                  </w: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每年开发</w:t>
                  </w:r>
                  <w:r>
                    <w:rPr>
                      <w:rFonts w:ascii="仿宋_GB2312" w:hAnsi="仿宋_GB2312" w:cs="仿宋_GB2312" w:eastAsia="仿宋_GB2312"/>
                      <w:sz w:val="24"/>
                      <w:color w:val="0000FF"/>
                    </w:rPr>
                    <w:t>10套以上与康巴什自然博物馆相关研学课程，课程需包含英文内容，贴合当地青少年知识内容</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每少一套课程扣</w:t>
                  </w:r>
                  <w:r>
                    <w:rPr>
                      <w:rFonts w:ascii="仿宋_GB2312" w:hAnsi="仿宋_GB2312" w:cs="仿宋_GB2312" w:eastAsia="仿宋_GB2312"/>
                      <w:sz w:val="24"/>
                      <w:color w:val="0000FF"/>
                    </w:rPr>
                    <w:t>2分</w:t>
                  </w:r>
                </w:p>
              </w:tc>
            </w:tr>
            <w:tr>
              <w:tc>
                <w:tcPr>
                  <w:tcW w:type="dxa" w:w="387"/>
                  <w:vMerge/>
                  <w:tcBorders>
                    <w:top w:val="none" w:color="000000" w:sz="4"/>
                    <w:left w:val="single" w:color="000000" w:sz="4"/>
                    <w:bottom w:val="single" w:color="000000" w:sz="4"/>
                    <w:right w:val="single" w:color="000000" w:sz="4"/>
                  </w:tcBorders>
                </w:tcPr>
                <w:p/>
              </w:tc>
              <w:tc>
                <w:tcPr>
                  <w:tcW w:type="dxa" w:w="464"/>
                  <w:vMerge/>
                  <w:tcBorders>
                    <w:top w:val="none" w:color="000000" w:sz="4"/>
                    <w:left w:val="single" w:color="000000" w:sz="4"/>
                    <w:bottom w:val="single" w:color="000000" w:sz="4"/>
                    <w:right w:val="single" w:color="000000" w:sz="4"/>
                  </w:tcBorders>
                </w:tcP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课程需可进行中英文双语授课</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未按规定双语授课的视情节扣</w:t>
                  </w:r>
                  <w:r>
                    <w:rPr>
                      <w:rFonts w:ascii="仿宋_GB2312" w:hAnsi="仿宋_GB2312" w:cs="仿宋_GB2312" w:eastAsia="仿宋_GB2312"/>
                      <w:sz w:val="24"/>
                      <w:color w:val="0000FF"/>
                    </w:rPr>
                    <w:t>1-2分</w:t>
                  </w:r>
                </w:p>
              </w:tc>
            </w:tr>
            <w:tr>
              <w:tc>
                <w:tcPr>
                  <w:tcW w:type="dxa" w:w="3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FF"/>
                    </w:rPr>
                    <w:t>会展交流服务</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FF"/>
                    </w:rPr>
                    <w:t>临展策划落地执行</w:t>
                  </w: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每年</w:t>
                  </w:r>
                  <w:r>
                    <w:rPr>
                      <w:rFonts w:ascii="仿宋_GB2312" w:hAnsi="仿宋_GB2312" w:cs="仿宋_GB2312" w:eastAsia="仿宋_GB2312"/>
                      <w:sz w:val="24"/>
                      <w:color w:val="0000FF"/>
                    </w:rPr>
                    <w:t>举办不少于</w:t>
                  </w:r>
                  <w:r>
                    <w:rPr>
                      <w:rFonts w:ascii="仿宋_GB2312" w:hAnsi="仿宋_GB2312" w:cs="仿宋_GB2312" w:eastAsia="仿宋_GB2312"/>
                      <w:sz w:val="24"/>
                      <w:color w:val="0000FF"/>
                    </w:rPr>
                    <w:t>2次线下临</w:t>
                  </w:r>
                  <w:r>
                    <w:rPr>
                      <w:rFonts w:ascii="仿宋_GB2312" w:hAnsi="仿宋_GB2312" w:cs="仿宋_GB2312" w:eastAsia="仿宋_GB2312"/>
                      <w:sz w:val="24"/>
                      <w:color w:val="0000FF"/>
                    </w:rPr>
                    <w:t>展</w:t>
                  </w:r>
                  <w:r>
                    <w:rPr>
                      <w:rFonts w:ascii="仿宋_GB2312" w:hAnsi="仿宋_GB2312" w:cs="仿宋_GB2312" w:eastAsia="仿宋_GB2312"/>
                      <w:sz w:val="24"/>
                      <w:color w:val="0000FF"/>
                    </w:rPr>
                    <w:t>，</w:t>
                  </w:r>
                  <w:r>
                    <w:rPr>
                      <w:rFonts w:ascii="仿宋_GB2312" w:hAnsi="仿宋_GB2312" w:cs="仿宋_GB2312" w:eastAsia="仿宋_GB2312"/>
                      <w:sz w:val="24"/>
                      <w:color w:val="0000FF"/>
                    </w:rPr>
                    <w:t>展览需</w:t>
                  </w:r>
                  <w:r>
                    <w:rPr>
                      <w:rFonts w:ascii="仿宋_GB2312" w:hAnsi="仿宋_GB2312" w:cs="仿宋_GB2312" w:eastAsia="仿宋_GB2312"/>
                      <w:sz w:val="24"/>
                      <w:color w:val="0000FF"/>
                    </w:rPr>
                    <w:t>通过高新科技媒介</w:t>
                  </w:r>
                  <w:r>
                    <w:rPr>
                      <w:rFonts w:ascii="仿宋_GB2312" w:hAnsi="仿宋_GB2312" w:cs="仿宋_GB2312" w:eastAsia="仿宋_GB2312"/>
                      <w:sz w:val="24"/>
                      <w:color w:val="0000FF"/>
                    </w:rPr>
                    <w:t>AR、VR、MR、XR其中至少两种以上进行</w:t>
                  </w:r>
                  <w:r>
                    <w:rPr>
                      <w:rFonts w:ascii="仿宋_GB2312" w:hAnsi="仿宋_GB2312" w:cs="仿宋_GB2312" w:eastAsia="仿宋_GB2312"/>
                      <w:sz w:val="24"/>
                      <w:color w:val="0000FF"/>
                    </w:rPr>
                    <w:t>场景式</w:t>
                  </w:r>
                  <w:r>
                    <w:rPr>
                      <w:rFonts w:ascii="仿宋_GB2312" w:hAnsi="仿宋_GB2312" w:cs="仿宋_GB2312" w:eastAsia="仿宋_GB2312"/>
                      <w:sz w:val="24"/>
                      <w:color w:val="0000FF"/>
                    </w:rPr>
                    <w:t>展陈呈现，以实现科技及数字场馆的游览体验</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每少一次临展扣</w:t>
                  </w:r>
                  <w:r>
                    <w:rPr>
                      <w:rFonts w:ascii="仿宋_GB2312" w:hAnsi="仿宋_GB2312" w:cs="仿宋_GB2312" w:eastAsia="仿宋_GB2312"/>
                      <w:sz w:val="24"/>
                      <w:color w:val="0000FF"/>
                    </w:rPr>
                    <w:t>2分；每场次展览少一种展陈科技的扣2分</w:t>
                  </w:r>
                </w:p>
              </w:tc>
            </w:tr>
            <w:tr>
              <w:tc>
                <w:tcPr>
                  <w:tcW w:type="dxa" w:w="387"/>
                  <w:vMerge/>
                  <w:tcBorders>
                    <w:top w:val="none" w:color="000000" w:sz="4"/>
                    <w:left w:val="single" w:color="000000" w:sz="4"/>
                    <w:bottom w:val="single" w:color="000000" w:sz="4"/>
                    <w:right w:val="single" w:color="000000" w:sz="4"/>
                  </w:tcBorders>
                </w:tcPr>
                <w:p/>
              </w:tc>
              <w:tc>
                <w:tcPr>
                  <w:tcW w:type="dxa" w:w="4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FF"/>
                    </w:rPr>
                    <w:t>比赛及活动的组织</w:t>
                  </w: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组织比赛：每年组织不少于</w:t>
                  </w:r>
                  <w:r>
                    <w:rPr>
                      <w:rFonts w:ascii="仿宋_GB2312" w:hAnsi="仿宋_GB2312" w:cs="仿宋_GB2312" w:eastAsia="仿宋_GB2312"/>
                      <w:sz w:val="24"/>
                      <w:color w:val="0000FF"/>
                    </w:rPr>
                    <w:t>1场1000人以上大型自然科普、科技、文化类相关比赛</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未按要求组织的一次扣</w:t>
                  </w:r>
                  <w:r>
                    <w:rPr>
                      <w:rFonts w:ascii="仿宋_GB2312" w:hAnsi="仿宋_GB2312" w:cs="仿宋_GB2312" w:eastAsia="仿宋_GB2312"/>
                      <w:sz w:val="24"/>
                      <w:color w:val="0000FF"/>
                    </w:rPr>
                    <w:t>5分</w:t>
                  </w:r>
                </w:p>
              </w:tc>
            </w:tr>
            <w:tr>
              <w:tc>
                <w:tcPr>
                  <w:tcW w:type="dxa" w:w="387"/>
                  <w:vMerge/>
                  <w:tcBorders>
                    <w:top w:val="none" w:color="000000" w:sz="4"/>
                    <w:left w:val="single" w:color="000000" w:sz="4"/>
                    <w:bottom w:val="single" w:color="000000" w:sz="4"/>
                    <w:right w:val="single" w:color="000000" w:sz="4"/>
                  </w:tcBorders>
                </w:tcPr>
                <w:p/>
              </w:tc>
              <w:tc>
                <w:tcPr>
                  <w:tcW w:type="dxa" w:w="464"/>
                  <w:vMerge/>
                  <w:tcBorders>
                    <w:top w:val="none" w:color="000000" w:sz="4"/>
                    <w:left w:val="single" w:color="000000" w:sz="4"/>
                    <w:bottom w:val="single" w:color="000000" w:sz="4"/>
                    <w:right w:val="single" w:color="000000" w:sz="4"/>
                  </w:tcBorders>
                </w:tcP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组织公益活动：举办多类型的活动</w:t>
                  </w:r>
                  <w:r>
                    <w:rPr>
                      <w:rFonts w:ascii="仿宋_GB2312" w:hAnsi="仿宋_GB2312" w:cs="仿宋_GB2312" w:eastAsia="仿宋_GB2312"/>
                      <w:sz w:val="24"/>
                      <w:color w:val="0000FF"/>
                    </w:rPr>
                    <w:t>，</w:t>
                  </w:r>
                  <w:r>
                    <w:rPr>
                      <w:rFonts w:ascii="仿宋_GB2312" w:hAnsi="仿宋_GB2312" w:cs="仿宋_GB2312" w:eastAsia="仿宋_GB2312"/>
                      <w:sz w:val="24"/>
                      <w:color w:val="0000FF"/>
                    </w:rPr>
                    <w:t>每年不低于</w:t>
                  </w:r>
                  <w:r>
                    <w:rPr>
                      <w:rFonts w:ascii="仿宋_GB2312" w:hAnsi="仿宋_GB2312" w:cs="仿宋_GB2312" w:eastAsia="仿宋_GB2312"/>
                      <w:sz w:val="24"/>
                      <w:color w:val="0000FF"/>
                    </w:rPr>
                    <w:t>30次。具体内容包括但不限于：生物多样性展览、环境保护讲座、户外探索活动、环保义工活动、科学实验室体验、生态教育项目、主题展览与特色活动、科普讲座与工作坊、志愿者培训、社区合作项目</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每少一次公益活动扣</w:t>
                  </w:r>
                  <w:r>
                    <w:rPr>
                      <w:rFonts w:ascii="仿宋_GB2312" w:hAnsi="仿宋_GB2312" w:cs="仿宋_GB2312" w:eastAsia="仿宋_GB2312"/>
                      <w:sz w:val="24"/>
                      <w:color w:val="0000FF"/>
                    </w:rPr>
                    <w:t>1分</w:t>
                  </w:r>
                </w:p>
              </w:tc>
            </w:tr>
            <w:tr>
              <w:tc>
                <w:tcPr>
                  <w:tcW w:type="dxa" w:w="387"/>
                  <w:vMerge/>
                  <w:tcBorders>
                    <w:top w:val="none" w:color="000000" w:sz="4"/>
                    <w:left w:val="single" w:color="000000" w:sz="4"/>
                    <w:bottom w:val="single" w:color="000000" w:sz="4"/>
                    <w:right w:val="single" w:color="000000" w:sz="4"/>
                  </w:tcBorders>
                </w:tcPr>
                <w:p/>
              </w:tc>
              <w:tc>
                <w:tcPr>
                  <w:tcW w:type="dxa" w:w="464"/>
                  <w:vMerge/>
                  <w:tcBorders>
                    <w:top w:val="none" w:color="000000" w:sz="4"/>
                    <w:left w:val="single" w:color="000000" w:sz="4"/>
                    <w:bottom w:val="single" w:color="000000" w:sz="4"/>
                    <w:right w:val="single" w:color="000000" w:sz="4"/>
                  </w:tcBorders>
                </w:tcP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每逢法定节假日进行相关主题活动策划及落地</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招标人</w:t>
                  </w:r>
                  <w:r>
                    <w:rPr>
                      <w:rFonts w:ascii="仿宋_GB2312" w:hAnsi="仿宋_GB2312" w:cs="仿宋_GB2312" w:eastAsia="仿宋_GB2312"/>
                      <w:sz w:val="24"/>
                      <w:color w:val="0000FF"/>
                    </w:rPr>
                    <w:t>发现</w:t>
                  </w:r>
                  <w:r>
                    <w:rPr>
                      <w:rFonts w:ascii="仿宋_GB2312" w:hAnsi="仿宋_GB2312" w:cs="仿宋_GB2312" w:eastAsia="仿宋_GB2312"/>
                      <w:sz w:val="24"/>
                      <w:color w:val="0000FF"/>
                    </w:rPr>
                    <w:t>策划落地不到位</w:t>
                  </w:r>
                  <w:r>
                    <w:rPr>
                      <w:rFonts w:ascii="仿宋_GB2312" w:hAnsi="仿宋_GB2312" w:cs="仿宋_GB2312" w:eastAsia="仿宋_GB2312"/>
                      <w:sz w:val="24"/>
                      <w:color w:val="0000FF"/>
                    </w:rPr>
                    <w:t>，在通知供应商管理人员后</w:t>
                  </w:r>
                  <w:r>
                    <w:rPr>
                      <w:rFonts w:ascii="仿宋_GB2312" w:hAnsi="仿宋_GB2312" w:cs="仿宋_GB2312" w:eastAsia="仿宋_GB2312"/>
                      <w:sz w:val="24"/>
                      <w:color w:val="0000FF"/>
                    </w:rPr>
                    <w:t>6小时</w:t>
                  </w:r>
                  <w:r>
                    <w:rPr>
                      <w:rFonts w:ascii="仿宋_GB2312" w:hAnsi="仿宋_GB2312" w:cs="仿宋_GB2312" w:eastAsia="仿宋_GB2312"/>
                      <w:sz w:val="24"/>
                      <w:color w:val="0000FF"/>
                    </w:rPr>
                    <w:t>内未整改的，扣</w:t>
                  </w:r>
                  <w:r>
                    <w:rPr>
                      <w:rFonts w:ascii="仿宋_GB2312" w:hAnsi="仿宋_GB2312" w:cs="仿宋_GB2312" w:eastAsia="仿宋_GB2312"/>
                      <w:sz w:val="24"/>
                      <w:color w:val="0000FF"/>
                    </w:rPr>
                    <w:t>2</w:t>
                  </w:r>
                  <w:r>
                    <w:rPr>
                      <w:rFonts w:ascii="仿宋_GB2312" w:hAnsi="仿宋_GB2312" w:cs="仿宋_GB2312" w:eastAsia="仿宋_GB2312"/>
                      <w:sz w:val="24"/>
                      <w:color w:val="0000FF"/>
                    </w:rPr>
                    <w:t>分</w:t>
                  </w:r>
                </w:p>
              </w:tc>
            </w:tr>
            <w:tr>
              <w:tc>
                <w:tcPr>
                  <w:tcW w:type="dxa" w:w="387"/>
                  <w:vMerge/>
                  <w:tcBorders>
                    <w:top w:val="none" w:color="000000" w:sz="4"/>
                    <w:left w:val="single" w:color="000000" w:sz="4"/>
                    <w:bottom w:val="single" w:color="000000" w:sz="4"/>
                    <w:right w:val="single" w:color="000000" w:sz="4"/>
                  </w:tcBorders>
                </w:tcP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4"/>
                      <w:color w:val="0000FF"/>
                    </w:rPr>
                    <w:t>馆际交流</w:t>
                  </w:r>
                </w:p>
              </w:tc>
              <w:tc>
                <w:tcPr>
                  <w:tcW w:type="dxa" w:w="11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每年进行至少</w:t>
                  </w:r>
                  <w:r>
                    <w:rPr>
                      <w:rFonts w:ascii="仿宋_GB2312" w:hAnsi="仿宋_GB2312" w:cs="仿宋_GB2312" w:eastAsia="仿宋_GB2312"/>
                      <w:sz w:val="24"/>
                      <w:color w:val="0000FF"/>
                    </w:rPr>
                    <w:t>6场与其他博物馆的馆际交流活动，了解博物馆行业发展动向，并形成交流成果</w:t>
                  </w:r>
                </w:p>
              </w:tc>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4"/>
                      <w:color w:val="0000FF"/>
                    </w:rPr>
                    <w:t>每少进行一次馆际交流扣</w:t>
                  </w:r>
                  <w:r>
                    <w:rPr>
                      <w:rFonts w:ascii="仿宋_GB2312" w:hAnsi="仿宋_GB2312" w:cs="仿宋_GB2312" w:eastAsia="仿宋_GB2312"/>
                      <w:sz w:val="24"/>
                      <w:color w:val="0000FF"/>
                    </w:rPr>
                    <w:t>1分</w:t>
                  </w:r>
                </w:p>
              </w:tc>
            </w:tr>
          </w:tbl>
          <w:p>
            <w:pPr>
              <w:pStyle w:val="null5"/>
              <w:jc w:val="left"/>
            </w:pPr>
            <w:r>
              <w:rPr>
                <w:rFonts w:ascii="仿宋_GB2312" w:hAnsi="仿宋_GB2312" w:cs="仿宋_GB2312" w:eastAsia="仿宋_GB2312"/>
                <w:sz w:val="24"/>
                <w:color w:val="0000FF"/>
              </w:rPr>
              <w:t>本运营方案</w:t>
            </w:r>
            <w:r>
              <w:rPr>
                <w:rFonts w:ascii="仿宋_GB2312" w:hAnsi="仿宋_GB2312" w:cs="仿宋_GB2312" w:eastAsia="仿宋_GB2312"/>
                <w:sz w:val="24"/>
                <w:color w:val="0000FF"/>
              </w:rPr>
              <w:t>（</w:t>
            </w:r>
            <w:r>
              <w:rPr>
                <w:rFonts w:ascii="仿宋_GB2312" w:hAnsi="仿宋_GB2312" w:cs="仿宋_GB2312" w:eastAsia="仿宋_GB2312"/>
                <w:sz w:val="24"/>
                <w:color w:val="0000FF"/>
              </w:rPr>
              <w:t>运营服务内容包含但不限于以上内容</w:t>
            </w:r>
            <w:r>
              <w:rPr>
                <w:rFonts w:ascii="仿宋_GB2312" w:hAnsi="仿宋_GB2312" w:cs="仿宋_GB2312" w:eastAsia="仿宋_GB2312"/>
                <w:sz w:val="24"/>
                <w:color w:val="0000FF"/>
              </w:rPr>
              <w:t>）</w:t>
            </w:r>
            <w:r>
              <w:rPr>
                <w:rFonts w:ascii="仿宋_GB2312" w:hAnsi="仿宋_GB2312" w:cs="仿宋_GB2312" w:eastAsia="仿宋_GB2312"/>
                <w:sz w:val="24"/>
                <w:color w:val="0000FF"/>
              </w:rPr>
              <w:t>旨在为博物馆提供全面、科学、人性化的运营指导，推动博物馆事业的持续发展。在实际运营过程中，需根据实际情况调整和优化方案，确保博物馆的高效运营。</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技术部分80.00分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总体方案</w:t>
            </w:r>
          </w:p>
        </w:tc>
        <w:tc>
          <w:tcPr>
            <w:tcW w:type="dxa" w:w="3115"/>
          </w:tcPr>
          <w:p>
            <w:pPr>
              <w:pStyle w:val="null5"/>
              <w:jc w:val="left"/>
            </w:pPr>
            <w:r>
              <w:rPr>
                <w:rFonts w:ascii="仿宋_GB2312" w:hAnsi="仿宋_GB2312" w:cs="仿宋_GB2312" w:eastAsia="仿宋_GB2312"/>
              </w:rPr>
              <w:t>对项目有充分的认识，根据项目的特点及采购需求进行分析，有符合项目的整体管理设想及服务目标(0-2分),管理定位与管理运作模式(0-2分);重点难点分析明确、合理(0-2分);有完善的承接查验方案和服务优势保障(0-2分)；有完善的管理工作计划及实施时间(0-2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1.设施设备维修维护巡检管理服务方案(0-3分) 2.环境卫生管理服务方案(0-3分) 3.安保秩序维护管理服务方案(0-3分) 4.服务物资保障方案(0-3分) 5.软件及网络系统升级更新维护服务方案(0-3分) 6.信息安全管理服务方案(0-3分) 7.数字化场馆建设方案(0-3分) 8.会议服务方案(0-3分) 9.接待讲解服务方案(0-3分) 10.自然科普类课题研究方案(0-3分) 11.临展策划落地执行方案(0-3分) 12.大型比赛组织方案(0-3分) 13.宣传推广方案(0-3分) 14.馆际交流方案(0-3分) 15.文创产品开发生产方案(0-3分) 16.标本消杀管理方案(0-3分) 17.场馆开放方案(0-3分) 18.研学课程开发方案(0-3分) 19.应急管理方案(0-3分) 20.人员管理方案(0-3分) 以上内容不提供不得分。</w:t>
            </w:r>
          </w:p>
        </w:tc>
        <w:tc>
          <w:tcPr>
            <w:tcW w:type="dxa" w:w="1038"/>
          </w:tcPr>
          <w:p>
            <w:pPr>
              <w:pStyle w:val="null5"/>
              <w:jc w:val="right"/>
            </w:pPr>
            <w:r>
              <w:rPr>
                <w:rFonts w:ascii="仿宋_GB2312" w:hAnsi="仿宋_GB2312" w:cs="仿宋_GB2312" w:eastAsia="仿宋_GB2312"/>
              </w:rPr>
              <w:t>60.00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服务质量措施及承诺</w:t>
            </w:r>
          </w:p>
        </w:tc>
        <w:tc>
          <w:tcPr>
            <w:tcW w:type="dxa" w:w="3115"/>
          </w:tcPr>
          <w:p>
            <w:pPr>
              <w:pStyle w:val="null5"/>
              <w:jc w:val="left"/>
            </w:pPr>
            <w:r>
              <w:rPr>
                <w:rFonts w:ascii="仿宋_GB2312" w:hAnsi="仿宋_GB2312" w:cs="仿宋_GB2312" w:eastAsia="仿宋_GB2312"/>
              </w:rPr>
              <w:t>对于本项目的质量保障措施及承诺，投标人提供的内容包括但不限于以下：①运营服务质量保障措施（0-5分）②针对运营服务的承诺（0-5分）（包含但不限于人员、设备及服务响应时间等承诺），不提供不得分。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认证证书</w:t>
            </w:r>
          </w:p>
        </w:tc>
        <w:tc>
          <w:tcPr>
            <w:tcW w:type="dxa" w:w="3115"/>
          </w:tcPr>
          <w:p>
            <w:pPr>
              <w:pStyle w:val="null5"/>
              <w:jc w:val="left"/>
            </w:pPr>
            <w:r>
              <w:rPr>
                <w:rFonts w:ascii="仿宋_GB2312" w:hAnsi="仿宋_GB2312" w:cs="仿宋_GB2312" w:eastAsia="仿宋_GB2312"/>
              </w:rPr>
              <w:t>提供有效期内的质量管理体系认证证书、职业健康安全管理体系认证证书、环境管理体系认证证书，三证齐全得4分，缺一项不得分。投标人须提供认证证书原件扫描件作为证明材料，不符合要求或缺少证明材料不得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类似项目业绩</w:t>
            </w:r>
          </w:p>
        </w:tc>
        <w:tc>
          <w:tcPr>
            <w:tcW w:type="dxa" w:w="3115"/>
          </w:tcPr>
          <w:p>
            <w:pPr>
              <w:pStyle w:val="null5"/>
              <w:jc w:val="left"/>
            </w:pPr>
            <w:r>
              <w:rPr>
                <w:rFonts w:ascii="仿宋_GB2312" w:hAnsi="仿宋_GB2312" w:cs="仿宋_GB2312" w:eastAsia="仿宋_GB2312"/>
              </w:rPr>
              <w:t>供应商近三年（2021年1月至今）完成过类似项目业绩，每提供一项得2分，最多得4分。 注：提供中标成交通知书或合同原件扫描件予以证明；未提供不计分，以中标成交通知书落款日期或合同签署日期为准，没有日期或模糊不清无法辨认均为无效业绩。</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数字场馆更新维护能力</w:t>
            </w:r>
          </w:p>
        </w:tc>
        <w:tc>
          <w:tcPr>
            <w:tcW w:type="dxa" w:w="3115"/>
          </w:tcPr>
          <w:p>
            <w:pPr>
              <w:pStyle w:val="null5"/>
              <w:jc w:val="left"/>
            </w:pPr>
            <w:r>
              <w:rPr>
                <w:rFonts w:ascii="仿宋_GB2312" w:hAnsi="仿宋_GB2312" w:cs="仿宋_GB2312" w:eastAsia="仿宋_GB2312"/>
              </w:rPr>
              <w:t>投标服务企业具备提供符合场馆服务所需的自有软件著作权。每提供1项得1分，本项最高得2分。投标文件须提供证件原件扫描件。</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