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乌兰牧骑购买演出服务项目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鄂尔多斯市康巴什区文化和旅游局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鄂尔多斯市东楷建设项目管理有限公司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ESZCKBS-C-F-250005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鄂尔多斯市东楷建设项目管理有限公司</w:t>
      </w:r>
      <w:r>
        <w:rPr>
          <w:rFonts w:ascii="仿宋_GB2312" w:hAnsi="仿宋_GB2312" w:cs="仿宋_GB2312" w:eastAsia="仿宋_GB2312"/>
        </w:rPr>
        <w:t xml:space="preserve"> 受 </w:t>
      </w:r>
      <w:r>
        <w:rPr>
          <w:rFonts w:ascii="仿宋_GB2312" w:hAnsi="仿宋_GB2312" w:cs="仿宋_GB2312" w:eastAsia="仿宋_GB2312"/>
        </w:rPr>
        <w:t>鄂尔多斯市康巴什区文化和旅游局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乌兰牧骑购买演出服务项目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乌兰牧骑购买演出服务项目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ESZCKBS-C-F-250005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BUYPLANNUM[2025]00014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鄂尔多斯市康巴什区文化和旅游局乌兰牧骑购买演出服务项目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 (投标人无需到达开标现场，开标当日在投标截止时间前登录“内蒙古自治区 政府采购网--政府采购云平台”参加远程开标) 。请投标人使用投标客户端严格按照招标文件的相关要求制作和上传电子投标 文件，并按照相关要求参加开标。</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鄂尔多斯市东楷建设项目管理有限公司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内蒙古自治区鄂尔多斯市东胜区东环路7号街坊锦厦国际商务广场团商业办公楼C座5-504</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李轩锐</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18847759966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鄂尔多斯市康巴什区文化和旅游局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鄂尔多斯市康巴什区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017010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李敏楠</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15049435919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代理服务费收费标准：按照项目成交价的1.5%结算</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鄂尔多斯市康巴什区文化和旅游局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鄂尔多斯市东楷建设项目管理有限公司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经区政府2024年第25次常务会议研究，同意我局以购买演出服务项目的方式，补充乌兰牧骑的服务水平和能力，更好推动我区群众文化高质量发展。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1年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康巴什区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1、根据财政拨款，按进度进行支付，达到付款条件起5日，支付合同总金额的100.00%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标的名称：鄂尔多斯市康巴什区文化和旅游局乌兰牧骑购买演出服务项目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项目名称：鄂尔多斯市康巴什区文化和旅游局乌兰牧骑购买演出服务项目</w:t>
            </w:r>
          </w:p>
          <w:p>
            <w:pPr>
              <w:pStyle w:val="null5"/>
              <w:jc w:val="left"/>
            </w:pPr>
            <w:r>
              <w:rPr>
                <w:rFonts w:ascii="仿宋_GB2312" w:hAnsi="仿宋_GB2312" w:cs="仿宋_GB2312" w:eastAsia="仿宋_GB2312"/>
              </w:rPr>
              <w:t>项目概况</w:t>
            </w:r>
          </w:p>
          <w:p>
            <w:pPr>
              <w:pStyle w:val="null5"/>
              <w:jc w:val="left"/>
            </w:pPr>
            <w:r>
              <w:rPr>
                <w:rFonts w:ascii="仿宋_GB2312" w:hAnsi="仿宋_GB2312" w:cs="仿宋_GB2312" w:eastAsia="仿宋_GB2312"/>
              </w:rPr>
              <w:t>经区政府2024年第25次常务会议研究，同意我局以购买演出服务项目的方式，补充乌兰牧骑的服务水平和能力，更好推动我区群众文化高质量发展。</w:t>
            </w:r>
          </w:p>
          <w:p>
            <w:pPr>
              <w:pStyle w:val="null5"/>
              <w:jc w:val="left"/>
            </w:pPr>
            <w:r>
              <w:rPr>
                <w:rFonts w:ascii="仿宋_GB2312" w:hAnsi="仿宋_GB2312" w:cs="仿宋_GB2312" w:eastAsia="仿宋_GB2312"/>
              </w:rPr>
              <w:t>服务项目：</w:t>
            </w:r>
          </w:p>
          <w:p>
            <w:pPr>
              <w:pStyle w:val="null5"/>
              <w:jc w:val="left"/>
            </w:pPr>
            <w:r>
              <w:rPr>
                <w:rFonts w:ascii="仿宋_GB2312" w:hAnsi="仿宋_GB2312" w:cs="仿宋_GB2312" w:eastAsia="仿宋_GB2312"/>
              </w:rPr>
              <w:t>包括文艺演出服务、文艺作品创作服务、群众文艺辅导服务。</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服务方案及响应机制</w:t>
            </w:r>
          </w:p>
        </w:tc>
        <w:tc>
          <w:tcPr>
            <w:tcW w:type="dxa" w:w="3115"/>
          </w:tcPr>
          <w:p>
            <w:pPr>
              <w:pStyle w:val="null5"/>
              <w:jc w:val="left"/>
            </w:pPr>
            <w:r>
              <w:rPr>
                <w:rFonts w:ascii="仿宋_GB2312" w:hAnsi="仿宋_GB2312" w:cs="仿宋_GB2312" w:eastAsia="仿宋_GB2312"/>
              </w:rPr>
              <w:t>服务方案及响应机制详细、周到得9-12分，较为详细、周到5-8分，一般得1-4分，未提供不得分。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应急管理方案</w:t>
            </w:r>
          </w:p>
        </w:tc>
        <w:tc>
          <w:tcPr>
            <w:tcW w:type="dxa" w:w="3115"/>
          </w:tcPr>
          <w:p>
            <w:pPr>
              <w:pStyle w:val="null5"/>
              <w:jc w:val="left"/>
            </w:pPr>
            <w:r>
              <w:rPr>
                <w:rFonts w:ascii="仿宋_GB2312" w:hAnsi="仿宋_GB2312" w:cs="仿宋_GB2312" w:eastAsia="仿宋_GB2312"/>
              </w:rPr>
              <w:t>应急管理方案内容全面、科学、合理得9-12分，较为全面、科学、合理得5-8分，一般得1-4分，未提供不得分。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对项目的理解</w:t>
            </w:r>
          </w:p>
        </w:tc>
        <w:tc>
          <w:tcPr>
            <w:tcW w:type="dxa" w:w="3115"/>
          </w:tcPr>
          <w:p>
            <w:pPr>
              <w:pStyle w:val="null5"/>
              <w:jc w:val="left"/>
            </w:pPr>
            <w:r>
              <w:rPr>
                <w:rFonts w:ascii="仿宋_GB2312" w:hAnsi="仿宋_GB2312" w:cs="仿宋_GB2312" w:eastAsia="仿宋_GB2312"/>
              </w:rPr>
              <w:t>投标人对项目需求认知清晰，对项目规划重点、关键点分析精准得9-12分; 对项目需求较为了解，对项目规划重点、关键点分析准确得5-8分；对项目需求了解，对项目规划重点、关键点分析基本合理得1-4分；未提供不得分。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质量保证措施科学合理、体系完善、内容丰富、目标明确的得9-12分；较好的得5-8分；一般的得1-4分，未提供不得分。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项目管理制度</w:t>
            </w:r>
          </w:p>
        </w:tc>
        <w:tc>
          <w:tcPr>
            <w:tcW w:type="dxa" w:w="3115"/>
          </w:tcPr>
          <w:p>
            <w:pPr>
              <w:pStyle w:val="null5"/>
              <w:jc w:val="left"/>
            </w:pPr>
            <w:r>
              <w:rPr>
                <w:rFonts w:ascii="仿宋_GB2312" w:hAnsi="仿宋_GB2312" w:cs="仿宋_GB2312" w:eastAsia="仿宋_GB2312"/>
              </w:rPr>
              <w:t>供应商提供合理的项目管理制度，项目管理制度完善，工作内容明确，保障措施有效，人员配置及响应时间科学合理，优秀的得9-12分； 良好的得5-8分；一般的得1-4分，未提供不得分。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服务工作重点、难点分析</w:t>
            </w:r>
          </w:p>
        </w:tc>
        <w:tc>
          <w:tcPr>
            <w:tcW w:type="dxa" w:w="3115"/>
          </w:tcPr>
          <w:p>
            <w:pPr>
              <w:pStyle w:val="null5"/>
              <w:jc w:val="left"/>
            </w:pPr>
            <w:r>
              <w:rPr>
                <w:rFonts w:ascii="仿宋_GB2312" w:hAnsi="仿宋_GB2312" w:cs="仿宋_GB2312" w:eastAsia="仿宋_GB2312"/>
              </w:rPr>
              <w:t>服务工作重点、难点分析全面，并提出合理化建议得7-10分，较好得4-6分 , 一般得1-3分，未提供不得分。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其他人员配置</w:t>
            </w:r>
          </w:p>
        </w:tc>
        <w:tc>
          <w:tcPr>
            <w:tcW w:type="dxa" w:w="3115"/>
          </w:tcPr>
          <w:p>
            <w:pPr>
              <w:pStyle w:val="null5"/>
              <w:jc w:val="left"/>
            </w:pPr>
            <w:r>
              <w:rPr>
                <w:rFonts w:ascii="仿宋_GB2312" w:hAnsi="仿宋_GB2312" w:cs="仿宋_GB2312" w:eastAsia="仿宋_GB2312"/>
              </w:rPr>
              <w:t>供应商单位人员团队中具有编导、文本串词、导演、舞美、灯光、视频等相关专业人员的，每有一人的3分，最高累计得12分。（响应文件中须附上述人员资格证书或职称证书或从业履历证明或获奖证明证书）</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近年（2021年1月1日至今，以合同签订时间为准），供应商具有承接政府购买服务业绩，每提供一项加2分，最多加8分。（须提供合同和中标通知书原件扫描件）</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