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鄂尔多斯市康巴什区少年科学院办学场所采购项目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鄂尔多斯市康巴什区教育体育局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内蒙古诚泽全过程工程咨询有限公司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ESZCKBS-G-H-250011</w:t>
      </w:r>
    </w:p>
    <w:p>
      <w:pPr>
        <w:pStyle w:val="null5"/>
        <w:jc w:val="center"/>
      </w:pPr>
      <w:r>
        <w:rPr>
          <w:rFonts w:ascii="仿宋_GB2312" w:hAnsi="仿宋_GB2312" w:cs="仿宋_GB2312" w:eastAsia="仿宋_GB2312"/>
        </w:rPr>
        <w:t>2025年03月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内蒙古诚泽全过程工程咨询有限公司</w:t>
      </w:r>
      <w:r>
        <w:rPr>
          <w:rFonts w:ascii="仿宋_GB2312" w:hAnsi="仿宋_GB2312" w:cs="仿宋_GB2312" w:eastAsia="仿宋_GB2312"/>
        </w:rPr>
        <w:t xml:space="preserve"> 受 </w:t>
      </w:r>
      <w:r>
        <w:rPr>
          <w:rFonts w:ascii="仿宋_GB2312" w:hAnsi="仿宋_GB2312" w:cs="仿宋_GB2312" w:eastAsia="仿宋_GB2312"/>
        </w:rPr>
        <w:t>鄂尔多斯市康巴什区教育体育局</w:t>
      </w:r>
      <w:r>
        <w:rPr>
          <w:rFonts w:ascii="仿宋_GB2312" w:hAnsi="仿宋_GB2312" w:cs="仿宋_GB2312" w:eastAsia="仿宋_GB2312"/>
        </w:rPr>
        <w:t xml:space="preserve"> 委托，采用公开招标方式组织采购 </w:t>
      </w:r>
      <w:r>
        <w:rPr>
          <w:rFonts w:ascii="仿宋_GB2312" w:hAnsi="仿宋_GB2312" w:cs="仿宋_GB2312" w:eastAsia="仿宋_GB2312"/>
        </w:rPr>
        <w:t>鄂尔多斯市康巴什区少年科学院办学场所采购项目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鄂尔多斯市康巴什区少年科学院办学场所采购项目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ESZCKBS-G-H-250011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BUYPLANNUM[2025]00042</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40,000,000.00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少年科学院办学场所采购</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40,000,000.00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建筑业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特定资格条件：(1)供应商应具有有效的房地产开发企业资质；（投标文件提供电子证书或证书扫描件）(2)所投房产具有《国有土地使用证》或用地《不动产权证书》、《建设用地规划许可证》、《建设工程规划许可证》、《建筑工程施工许可证》、《商品房预售许可证明》；（投标文件提供电子证书或证书扫描件）</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内蒙古诚泽全过程工程咨询有限公司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内蒙古自治区鄂尔多斯市东胜区鄂尔多斯市东胜区东环路2号街坊亿昌大厦B座5层504</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017010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孙芃荻、张娟</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18004717214</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鄂尔多斯市康巴什区教育体育局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鄂尔多斯市康巴什区</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017010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赵开升</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04778599985</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代理服务费收费标准：以中标（成交）价为计算基数，参照《内蒙古自治区建设工程招标代理服务收费指导意见》（内工建协（2022）34号）标准计算收取</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鄂尔多斯市康巴什区教育体育局</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内蒙古诚泽全过程工程咨询有限公司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重大税收违法失信主体、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审查投标人提供的经会计师事务所出具的2023年度或2024年度财务审计报告或投标人基本开户银行出具的近一年的银行资信证明。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2024年1月1日至投标截止之日期间内（至少一个月）的良好缴纳税收的相关凭据。（以税务机关出具的纳税凭据或完税证明或银行缴税入账单为准）和缴纳社会保险的凭证（以社保机构出具的专用收据或社会保险缴纳清单、或税务机关出具的缴纳社保完税证明、或银行社保缴费入账单为准）。依法免税或不需要缴纳社会保障资金的投标人，应提供主管部门出具的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审查投标人提供加盖公章的《具有履行合同所必须的设备和专业技术能力承诺书》（格式详见招标公告或招标文件附件材料）。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资格审查时，投标人未被列入失信被执行人、重大税收违法失信主体、政府采购严重违法失信行为记录名单，相关信用情况通过“信用中国”网站、中国政府采购网等渠道查询。</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特定资格条件</w:t>
            </w:r>
          </w:p>
        </w:tc>
        <w:tc>
          <w:tcPr>
            <w:tcW w:type="dxa" w:w="4984"/>
          </w:tcPr>
          <w:p>
            <w:pPr>
              <w:pStyle w:val="null5"/>
              <w:jc w:val="left"/>
            </w:pPr>
            <w:r>
              <w:rPr>
                <w:rFonts w:ascii="仿宋_GB2312" w:hAnsi="仿宋_GB2312" w:cs="仿宋_GB2312" w:eastAsia="仿宋_GB2312"/>
              </w:rPr>
              <w:t>(1)供应商应具有有效的房地产开发企业资质；（投标文件提供电子证书或证书扫描件）(2)所投房产具有《国有土地使用证》或用地《不动产权证书》、《建设用地规划许可证》、《建设工程规划许可证》、《建筑工程施工许可证》、《商品房预售许可证明》；（投标文件提供电子证书或证书扫描件）</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为全面推进康巴什区全国科学教育示范区建设，更好培养学生科学思维，不断提升中小学生科学素养和创新意识，拟在康巴什区购买一栋面积不小于14000平方米的科学实践教学楼。主要承担康巴什区中小学生科学实践、职业规划、职业体验等科学教育职能，预算资金不超过4000万元。</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合同签订后一个月内完成网签手续</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鄂尔多斯市康巴什区</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1、合同签订后支付合同价款的30%，达到付款条件起14日，达到付款条件起14日，支付合同总金额的30.00%</w:t>
            </w:r>
          </w:p>
          <w:p>
            <w:pPr>
              <w:pStyle w:val="null5"/>
              <w:jc w:val="left"/>
            </w:pPr>
            <w:r>
              <w:rPr>
                <w:rFonts w:ascii="仿宋_GB2312" w:hAnsi="仿宋_GB2312" w:cs="仿宋_GB2312" w:eastAsia="仿宋_GB2312"/>
              </w:rPr>
              <w:t>2、完成网签手续后支付合同价款的30%，达到付款条件起14日，达到付款条件起14日，支付合同总金额的30.00%</w:t>
            </w:r>
          </w:p>
          <w:p>
            <w:pPr>
              <w:pStyle w:val="null5"/>
              <w:jc w:val="left"/>
            </w:pPr>
            <w:r>
              <w:rPr>
                <w:rFonts w:ascii="仿宋_GB2312" w:hAnsi="仿宋_GB2312" w:cs="仿宋_GB2312" w:eastAsia="仿宋_GB2312"/>
              </w:rPr>
              <w:t>3、房屋交付后支付合同价款的20%，达到付款条件起14日，达到付款条件起14日，支付合同总金额的20.00%</w:t>
            </w:r>
          </w:p>
          <w:p>
            <w:pPr>
              <w:pStyle w:val="null5"/>
              <w:jc w:val="left"/>
            </w:pPr>
            <w:r>
              <w:rPr>
                <w:rFonts w:ascii="仿宋_GB2312" w:hAnsi="仿宋_GB2312" w:cs="仿宋_GB2312" w:eastAsia="仿宋_GB2312"/>
              </w:rPr>
              <w:t>4、办理完成房屋产权相关过户手续后支付合同价款的20%，办理期限不得超过8个月，达到付款条件起14日，支付合同总金额的20.00%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标的名称：少年科学院办学场所采购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采购需求：</w:t>
            </w:r>
          </w:p>
          <w:p>
            <w:pPr>
              <w:pStyle w:val="null5"/>
              <w:jc w:val="left"/>
            </w:pPr>
            <w:r>
              <w:rPr>
                <w:rFonts w:ascii="仿宋_GB2312" w:hAnsi="仿宋_GB2312" w:cs="仿宋_GB2312" w:eastAsia="仿宋_GB2312"/>
              </w:rPr>
              <w:t>（</w:t>
            </w:r>
            <w:r>
              <w:rPr>
                <w:rFonts w:ascii="仿宋_GB2312" w:hAnsi="仿宋_GB2312" w:cs="仿宋_GB2312" w:eastAsia="仿宋_GB2312"/>
              </w:rPr>
              <w:t>1）建筑面积≧14000平方米。(提供能够体现面积的相关证明资料)</w:t>
            </w:r>
          </w:p>
          <w:p>
            <w:pPr>
              <w:pStyle w:val="null5"/>
              <w:jc w:val="left"/>
            </w:pPr>
            <w:r>
              <w:rPr>
                <w:rFonts w:ascii="仿宋_GB2312" w:hAnsi="仿宋_GB2312" w:cs="仿宋_GB2312" w:eastAsia="仿宋_GB2312"/>
              </w:rPr>
              <w:t>（</w:t>
            </w:r>
            <w:r>
              <w:rPr>
                <w:rFonts w:ascii="仿宋_GB2312" w:hAnsi="仿宋_GB2312" w:cs="仿宋_GB2312" w:eastAsia="仿宋_GB2312"/>
              </w:rPr>
              <w:t>2）建筑为框架结构或框架剪力墙结构。(提供佐证材料)</w:t>
            </w:r>
          </w:p>
          <w:p>
            <w:pPr>
              <w:pStyle w:val="null5"/>
              <w:jc w:val="left"/>
            </w:pPr>
            <w:r>
              <w:rPr>
                <w:rFonts w:ascii="仿宋_GB2312" w:hAnsi="仿宋_GB2312" w:cs="仿宋_GB2312" w:eastAsia="仿宋_GB2312"/>
              </w:rPr>
              <w:t>（</w:t>
            </w:r>
            <w:r>
              <w:rPr>
                <w:rFonts w:ascii="仿宋_GB2312" w:hAnsi="仿宋_GB2312" w:cs="仿宋_GB2312" w:eastAsia="仿宋_GB2312"/>
              </w:rPr>
              <w:t>3）房屋位于鄂尔多斯市康巴什区行政区属范围内（提供佐证材料）。</w:t>
            </w:r>
          </w:p>
          <w:p>
            <w:pPr>
              <w:pStyle w:val="null5"/>
              <w:jc w:val="left"/>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基础设施要求：道路、供水、供电、供热、通风、通讯信号等设施齐全。</w:t>
            </w:r>
          </w:p>
          <w:p>
            <w:pPr>
              <w:pStyle w:val="null5"/>
              <w:jc w:val="left"/>
            </w:pPr>
            <w:r>
              <w:rPr>
                <w:rFonts w:ascii="仿宋_GB2312" w:hAnsi="仿宋_GB2312" w:cs="仿宋_GB2312" w:eastAsia="仿宋_GB2312"/>
              </w:rPr>
              <w:t>（</w:t>
            </w:r>
            <w:r>
              <w:rPr>
                <w:rFonts w:ascii="仿宋_GB2312" w:hAnsi="仿宋_GB2312" w:cs="仿宋_GB2312" w:eastAsia="仿宋_GB2312"/>
              </w:rPr>
              <w:t>5）停车条件：配有停车场。</w:t>
            </w:r>
          </w:p>
          <w:p>
            <w:pPr>
              <w:pStyle w:val="null5"/>
              <w:jc w:val="left"/>
            </w:pPr>
            <w:r>
              <w:rPr>
                <w:rFonts w:ascii="仿宋_GB2312" w:hAnsi="仿宋_GB2312" w:cs="仿宋_GB2312" w:eastAsia="仿宋_GB2312"/>
              </w:rPr>
              <w:t>投标人应尽义务：</w:t>
            </w:r>
          </w:p>
          <w:p>
            <w:pPr>
              <w:pStyle w:val="null5"/>
              <w:jc w:val="left"/>
            </w:pPr>
            <w:r>
              <w:rPr>
                <w:rFonts w:ascii="仿宋_GB2312" w:hAnsi="仿宋_GB2312" w:cs="仿宋_GB2312" w:eastAsia="仿宋_GB2312"/>
              </w:rPr>
              <w:t>（</w:t>
            </w:r>
            <w:r>
              <w:rPr>
                <w:rFonts w:ascii="仿宋_GB2312" w:hAnsi="仿宋_GB2312" w:cs="仿宋_GB2312" w:eastAsia="仿宋_GB2312"/>
              </w:rPr>
              <w:t>1）办理房本和过户工作</w:t>
            </w:r>
          </w:p>
          <w:p>
            <w:pPr>
              <w:pStyle w:val="null5"/>
              <w:jc w:val="left"/>
            </w:pPr>
            <w:r>
              <w:rPr>
                <w:rFonts w:ascii="仿宋_GB2312" w:hAnsi="仿宋_GB2312" w:cs="仿宋_GB2312" w:eastAsia="仿宋_GB2312"/>
              </w:rPr>
              <w:t>（</w:t>
            </w:r>
            <w:r>
              <w:rPr>
                <w:rFonts w:ascii="仿宋_GB2312" w:hAnsi="仿宋_GB2312" w:cs="仿宋_GB2312" w:eastAsia="仿宋_GB2312"/>
              </w:rPr>
              <w:t>2）权属清晰，无抵押，无经济纠纷</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由采购人代表和评审专家两部分共7人组成，</w:t>
      </w:r>
      <w:r>
        <w:rPr>
          <w:rFonts w:ascii="仿宋_GB2312" w:hAnsi="仿宋_GB2312" w:cs="仿宋_GB2312" w:eastAsia="仿宋_GB2312"/>
        </w:rPr>
        <w:t>其中由评审专家库产生的评审专家5人，</w:t>
      </w:r>
      <w:r>
        <w:rPr>
          <w:rFonts w:ascii="仿宋_GB2312" w:hAnsi="仿宋_GB2312" w:cs="仿宋_GB2312" w:eastAsia="仿宋_GB2312"/>
        </w:rPr>
        <w:t>由采购人派出的采购人代表2人。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 目录 封面</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本项目不收取</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对采购需求及技术要求响应性</w:t>
            </w:r>
          </w:p>
        </w:tc>
        <w:tc>
          <w:tcPr>
            <w:tcW w:type="dxa" w:w="3115"/>
          </w:tcPr>
          <w:p>
            <w:pPr>
              <w:pStyle w:val="null5"/>
              <w:jc w:val="left"/>
            </w:pPr>
            <w:r>
              <w:rPr>
                <w:rFonts w:ascii="仿宋_GB2312" w:hAnsi="仿宋_GB2312" w:cs="仿宋_GB2312" w:eastAsia="仿宋_GB2312"/>
              </w:rPr>
              <w:t>投标人所出售建筑完全满足采购人相关要求的得20分，每有一项内容负偏离扣5分，扣完为止。（投标人应对技术标准与要求逐条响应。）</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房屋地段</w:t>
            </w:r>
          </w:p>
        </w:tc>
        <w:tc>
          <w:tcPr>
            <w:tcW w:type="dxa" w:w="3115"/>
          </w:tcPr>
          <w:p>
            <w:pPr>
              <w:pStyle w:val="null5"/>
              <w:jc w:val="left"/>
            </w:pPr>
            <w:r>
              <w:rPr>
                <w:rFonts w:ascii="仿宋_GB2312" w:hAnsi="仿宋_GB2312" w:cs="仿宋_GB2312" w:eastAsia="仿宋_GB2312"/>
              </w:rPr>
              <w:t>投标人针对招标文件选址要求：建筑物位于康巴什区辖区内，投标人需对建筑物周边环境进行描述（包含但不限于周边住宅小区、周边生活配套、基础设施等内容）评委根据投标人的描述酌情打分，选址要求全面系统，设施齐全得10分；选址要求一般系统，设施相对齐全得6分；选址要求不系统，设施欠缺得3分；无此项内容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建筑物周边环境</w:t>
            </w:r>
          </w:p>
        </w:tc>
        <w:tc>
          <w:tcPr>
            <w:tcW w:type="dxa" w:w="3115"/>
          </w:tcPr>
          <w:p>
            <w:pPr>
              <w:pStyle w:val="null5"/>
              <w:jc w:val="left"/>
            </w:pPr>
            <w:r>
              <w:rPr>
                <w:rFonts w:ascii="仿宋_GB2312" w:hAnsi="仿宋_GB2312" w:cs="仿宋_GB2312" w:eastAsia="仿宋_GB2312"/>
              </w:rPr>
              <w:t>投标人针对招标文件选址要求做出承诺有一项得2分，最多得10分。 1、建筑 物500米半径范围内不应毗邻售卖活禽、活畜的集贸市场的承诺得2分； 2、建筑物500米半径范围内不应毗邻歌舞厅、网吧、游戏厅等娱乐场所的承诺得2分； 3、建筑物500米半径范围内不应毗邻传染病医院、垃圾中转站及污水处理站等不利于幼儿身心健康的场所的承诺得2分； 4、建筑物500米半径范围内不 应毗邻生产经营有毒有害易燃易爆物品等不利于使用安全的场所的承诺得2分； 5、建筑物500米半径范围内不应毗邻通信发射塔台等有较强电磁波辐射的场所的承诺得2分。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房本办理及过户方案</w:t>
            </w:r>
          </w:p>
        </w:tc>
        <w:tc>
          <w:tcPr>
            <w:tcW w:type="dxa" w:w="3115"/>
          </w:tcPr>
          <w:p>
            <w:pPr>
              <w:pStyle w:val="null5"/>
              <w:jc w:val="left"/>
            </w:pPr>
            <w:r>
              <w:rPr>
                <w:rFonts w:ascii="仿宋_GB2312" w:hAnsi="仿宋_GB2312" w:cs="仿宋_GB2312" w:eastAsia="仿宋_GB2312"/>
              </w:rPr>
              <w:t>承诺协助采购人顺利办理房本或过户手续，以流程熟悉情况、投入人员等情况，酌情打分。投标人的过户方案全面、流程详细同时投入人员3-5人得4分；投标人的过户方案欠缺、流程不明晰同时投入人员2-4人得2分。只提供人员或者只提供方案的不得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房屋权属</w:t>
            </w:r>
          </w:p>
        </w:tc>
        <w:tc>
          <w:tcPr>
            <w:tcW w:type="dxa" w:w="3115"/>
          </w:tcPr>
          <w:p>
            <w:pPr>
              <w:pStyle w:val="null5"/>
              <w:jc w:val="left"/>
            </w:pPr>
            <w:r>
              <w:rPr>
                <w:rFonts w:ascii="仿宋_GB2312" w:hAnsi="仿宋_GB2312" w:cs="仿宋_GB2312" w:eastAsia="仿宋_GB2312"/>
              </w:rPr>
              <w:t>权属清晰，无抵押、无查封、无欠税费、无其他纠纷问题得5分，否则不得分。（应提供抵押、查封情况查询表）</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房屋结构形式</w:t>
            </w:r>
          </w:p>
        </w:tc>
        <w:tc>
          <w:tcPr>
            <w:tcW w:type="dxa" w:w="3115"/>
          </w:tcPr>
          <w:p>
            <w:pPr>
              <w:pStyle w:val="null5"/>
              <w:jc w:val="left"/>
            </w:pPr>
            <w:r>
              <w:rPr>
                <w:rFonts w:ascii="仿宋_GB2312" w:hAnsi="仿宋_GB2312" w:cs="仿宋_GB2312" w:eastAsia="仿宋_GB2312"/>
              </w:rPr>
              <w:t>1.房屋为独栋或整栋（提供鸟瞰图或实景照片） 2.具备装修条件（首选毛坯）（提供房屋现场照片） 3.层高大于4.8m（提供施工图） 以上条件全部具备得6分，缺一项扣2分，扣完为止。</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建设工程消防验收</w:t>
            </w:r>
          </w:p>
        </w:tc>
        <w:tc>
          <w:tcPr>
            <w:tcW w:type="dxa" w:w="3115"/>
          </w:tcPr>
          <w:p>
            <w:pPr>
              <w:pStyle w:val="null5"/>
              <w:jc w:val="left"/>
            </w:pPr>
            <w:r>
              <w:rPr>
                <w:rFonts w:ascii="仿宋_GB2312" w:hAnsi="仿宋_GB2312" w:cs="仿宋_GB2312" w:eastAsia="仿宋_GB2312"/>
              </w:rPr>
              <w:t>房屋消防设施达到消防验收标准（应提供验收相关资料）。提供得5分，否则不得分。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投标人业绩</w:t>
            </w:r>
          </w:p>
        </w:tc>
        <w:tc>
          <w:tcPr>
            <w:tcW w:type="dxa" w:w="3115"/>
          </w:tcPr>
          <w:p>
            <w:pPr>
              <w:pStyle w:val="null5"/>
              <w:jc w:val="left"/>
            </w:pPr>
            <w:r>
              <w:rPr>
                <w:rFonts w:ascii="仿宋_GB2312" w:hAnsi="仿宋_GB2312" w:cs="仿宋_GB2312" w:eastAsia="仿宋_GB2312"/>
              </w:rPr>
              <w:t>2022年1月1日至投标截止之日【以初始登记（不动产权情况表或不动产权证书）出具日期或不动产权证书发证日期为准】投标人承担的房地产开发业绩，每有一项得5分，最多得10分。【投标文件提供业绩所属房产的初始登记（不动产权情况表）或不动产权证书扫描件，属于同一开发项目的不同单元或楼栋按一个开发业绩计取】</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