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1F164">
      <w:pPr>
        <w:pStyle w:val="4"/>
        <w:spacing w:line="360" w:lineRule="auto"/>
        <w:outlineLvl w:val="2"/>
        <w:rPr>
          <w:rFonts w:hint="eastAsia" w:ascii="宋体" w:hAnsi="宋体" w:eastAsia="宋体" w:cs="宋体"/>
          <w:sz w:val="24"/>
          <w:szCs w:val="24"/>
        </w:rPr>
      </w:pPr>
      <w:r>
        <w:rPr>
          <w:rFonts w:hint="eastAsia" w:ascii="宋体" w:hAnsi="宋体" w:eastAsia="宋体" w:cs="宋体"/>
          <w:b/>
          <w:sz w:val="24"/>
          <w:szCs w:val="24"/>
        </w:rPr>
        <w:t>一、项目总体情况</w:t>
      </w:r>
    </w:p>
    <w:p w14:paraId="7E16B5AE">
      <w:pPr>
        <w:pStyle w:val="4"/>
        <w:spacing w:line="360" w:lineRule="auto"/>
        <w:rPr>
          <w:rFonts w:hint="eastAsia" w:ascii="宋体" w:hAnsi="宋体" w:eastAsia="宋体" w:cs="宋体"/>
          <w:sz w:val="24"/>
          <w:szCs w:val="24"/>
          <w:lang w:eastAsia="zh-CN"/>
        </w:rPr>
      </w:pPr>
      <w:r>
        <w:rPr>
          <w:rFonts w:hint="eastAsia" w:ascii="宋体" w:hAnsi="宋体" w:eastAsia="宋体" w:cs="宋体"/>
          <w:sz w:val="24"/>
          <w:szCs w:val="24"/>
        </w:rPr>
        <w:t xml:space="preserve"> （一）项目名称：</w:t>
      </w:r>
      <w:r>
        <w:rPr>
          <w:rFonts w:hint="eastAsia" w:ascii="宋体" w:hAnsi="宋体" w:eastAsia="宋体" w:cs="宋体"/>
          <w:sz w:val="24"/>
          <w:szCs w:val="24"/>
          <w:u w:val="single"/>
        </w:rPr>
        <w:t>鄂尔多斯市公安局交通管理支队康巴什区大队新增信号灯及配套设施项目</w:t>
      </w:r>
    </w:p>
    <w:p w14:paraId="040D359F">
      <w:pPr>
        <w:pStyle w:val="4"/>
        <w:spacing w:line="360" w:lineRule="auto"/>
        <w:rPr>
          <w:rFonts w:hint="eastAsia" w:ascii="宋体" w:hAnsi="宋体" w:eastAsia="宋体" w:cs="宋体"/>
          <w:sz w:val="24"/>
          <w:szCs w:val="24"/>
          <w:lang w:eastAsia="zh-CN"/>
        </w:rPr>
      </w:pPr>
      <w:r>
        <w:rPr>
          <w:rFonts w:hint="eastAsia" w:ascii="宋体" w:hAnsi="宋体" w:eastAsia="宋体" w:cs="宋体"/>
          <w:sz w:val="24"/>
          <w:szCs w:val="24"/>
        </w:rPr>
        <w:t xml:space="preserve"> （二）项目</w:t>
      </w:r>
      <w:r>
        <w:rPr>
          <w:rFonts w:hint="eastAsia" w:ascii="宋体" w:hAnsi="宋体" w:eastAsia="宋体" w:cs="宋体"/>
          <w:sz w:val="24"/>
          <w:szCs w:val="24"/>
          <w:lang w:eastAsia="zh-CN"/>
        </w:rPr>
        <w:t>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p>
    <w:p w14:paraId="32D13219">
      <w:pPr>
        <w:pStyle w:val="4"/>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三</w:t>
      </w:r>
      <w:r>
        <w:rPr>
          <w:rFonts w:hint="eastAsia" w:ascii="宋体" w:hAnsi="宋体" w:eastAsia="宋体" w:cs="宋体"/>
          <w:sz w:val="24"/>
          <w:szCs w:val="24"/>
        </w:rPr>
        <w:t>）项目所属年度： 2025年</w:t>
      </w:r>
    </w:p>
    <w:p w14:paraId="614E32FD">
      <w:pPr>
        <w:pStyle w:val="4"/>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（四）预算金额（元）：</w:t>
      </w:r>
      <w:r>
        <w:rPr>
          <w:rFonts w:hint="eastAsia" w:ascii="宋体" w:hAnsi="宋体" w:eastAsia="宋体" w:cs="宋体"/>
          <w:sz w:val="24"/>
          <w:szCs w:val="24"/>
          <w:u w:val="single"/>
          <w:lang w:eastAsia="zh-CN"/>
        </w:rPr>
        <w:t>160</w:t>
      </w:r>
      <w:r>
        <w:rPr>
          <w:rFonts w:hint="eastAsia" w:ascii="宋体" w:hAnsi="宋体" w:eastAsia="宋体" w:cs="宋体"/>
          <w:sz w:val="24"/>
          <w:szCs w:val="24"/>
          <w:u w:val="single"/>
        </w:rPr>
        <w:t>0,000.00元 ，大写（人民币）：</w:t>
      </w:r>
      <w:r>
        <w:rPr>
          <w:rFonts w:hint="eastAsia" w:ascii="宋体" w:hAnsi="宋体" w:eastAsia="宋体" w:cs="宋体"/>
          <w:sz w:val="24"/>
          <w:szCs w:val="24"/>
          <w:u w:val="single"/>
          <w:lang w:eastAsia="zh-CN"/>
        </w:rPr>
        <w:t>壹佰陆拾万</w:t>
      </w:r>
      <w:r>
        <w:rPr>
          <w:rFonts w:hint="eastAsia" w:ascii="宋体" w:hAnsi="宋体" w:eastAsia="宋体" w:cs="宋体"/>
          <w:sz w:val="24"/>
          <w:szCs w:val="24"/>
          <w:u w:val="single"/>
        </w:rPr>
        <w:t>元整</w:t>
      </w:r>
    </w:p>
    <w:p w14:paraId="02480310">
      <w:pPr>
        <w:pStyle w:val="4"/>
        <w:spacing w:line="360" w:lineRule="auto"/>
        <w:rPr>
          <w:rFonts w:hint="eastAsia" w:ascii="宋体" w:hAnsi="宋体" w:eastAsia="宋体" w:cs="宋体"/>
          <w:sz w:val="24"/>
          <w:szCs w:val="24"/>
        </w:rPr>
      </w:pPr>
      <w:r>
        <w:rPr>
          <w:rFonts w:hint="eastAsia" w:ascii="宋体" w:hAnsi="宋体" w:eastAsia="宋体" w:cs="宋体"/>
          <w:sz w:val="24"/>
          <w:szCs w:val="24"/>
        </w:rPr>
        <w:t xml:space="preserve"> （五）项目概况：</w:t>
      </w:r>
    </w:p>
    <w:p w14:paraId="52588737">
      <w:pPr>
        <w:pStyle w:val="4"/>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采购</w:t>
      </w:r>
      <w:r>
        <w:rPr>
          <w:rFonts w:hint="eastAsia" w:ascii="宋体" w:hAnsi="宋体" w:eastAsia="宋体" w:cs="宋体"/>
          <w:sz w:val="24"/>
          <w:szCs w:val="24"/>
          <w:lang w:eastAsia="zh-CN"/>
        </w:rPr>
        <w:t>康巴什区交管大队新增信号灯及交通设施工程</w:t>
      </w:r>
      <w:r>
        <w:rPr>
          <w:rFonts w:hint="eastAsia" w:ascii="宋体" w:hAnsi="宋体" w:eastAsia="宋体" w:cs="宋体"/>
          <w:sz w:val="24"/>
          <w:szCs w:val="24"/>
        </w:rPr>
        <w:t>项目，该</w:t>
      </w:r>
      <w:r>
        <w:rPr>
          <w:rFonts w:hint="eastAsia" w:ascii="宋体" w:hAnsi="宋体" w:eastAsia="宋体" w:cs="宋体"/>
          <w:sz w:val="24"/>
          <w:szCs w:val="24"/>
          <w:lang w:eastAsia="zh-CN"/>
        </w:rPr>
        <w:t>工程项目</w:t>
      </w:r>
      <w:r>
        <w:rPr>
          <w:rFonts w:hint="eastAsia" w:ascii="宋体" w:hAnsi="宋体" w:eastAsia="宋体" w:cs="宋体"/>
          <w:sz w:val="24"/>
          <w:szCs w:val="24"/>
        </w:rPr>
        <w:t>包含</w:t>
      </w:r>
      <w:r>
        <w:rPr>
          <w:rFonts w:hint="eastAsia" w:ascii="宋体" w:hAnsi="宋体" w:eastAsia="宋体" w:cs="宋体"/>
          <w:sz w:val="24"/>
          <w:szCs w:val="24"/>
          <w:lang w:eastAsia="zh-CN"/>
        </w:rPr>
        <w:t>康巴什区4处信号灯路口新建、2处电子警察新建路口、人行横道信号灯及人行横道预警系统新建工程。</w:t>
      </w:r>
    </w:p>
    <w:p w14:paraId="5A939CC6">
      <w:pPr>
        <w:pStyle w:val="4"/>
        <w:spacing w:line="360" w:lineRule="auto"/>
        <w:rPr>
          <w:rFonts w:hint="eastAsia" w:ascii="宋体" w:hAnsi="宋体" w:eastAsia="宋体" w:cs="宋体"/>
          <w:sz w:val="24"/>
          <w:szCs w:val="24"/>
          <w:lang w:eastAsia="zh-CN"/>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六</w:t>
      </w:r>
      <w:r>
        <w:rPr>
          <w:rFonts w:hint="eastAsia" w:ascii="宋体" w:hAnsi="宋体" w:eastAsia="宋体" w:cs="宋体"/>
          <w:sz w:val="24"/>
          <w:szCs w:val="24"/>
        </w:rPr>
        <w:t>）</w:t>
      </w:r>
      <w:r>
        <w:rPr>
          <w:rFonts w:hint="eastAsia" w:ascii="宋体" w:hAnsi="宋体" w:eastAsia="宋体" w:cs="宋体"/>
          <w:sz w:val="24"/>
          <w:szCs w:val="24"/>
          <w:lang w:eastAsia="zh-CN"/>
        </w:rPr>
        <w:t>建设内容情况（技术规格、参数及要求）</w:t>
      </w:r>
    </w:p>
    <w:tbl>
      <w:tblPr>
        <w:tblStyle w:val="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244"/>
        <w:gridCol w:w="813"/>
        <w:gridCol w:w="1506"/>
        <w:gridCol w:w="1714"/>
        <w:gridCol w:w="1536"/>
      </w:tblGrid>
      <w:tr w14:paraId="53BD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14:paraId="7129544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316" w:type="pct"/>
            <w:tcBorders>
              <w:top w:val="single" w:color="auto" w:sz="4" w:space="0"/>
              <w:left w:val="single" w:color="auto" w:sz="4" w:space="0"/>
              <w:bottom w:val="single" w:color="auto" w:sz="4" w:space="0"/>
              <w:right w:val="single" w:color="auto" w:sz="4" w:space="0"/>
            </w:tcBorders>
            <w:shd w:val="clear" w:color="auto" w:fill="auto"/>
            <w:vAlign w:val="center"/>
          </w:tcPr>
          <w:p w14:paraId="450BF90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工程名称</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14:paraId="33856F0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883" w:type="pct"/>
            <w:tcBorders>
              <w:top w:val="single" w:color="auto" w:sz="4" w:space="0"/>
              <w:left w:val="single" w:color="auto" w:sz="4" w:space="0"/>
              <w:bottom w:val="single" w:color="auto" w:sz="4" w:space="0"/>
              <w:right w:val="single" w:color="auto" w:sz="4" w:space="0"/>
            </w:tcBorders>
            <w:shd w:val="clear" w:color="auto" w:fill="auto"/>
            <w:vAlign w:val="center"/>
          </w:tcPr>
          <w:p w14:paraId="5251169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采购需求</w:t>
            </w:r>
          </w:p>
        </w:tc>
        <w:tc>
          <w:tcPr>
            <w:tcW w:w="1005" w:type="pct"/>
            <w:tcBorders>
              <w:top w:val="single" w:color="auto" w:sz="4" w:space="0"/>
              <w:left w:val="single" w:color="auto" w:sz="4" w:space="0"/>
              <w:bottom w:val="single" w:color="auto" w:sz="4" w:space="0"/>
              <w:right w:val="single" w:color="auto" w:sz="4" w:space="0"/>
            </w:tcBorders>
            <w:shd w:val="clear" w:color="auto" w:fill="auto"/>
            <w:vAlign w:val="center"/>
          </w:tcPr>
          <w:p w14:paraId="0A50BB4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交货期（工期）</w:t>
            </w:r>
          </w:p>
        </w:tc>
        <w:tc>
          <w:tcPr>
            <w:tcW w:w="901" w:type="pct"/>
            <w:tcBorders>
              <w:top w:val="single" w:color="auto" w:sz="4" w:space="0"/>
              <w:left w:val="single" w:color="auto" w:sz="4" w:space="0"/>
              <w:bottom w:val="single" w:color="auto" w:sz="4" w:space="0"/>
              <w:right w:val="single" w:color="auto" w:sz="4" w:space="0"/>
            </w:tcBorders>
            <w:shd w:val="clear" w:color="auto" w:fill="auto"/>
            <w:vAlign w:val="center"/>
          </w:tcPr>
          <w:p w14:paraId="5EA2041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采购预算</w:t>
            </w:r>
          </w:p>
        </w:tc>
      </w:tr>
      <w:tr w14:paraId="6ABB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14:paraId="08F3E77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16" w:type="pct"/>
            <w:tcBorders>
              <w:top w:val="single" w:color="auto" w:sz="4" w:space="0"/>
              <w:left w:val="single" w:color="auto" w:sz="4" w:space="0"/>
              <w:bottom w:val="single" w:color="auto" w:sz="4" w:space="0"/>
              <w:right w:val="single" w:color="auto" w:sz="4" w:space="0"/>
            </w:tcBorders>
            <w:shd w:val="clear" w:color="auto" w:fill="auto"/>
            <w:vAlign w:val="center"/>
          </w:tcPr>
          <w:p w14:paraId="1F126360">
            <w:pPr>
              <w:widowControl/>
              <w:spacing w:line="4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信号灯新增及改造</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14:paraId="59AC12B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4处</w:t>
            </w:r>
          </w:p>
        </w:tc>
        <w:tc>
          <w:tcPr>
            <w:tcW w:w="883" w:type="pct"/>
            <w:tcBorders>
              <w:top w:val="single" w:color="auto" w:sz="4" w:space="0"/>
              <w:left w:val="single" w:color="auto" w:sz="4" w:space="0"/>
              <w:bottom w:val="single" w:color="auto" w:sz="4" w:space="0"/>
              <w:right w:val="single" w:color="auto" w:sz="4" w:space="0"/>
            </w:tcBorders>
            <w:shd w:val="clear" w:color="auto" w:fill="auto"/>
            <w:vAlign w:val="center"/>
          </w:tcPr>
          <w:p w14:paraId="1053D1E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详见招标文件</w:t>
            </w:r>
          </w:p>
        </w:tc>
        <w:tc>
          <w:tcPr>
            <w:tcW w:w="1005" w:type="pct"/>
            <w:tcBorders>
              <w:top w:val="single" w:color="auto" w:sz="4" w:space="0"/>
              <w:left w:val="single" w:color="auto" w:sz="4" w:space="0"/>
              <w:bottom w:val="single" w:color="auto" w:sz="4" w:space="0"/>
              <w:right w:val="single" w:color="auto" w:sz="4" w:space="0"/>
            </w:tcBorders>
            <w:shd w:val="clear" w:color="auto" w:fill="auto"/>
            <w:vAlign w:val="center"/>
          </w:tcPr>
          <w:p w14:paraId="1074F2F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合同签订后30个自然日完工</w:t>
            </w:r>
          </w:p>
        </w:tc>
        <w:tc>
          <w:tcPr>
            <w:tcW w:w="901" w:type="pct"/>
            <w:vMerge w:val="restart"/>
            <w:tcBorders>
              <w:top w:val="single" w:color="auto" w:sz="4" w:space="0"/>
              <w:left w:val="single" w:color="auto" w:sz="4" w:space="0"/>
              <w:right w:val="single" w:color="auto" w:sz="4" w:space="0"/>
            </w:tcBorders>
            <w:shd w:val="clear" w:color="auto" w:fill="auto"/>
            <w:vAlign w:val="center"/>
          </w:tcPr>
          <w:p w14:paraId="22BFDDF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预算金额：1600,000.00元</w:t>
            </w:r>
          </w:p>
        </w:tc>
      </w:tr>
      <w:tr w14:paraId="25F1F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14:paraId="7C70567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316" w:type="pct"/>
            <w:tcBorders>
              <w:top w:val="single" w:color="auto" w:sz="4" w:space="0"/>
              <w:left w:val="single" w:color="auto" w:sz="4" w:space="0"/>
              <w:bottom w:val="single" w:color="auto" w:sz="4" w:space="0"/>
              <w:right w:val="single" w:color="auto" w:sz="4" w:space="0"/>
            </w:tcBorders>
            <w:shd w:val="clear" w:color="auto" w:fill="auto"/>
            <w:vAlign w:val="center"/>
          </w:tcPr>
          <w:p w14:paraId="11790C66">
            <w:pPr>
              <w:widowControl/>
              <w:spacing w:line="4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新增电子警察</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14:paraId="2DAF3F0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2处</w:t>
            </w:r>
          </w:p>
        </w:tc>
        <w:tc>
          <w:tcPr>
            <w:tcW w:w="883" w:type="pct"/>
            <w:tcBorders>
              <w:top w:val="single" w:color="auto" w:sz="4" w:space="0"/>
              <w:left w:val="single" w:color="auto" w:sz="4" w:space="0"/>
              <w:bottom w:val="single" w:color="auto" w:sz="4" w:space="0"/>
              <w:right w:val="single" w:color="auto" w:sz="4" w:space="0"/>
            </w:tcBorders>
            <w:shd w:val="clear" w:color="auto" w:fill="auto"/>
            <w:vAlign w:val="center"/>
          </w:tcPr>
          <w:p w14:paraId="7FD7577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详见招标文件</w:t>
            </w:r>
          </w:p>
        </w:tc>
        <w:tc>
          <w:tcPr>
            <w:tcW w:w="1005" w:type="pct"/>
            <w:tcBorders>
              <w:top w:val="single" w:color="auto" w:sz="4" w:space="0"/>
              <w:left w:val="single" w:color="auto" w:sz="4" w:space="0"/>
              <w:bottom w:val="single" w:color="auto" w:sz="4" w:space="0"/>
              <w:right w:val="single" w:color="auto" w:sz="4" w:space="0"/>
            </w:tcBorders>
            <w:shd w:val="clear" w:color="auto" w:fill="auto"/>
            <w:vAlign w:val="center"/>
          </w:tcPr>
          <w:p w14:paraId="247BA56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合同签订后30个自然日完工</w:t>
            </w:r>
          </w:p>
        </w:tc>
        <w:tc>
          <w:tcPr>
            <w:tcW w:w="901" w:type="pct"/>
            <w:vMerge w:val="continue"/>
            <w:tcBorders>
              <w:left w:val="single" w:color="auto" w:sz="4" w:space="0"/>
              <w:right w:val="single" w:color="auto" w:sz="4" w:space="0"/>
            </w:tcBorders>
            <w:shd w:val="clear" w:color="auto" w:fill="auto"/>
            <w:vAlign w:val="center"/>
          </w:tcPr>
          <w:p w14:paraId="50FC0BB0">
            <w:pPr>
              <w:spacing w:line="360" w:lineRule="auto"/>
              <w:jc w:val="center"/>
              <w:rPr>
                <w:rFonts w:hint="eastAsia" w:ascii="宋体" w:hAnsi="宋体" w:eastAsia="宋体" w:cs="宋体"/>
                <w:sz w:val="24"/>
                <w:szCs w:val="24"/>
              </w:rPr>
            </w:pPr>
          </w:p>
        </w:tc>
      </w:tr>
      <w:tr w14:paraId="4C0E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tcBorders>
              <w:top w:val="single" w:color="auto" w:sz="4" w:space="0"/>
              <w:left w:val="single" w:color="auto" w:sz="4" w:space="0"/>
              <w:bottom w:val="single" w:color="auto" w:sz="4" w:space="0"/>
              <w:right w:val="single" w:color="auto" w:sz="4" w:space="0"/>
            </w:tcBorders>
            <w:shd w:val="clear" w:color="auto" w:fill="auto"/>
            <w:vAlign w:val="center"/>
          </w:tcPr>
          <w:p w14:paraId="0AF25FB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1316" w:type="pct"/>
            <w:tcBorders>
              <w:top w:val="single" w:color="auto" w:sz="4" w:space="0"/>
              <w:left w:val="single" w:color="auto" w:sz="4" w:space="0"/>
              <w:bottom w:val="single" w:color="auto" w:sz="4" w:space="0"/>
              <w:right w:val="single" w:color="auto" w:sz="4" w:space="0"/>
            </w:tcBorders>
            <w:shd w:val="clear" w:color="auto" w:fill="auto"/>
            <w:vAlign w:val="center"/>
          </w:tcPr>
          <w:p w14:paraId="7168F64E">
            <w:pPr>
              <w:widowControl/>
              <w:spacing w:line="4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人行横道信号灯新建</w:t>
            </w:r>
          </w:p>
        </w:tc>
        <w:tc>
          <w:tcPr>
            <w:tcW w:w="477" w:type="pct"/>
            <w:tcBorders>
              <w:top w:val="single" w:color="auto" w:sz="4" w:space="0"/>
              <w:left w:val="single" w:color="auto" w:sz="4" w:space="0"/>
              <w:bottom w:val="single" w:color="auto" w:sz="4" w:space="0"/>
              <w:right w:val="single" w:color="auto" w:sz="4" w:space="0"/>
            </w:tcBorders>
            <w:shd w:val="clear" w:color="auto" w:fill="auto"/>
            <w:vAlign w:val="center"/>
          </w:tcPr>
          <w:p w14:paraId="700511FE">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处</w:t>
            </w:r>
          </w:p>
        </w:tc>
        <w:tc>
          <w:tcPr>
            <w:tcW w:w="883" w:type="pct"/>
            <w:tcBorders>
              <w:top w:val="single" w:color="auto" w:sz="4" w:space="0"/>
              <w:left w:val="single" w:color="auto" w:sz="4" w:space="0"/>
              <w:bottom w:val="single" w:color="auto" w:sz="4" w:space="0"/>
              <w:right w:val="single" w:color="auto" w:sz="4" w:space="0"/>
            </w:tcBorders>
            <w:shd w:val="clear" w:color="auto" w:fill="auto"/>
            <w:vAlign w:val="center"/>
          </w:tcPr>
          <w:p w14:paraId="51DC200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详见招标文件</w:t>
            </w:r>
          </w:p>
        </w:tc>
        <w:tc>
          <w:tcPr>
            <w:tcW w:w="1005" w:type="pct"/>
            <w:tcBorders>
              <w:top w:val="single" w:color="auto" w:sz="4" w:space="0"/>
              <w:left w:val="single" w:color="auto" w:sz="4" w:space="0"/>
              <w:bottom w:val="single" w:color="auto" w:sz="4" w:space="0"/>
              <w:right w:val="single" w:color="auto" w:sz="4" w:space="0"/>
            </w:tcBorders>
            <w:shd w:val="clear" w:color="auto" w:fill="auto"/>
            <w:vAlign w:val="center"/>
          </w:tcPr>
          <w:p w14:paraId="7496557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合同签订后30个自然日完工</w:t>
            </w:r>
          </w:p>
        </w:tc>
        <w:tc>
          <w:tcPr>
            <w:tcW w:w="901" w:type="pct"/>
            <w:vMerge w:val="continue"/>
            <w:tcBorders>
              <w:left w:val="single" w:color="auto" w:sz="4" w:space="0"/>
              <w:bottom w:val="single" w:color="auto" w:sz="4" w:space="0"/>
              <w:right w:val="single" w:color="auto" w:sz="4" w:space="0"/>
            </w:tcBorders>
            <w:shd w:val="clear" w:color="auto" w:fill="auto"/>
            <w:vAlign w:val="center"/>
          </w:tcPr>
          <w:p w14:paraId="0058658D">
            <w:pPr>
              <w:spacing w:line="360" w:lineRule="auto"/>
              <w:jc w:val="center"/>
              <w:rPr>
                <w:rFonts w:hint="eastAsia" w:ascii="宋体" w:hAnsi="宋体" w:eastAsia="宋体" w:cs="宋体"/>
                <w:sz w:val="24"/>
                <w:szCs w:val="24"/>
              </w:rPr>
            </w:pPr>
          </w:p>
        </w:tc>
      </w:tr>
    </w:tbl>
    <w:p w14:paraId="71EE44F6">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0420C0B1">
      <w:pPr>
        <w:rPr>
          <w:rFonts w:hint="eastAsia" w:ascii="宋体" w:hAnsi="宋体" w:eastAsia="宋体" w:cs="宋体"/>
          <w:color w:val="auto"/>
          <w:sz w:val="24"/>
          <w:szCs w:val="24"/>
        </w:rPr>
      </w:pPr>
      <w:r>
        <w:rPr>
          <w:rFonts w:hint="eastAsia" w:ascii="宋体" w:hAnsi="宋体" w:eastAsia="宋体" w:cs="宋体"/>
          <w:color w:val="auto"/>
          <w:sz w:val="24"/>
          <w:szCs w:val="24"/>
        </w:rPr>
        <w:t>产品参数：</w:t>
      </w:r>
    </w:p>
    <w:tbl>
      <w:tblPr>
        <w:tblStyle w:val="2"/>
        <w:tblW w:w="4999" w:type="pct"/>
        <w:tblInd w:w="0" w:type="dxa"/>
        <w:tblLayout w:type="autofit"/>
        <w:tblCellMar>
          <w:top w:w="0" w:type="dxa"/>
          <w:left w:w="108" w:type="dxa"/>
          <w:bottom w:w="0" w:type="dxa"/>
          <w:right w:w="108" w:type="dxa"/>
        </w:tblCellMar>
      </w:tblPr>
      <w:tblGrid>
        <w:gridCol w:w="696"/>
        <w:gridCol w:w="2616"/>
        <w:gridCol w:w="5208"/>
      </w:tblGrid>
      <w:tr w14:paraId="6B933C30">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C27F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序号</w:t>
            </w:r>
          </w:p>
        </w:tc>
        <w:tc>
          <w:tcPr>
            <w:tcW w:w="1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AD66B">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设备名称</w:t>
            </w:r>
          </w:p>
        </w:tc>
        <w:tc>
          <w:tcPr>
            <w:tcW w:w="3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2140B">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规格参数</w:t>
            </w:r>
          </w:p>
        </w:tc>
      </w:tr>
      <w:tr w14:paraId="52E69ABF">
        <w:tblPrEx>
          <w:tblCellMar>
            <w:top w:w="0" w:type="dxa"/>
            <w:left w:w="108" w:type="dxa"/>
            <w:bottom w:w="0" w:type="dxa"/>
            <w:right w:w="108" w:type="dxa"/>
          </w:tblCellMar>
        </w:tblPrEx>
        <w:trPr>
          <w:trHeight w:val="6536"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57345">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w:t>
            </w:r>
          </w:p>
        </w:tc>
        <w:tc>
          <w:tcPr>
            <w:tcW w:w="1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01CCC">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信号控制机（</w:t>
            </w:r>
            <w:bookmarkStart w:id="0" w:name="_GoBack"/>
            <w:bookmarkEnd w:id="0"/>
            <w:r>
              <w:rPr>
                <w:rFonts w:hint="eastAsia" w:ascii="宋体" w:hAnsi="宋体" w:eastAsia="宋体" w:cs="宋体"/>
                <w:color w:val="auto"/>
                <w:kern w:val="0"/>
                <w:sz w:val="24"/>
                <w:szCs w:val="24"/>
                <w:lang w:bidi="ar"/>
              </w:rPr>
              <w:t>含机柜）</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20262">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1、相位数≧32；</w:t>
            </w:r>
          </w:p>
          <w:p w14:paraId="35702226">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2、灯组数≧64；</w:t>
            </w:r>
          </w:p>
          <w:p w14:paraId="2DB8FA38">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3、阶段数≧32；</w:t>
            </w:r>
          </w:p>
          <w:p w14:paraId="6DDC3AFE">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4、方案数≧128；</w:t>
            </w:r>
          </w:p>
          <w:p w14:paraId="02BA8F25">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5、检测器数≧32；</w:t>
            </w:r>
          </w:p>
          <w:p w14:paraId="3D7171EE">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6、日计划数≧128；</w:t>
            </w:r>
          </w:p>
          <w:p w14:paraId="7D8A38FF">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7、校时功能≧2种，至少包括NTP校时、GPS校时；</w:t>
            </w:r>
          </w:p>
          <w:p w14:paraId="571D1ADD">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8、控制模式≧8种，至少包括定周期控制、感应控制、无电缆协调控制、联网控制、优先控制、勤务控制、黄闪控制、全红控制；</w:t>
            </w:r>
          </w:p>
          <w:p w14:paraId="3CB2DC15">
            <w:pPr>
              <w:widowControl/>
              <w:jc w:val="left"/>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9、信号机对路口车道在不同方案或不同时段内具备可变车道检测及控制功能；（提供公安部出具的检测报告）；</w:t>
            </w:r>
          </w:p>
          <w:p w14:paraId="71B67BF0">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10、满足故障监控功能，在发生信号灯故障时信号机应能够在功能降级的情况下继续运行；</w:t>
            </w:r>
          </w:p>
          <w:p w14:paraId="18D77583">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11、信号机性能符合《GB 25280-2016道路交通信号控制机》C类A级性能要求。</w:t>
            </w:r>
          </w:p>
          <w:p w14:paraId="791826F1">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12、信号机通信符合《GB/T 20999-2017交通信号控制机与上位机间的数据通信协议》要求；</w:t>
            </w:r>
          </w:p>
          <w:p w14:paraId="5F51D600">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13、信号机具备网络风暴防护功能，在广播风暴发生期间，信号机能够正常工作；</w:t>
            </w:r>
          </w:p>
          <w:p w14:paraId="56531BE1">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14、供电方式 AC220V±20%；</w:t>
            </w:r>
          </w:p>
          <w:p w14:paraId="4D0489C6">
            <w:pPr>
              <w:widowControl/>
              <w:jc w:val="left"/>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15、工作温度-50℃~+80℃；（提供公安部出具的检测报告）；</w:t>
            </w:r>
          </w:p>
          <w:p w14:paraId="6639A0DB">
            <w:pPr>
              <w:widowControl/>
              <w:jc w:val="left"/>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16、信号机支持信息发布接口能快速适用面向车联网的应用（提供公安部出具的检测报告）；</w:t>
            </w:r>
          </w:p>
          <w:p w14:paraId="2DF85FF9">
            <w:pPr>
              <w:widowControl/>
              <w:jc w:val="left"/>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17、信号机接收视频抓拍设备输出的车流量、平均车速、时间占有率、排队车辆数量等交通信息后，信号机自动调整下一个周期的控制方案、最大绿灯时间及最小绿灯时间（提供公安部出具的检测报告）；</w:t>
            </w:r>
          </w:p>
          <w:p w14:paraId="1121DC74">
            <w:pPr>
              <w:widowControl/>
              <w:jc w:val="left"/>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18、信号机具备接入发现、设备控制、入网设备状态监测、网络攻击防护、加密传输、安全审计等安全防护功能（提供公安部出具的检测报告）；</w:t>
            </w:r>
          </w:p>
          <w:p w14:paraId="254D56CC">
            <w:pPr>
              <w:widowControl/>
              <w:jc w:val="left"/>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19、信号机具备多网口，不同网口可接入不同网络进行通信，各网口直接物理隔离；（提供公安部出具的检测报告）；</w:t>
            </w:r>
          </w:p>
          <w:p w14:paraId="4C232A24">
            <w:pPr>
              <w:widowControl/>
              <w:jc w:val="left"/>
              <w:textAlignment w:val="center"/>
              <w:rPr>
                <w:rFonts w:hint="eastAsia" w:ascii="宋体" w:hAnsi="宋体" w:eastAsia="宋体" w:cs="宋体"/>
                <w:color w:val="auto"/>
                <w:kern w:val="0"/>
                <w:sz w:val="24"/>
                <w:szCs w:val="24"/>
                <w:lang w:bidi="ar"/>
              </w:rPr>
            </w:pPr>
          </w:p>
        </w:tc>
      </w:tr>
      <w:tr w14:paraId="4879D980">
        <w:tblPrEx>
          <w:tblCellMar>
            <w:top w:w="0" w:type="dxa"/>
            <w:left w:w="108" w:type="dxa"/>
            <w:bottom w:w="0" w:type="dxa"/>
            <w:right w:w="108" w:type="dxa"/>
          </w:tblCellMar>
        </w:tblPrEx>
        <w:trPr>
          <w:trHeight w:val="414"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83B6C">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131BD">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一体化车行灯</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69673">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φ114*4.5*5500钢管，热镀锌喷塑后处理防腐工艺，含地笼立杆直径：φ114mm，厚度4.5mm，高度5500mm；底法兰：400×400mm，厚度16mm；定位法兰：400×400×4mm；400满屏三色；400红静绿动加倒计时器；整体采用冷轧板；5.3米；采用超高亮度管芯；颜色纯正，亮度高；镀锡工艺处理，镀层无氧化</w:t>
            </w:r>
          </w:p>
        </w:tc>
      </w:tr>
      <w:tr w14:paraId="0D6EE5FA">
        <w:tblPrEx>
          <w:tblCellMar>
            <w:top w:w="0" w:type="dxa"/>
            <w:left w:w="108" w:type="dxa"/>
            <w:bottom w:w="0" w:type="dxa"/>
            <w:right w:w="108" w:type="dxa"/>
          </w:tblCellMar>
        </w:tblPrEx>
        <w:trPr>
          <w:trHeight w:val="1944"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AE94D">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DEDF4">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满屏信号灯</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4ACF9">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由红黄绿三个满屏灯组成，外型尺寸为 640×1540mm，发光单元尺寸不小于Φ365mm；LED 色度性能：红、黄、绿三种颜色符合国标应符合 GB14887-2011《道路交通信号灯》1 级 1 类要求；单只 LED 发光强度红、黄色不得小于 3cd；绿色不得小于 6cd；光强：应符合GB14887-2011《道路交通信号灯》对宽角度信号灯的光强标准；工作电压：AC 85-264V 50Hz/60Hz；在工作电压下，通过每只 LED 的电流应符合 LED 厂商要求的正常工作电流范围；LED 灯珠颗数：红色=204pcs，黄色=204pcs，绿色=204pcs；功率：红色≤10.0w，黄色≤12.0w，绿色≤12.0w；功率因数：红色≥0.95，黄色≥0.95，绿色≥0.95；信号灯发光单元的启动响应时间不大于 100ms，关闭响应时间不大于 100ms；外壳防护等级不低于 IP53,发光单元防护等级不得低于 IP65；信号灯启动瞬间电流＜2A；接地端子与可触及金属件之间电阻＜0.5Ω ；工作温度： -40℃~+80℃；工作湿热度：温度 40℃±1℃，湿度93%~97%rh；自动降光功能：通过调幅或者调相方式降低信号灯供电电压，在100V-150V 电压有效范围内，信号灯应能正常工作</w:t>
            </w:r>
          </w:p>
          <w:p w14:paraId="2D3DFDCC">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（提供公安部出具的检测报告）；</w:t>
            </w:r>
          </w:p>
        </w:tc>
      </w:tr>
      <w:tr w14:paraId="407654DB">
        <w:tblPrEx>
          <w:tblCellMar>
            <w:top w:w="0" w:type="dxa"/>
            <w:left w:w="108" w:type="dxa"/>
            <w:bottom w:w="0" w:type="dxa"/>
            <w:right w:w="108" w:type="dxa"/>
          </w:tblCellMar>
        </w:tblPrEx>
        <w:trPr>
          <w:trHeight w:val="1944"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7D8F8">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5A42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箭头信号灯</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8FC9A">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由红黄绿三个箭头灯组成，外型尺寸为 640×1540mm，发光单元尺寸不小于Φ365mm；LED 色度性能：红、黄、绿三种颜色符合国标应符合 GB14887-2011《道路交通信号灯》1 级 1 类要求；单只 LED 发光强度红、黄色不得小于 3cd；绿色不得小于 6cd；光强：应符合GB14887-2011《道路交通信号灯》对宽角度信号灯的光强标准；工作电压：AC 85-264V 50Hz/60Hz；在工作电压下，通过每只 LED 的电流应符合 LED 厂商要求的正常工作电流范围；LED 灯珠颗数：红色=204pcs，黄色=204pcs，绿色=204pcs；功率：红色≤5.0w，黄色≤5.0w，绿色≤6.1w；功率因数：红色≥0.92，黄色≥0.94，绿色≥0.94；信号灯发光单元的启动响应时间不大于 100ms，关闭响应时间不大于 100ms；外壳防护等级不低于 IP53,发光单元防护等级不得低于 IP65；信号灯启动瞬间电流＜2A；接地端子与可触及金属件之间电阻＜0.5Ω ；工作温度： -40℃~+80℃；工作湿热度：温度 40℃±1℃，湿度93%~97%rh；自动降光功能：通过调幅或者调相方式降低信号灯供电电压，在100V-150V 电压有效范围内，信号灯应能正常工作.</w:t>
            </w:r>
          </w:p>
          <w:p w14:paraId="01F97DA3">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（提供公安部出具的检测报告）；</w:t>
            </w:r>
          </w:p>
        </w:tc>
      </w:tr>
      <w:tr w14:paraId="676441AA">
        <w:tblPrEx>
          <w:tblCellMar>
            <w:top w:w="0" w:type="dxa"/>
            <w:left w:w="108" w:type="dxa"/>
            <w:bottom w:w="0" w:type="dxa"/>
            <w:right w:w="108" w:type="dxa"/>
          </w:tblCellMar>
        </w:tblPrEx>
        <w:trPr>
          <w:trHeight w:val="2160"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3944F">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6597D">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人行横道信号灯灯</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80DA0">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高度不低于3.5m，人行灯配置灯具两侧，夹角90度，由上下两联灯组成，上联为红色人行，下联为绿色人行，绿色可为动态。外型尺寸为350×700mm，发光单元尺寸不小于Φ275mm，发光单元使用的LED芯片必须是用四元素技术制造的。每个发光灯具应包括用高分子材料制作的外壳及用阻燃材料制作的印刷电路板，印刷电路板必须经过三防处理。LED色度性能：红、绿两种颜色符合国标应符合GB14887-2011《道路交通信号灯》1级1类要求。单只LED发光强度红色不得小于3cd；绿色不得小于6cd。光强：应符合GB14887-2011《道路交通信号灯》对宽角度信号灯的光强标准。LED机动车信号灯具发光单元应采用先进合理的光学配光设计原理，使灯面呈面发光特性，没有明显的光点；灯面亮度均匀，灯色目视明亮、清晰、不刺眼，两条相邻车道安装灯具无视觉差异。工作电压：AC 85-265V  50Hz/60Hz；在工作电压下，通过每只LED的电流应符合LED厂商要求的正常工作电流范围。LED灯珠颗数：红色人行灯=80pcs，绿色人行灯=78pcs。功率：红色人行灯≤3.7w，绿色人行灯≤2.3w。功率因数：红色≥0.98，绿色≥0.98。信号灯发光单元的启动响应时间不大于50ms，关闭响应时间不大于50ms。外壳防护等级不低于IP55，发光单元防护等级不低于IP65。</w:t>
            </w:r>
          </w:p>
        </w:tc>
      </w:tr>
      <w:tr w14:paraId="2AEB4F0A">
        <w:tblPrEx>
          <w:tblCellMar>
            <w:top w:w="0" w:type="dxa"/>
            <w:left w:w="108" w:type="dxa"/>
            <w:bottom w:w="0" w:type="dxa"/>
            <w:right w:w="108" w:type="dxa"/>
          </w:tblCellMar>
        </w:tblPrEx>
        <w:trPr>
          <w:trHeight w:val="1512"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B70C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6</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F8F4A">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定制化人行灯</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1AE7B">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产品定制化制作。高度不低于2.8m，人行灯夹角90度配置。</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两联红人带绿倒计时，绿人带红倒计时。</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双面灯带尺寸30×1000,红绿双色显示，具有倒计时递减功能。</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灯具尺寸为350×700mm，发光单元尺寸不小于Φ275mm，应符合GB14887-2011《道路交通信号灯》的要求。</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工作电压：AC 85-265V  50Hz/60Hz；LED灯珠颗数：红色人行灯=80pcs，绿色人行灯=78pcs。功率：红色人行灯≤3.7w，绿色人行灯≤2.3w。功率因数：红色≥0.98，绿色≥0.98。信号灯发光单元的启动响应时间不大于50ms，关闭响应时间不大于50ms。外壳防护等级不低于IP55，发光单元防护等级不低于IP65。</w:t>
            </w:r>
          </w:p>
        </w:tc>
      </w:tr>
      <w:tr w14:paraId="7084043B">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3A426">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3CBD6">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倒计时</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9B4E8">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800*600型三色双位倒计时器</w:t>
            </w:r>
          </w:p>
        </w:tc>
      </w:tr>
      <w:tr w14:paraId="20DC07BB">
        <w:tblPrEx>
          <w:tblCellMar>
            <w:top w:w="0" w:type="dxa"/>
            <w:left w:w="108" w:type="dxa"/>
            <w:bottom w:w="0" w:type="dxa"/>
            <w:right w:w="108" w:type="dxa"/>
          </w:tblCellMar>
        </w:tblPrEx>
        <w:trPr>
          <w:trHeight w:val="1512"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A5BF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9E8F6">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人行横道预警系统</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537DA">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主副杆高度不低于1200mm，闯入报警功能：将主杆接入220V信号灯的输入线，按照红色和绿色两线接入；并将主副杆的红外线对射孔进行调整，使其能够接收到红外线并人行信号灯同步，且绿灯时无语音提示，当红灯时人通过提示“红灯越线，请退回等候”的语音提示。</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显示功能：红灯亮时，LED屏显示“红灯禁行”；绿灯亮时，LED屏会显示“绿灯通行”。可实现远程控制，修改发布内容，远程开关屏，外壳采用T6061铝型材压铸而成，防护等级：IP53;耐高、低温性能：-20℃~+70℃;</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主控主板：控制不同电源输出及声音输出，音量可通过数字电位器调整大小。</w:t>
            </w:r>
          </w:p>
          <w:p w14:paraId="330889B0">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LED显示屏：发光单元使用的LED P6双基色屏。光栅：四光速对射  有效对射距离不小于20米</w:t>
            </w:r>
          </w:p>
          <w:p w14:paraId="402C37AC">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（提供公安部出具的检测报告）；</w:t>
            </w:r>
          </w:p>
        </w:tc>
      </w:tr>
      <w:tr w14:paraId="3827F56C">
        <w:tblPrEx>
          <w:tblCellMar>
            <w:top w:w="0" w:type="dxa"/>
            <w:left w:w="108" w:type="dxa"/>
            <w:bottom w:w="0" w:type="dxa"/>
            <w:right w:w="108" w:type="dxa"/>
          </w:tblCellMar>
        </w:tblPrEx>
        <w:trPr>
          <w:trHeight w:val="432"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D0F02">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9</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A65C2">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LED发光装置（条形地灯）</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578AE">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外规尺寸：1026*110*77/660*110*77；</w:t>
            </w:r>
          </w:p>
          <w:p w14:paraId="19376E13">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电源模块：input:100-220V  output:24-42V；</w:t>
            </w:r>
          </w:p>
          <w:p w14:paraId="109DE709">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DC电流：0.65-1.2A；</w:t>
            </w:r>
          </w:p>
          <w:p w14:paraId="2EB3D55A">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最大功率：36W；</w:t>
            </w:r>
          </w:p>
          <w:p w14:paraId="1B40EB88">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工作温度：-40℃-+70℃；</w:t>
            </w:r>
          </w:p>
          <w:p w14:paraId="2B0D6DC0">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相对湿度：93%-97%RH；</w:t>
            </w:r>
          </w:p>
          <w:p w14:paraId="48A8FEB4">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安装方式：地埋安装；</w:t>
            </w:r>
          </w:p>
          <w:p w14:paraId="317DBE2B">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承载能力：150KN；</w:t>
            </w:r>
          </w:p>
          <w:p w14:paraId="172D16EB">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外壳防护等级：IP65；</w:t>
            </w:r>
          </w:p>
          <w:p w14:paraId="3B2E3CB2">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（提供公安部出具的检测报告）；</w:t>
            </w:r>
          </w:p>
        </w:tc>
      </w:tr>
      <w:tr w14:paraId="0E8CE083">
        <w:tblPrEx>
          <w:tblCellMar>
            <w:top w:w="0" w:type="dxa"/>
            <w:left w:w="108" w:type="dxa"/>
            <w:bottom w:w="0" w:type="dxa"/>
            <w:right w:w="108" w:type="dxa"/>
          </w:tblCellMar>
        </w:tblPrEx>
        <w:trPr>
          <w:trHeight w:val="6425"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BC60F">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10</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F531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电警抓拍单元</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D8D5F">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1.设备应包含防护罩、高清摄像机、高清镜头、综合控制模块、防雷模块、电源模块、安装支架、存储卡、防尘防水面板、视窗玻璃、LED补光灯等部件。</w:t>
            </w:r>
          </w:p>
          <w:p w14:paraId="7CDB427C">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2.应采用交通专用高性能GS-CMOS图像传感器，传感器靶面尺寸不小于1英寸，全天候呈现高清场景图像，图像分辨率不小于4096×2160；</w:t>
            </w:r>
          </w:p>
          <w:p w14:paraId="37ABE69C">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3.视频分辨率和帧率：至少支持4096×2160，视频帧率至少支持1fps~25fps可调。</w:t>
            </w:r>
          </w:p>
          <w:p w14:paraId="555C769D">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4.支持以列表显示抓拍数据，包括序号、车牌、车道、车速、车身颜色、车标、子品牌、违法行为、时间等。</w:t>
            </w:r>
          </w:p>
          <w:p w14:paraId="7D5852EE">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5.支持识别的车牌种类包含GA 36规定的号牌字符，包含新能源汽车号牌、应急车辆专用号牌。</w:t>
            </w:r>
          </w:p>
          <w:p w14:paraId="04AFA1B7">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6.支持识别机动车车身颜色结构化属性信息，应至少支持包括红、黄、橙、蓝、绿、青、紫、粉、棕、白、黑、银（灰）、金等车身颜色识别。</w:t>
            </w:r>
          </w:p>
          <w:p w14:paraId="54FA7847">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7.支持识别机动车车牌号结构化属性信息。</w:t>
            </w:r>
          </w:p>
          <w:p w14:paraId="224FF0B5">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8.支持区分机动车、非机动车（三轮车、二轮车）、行人。</w:t>
            </w:r>
          </w:p>
          <w:p w14:paraId="361B96FF">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9.在天气晴朗无雾、机动车依次通过且无遮挡条件下进行测试，日间环境光照度不低于200lx，夜间辅助光照度不高于30lx。采取视频检测抓拍方式，日间机动车捕获率≥99%，夜间机动车捕获率≥99%。</w:t>
            </w:r>
          </w:p>
          <w:p w14:paraId="7A1C6BBF">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10.在天气晴朗无雾、机动车依次通过且号牌信息肉眼可辨条件下进行测试，日间环境光照度不低于200lx，夜间辅助光照度不高于30lx。日间车牌号识别准确率≥99%，夜间车牌号识别准确率≥99%。</w:t>
            </w:r>
          </w:p>
          <w:p w14:paraId="20573544">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11.支持货车右转未停行为抓拍功能，可对右转停车时长未超过设定时长的货车进行抓拍（提供公安部出具的检测报告）；</w:t>
            </w:r>
          </w:p>
          <w:p w14:paraId="632F1EC3">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12.支持号牌过滤功能，当指定车牌号的机动车在设定时间段内重复通过设定区域时不再进行抓拍（提供公安部出具的检测报告）；</w:t>
            </w:r>
          </w:p>
          <w:p w14:paraId="42441FD0">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13.应支持机动车不按规定车道行驶行为抓拍功能，可对不按设定机动车道属性行驶的机动车进行抓拍。</w:t>
            </w:r>
          </w:p>
          <w:p w14:paraId="1AD92678">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14.应支持机动车不按导向车道行驶行为抓拍功能，应支持机动车闯红灯行驶行行为抓拍功能。</w:t>
            </w:r>
          </w:p>
          <w:p w14:paraId="5B367204">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15.支持对禁止机动车类型、禁止号牌类型的机动车在设定时间段内驶入设定车道的行为进行抓拍。</w:t>
            </w:r>
          </w:p>
          <w:p w14:paraId="72D1CDFE">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16.支持机动车违法掉头行为抓拍功能。检测时间可设置。（提供公安部出具的检测报告）；。</w:t>
            </w:r>
          </w:p>
          <w:p w14:paraId="14E78B53">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17.在客户端下，支持设置摄像机安装高度、上/下标定线距离立杆距离、号牌下边沿离地高度、视频测速修正系数、标定线位置（提供公安部出具的检测报告）；</w:t>
            </w:r>
          </w:p>
          <w:p w14:paraId="420A6CC3">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18.为了满足不同车道不同的抓拍需求，应支持独立逻辑车道配置，可启用多条逻辑规则（提供公安部出具的检测报告）；</w:t>
            </w:r>
          </w:p>
          <w:p w14:paraId="184EB62A">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19.应具有环保电警工作模式，支持图片、视频低照增强功能，支持车牌区域效果增强功能（提供公安部出具的检测报告）；</w:t>
            </w:r>
          </w:p>
          <w:p w14:paraId="086F0234">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20.在环境光照度不大于10lx下，选择环保电警工作模式，抓拍图片中，车辆类型、车身颜色、号牌、车标、周边环境（斑马线、停车线、黄白虚实线）、非机动车、行人肉眼可辨。车牌号识别准确率≥99%。车身颜色识别准确率≥99%。车辆类型识别准确率≥99%（提供公安部出具的检测报告）；</w:t>
            </w:r>
          </w:p>
          <w:p w14:paraId="0E9950C9">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21.在环境光照度不大于3lx下，选择环保电警工作模式，车辆捕获率≥99%（提供公安部出具的检测报告）；</w:t>
            </w:r>
          </w:p>
          <w:p w14:paraId="24120183">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22.支持正常工作温度范围-45~90℃。</w:t>
            </w:r>
          </w:p>
          <w:p w14:paraId="6F877E60">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22.外壳防护等级不小于IP67。</w:t>
            </w:r>
          </w:p>
          <w:p w14:paraId="250AB98A">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23.电源适应范围：AC220V±30%。</w:t>
            </w:r>
          </w:p>
          <w:p w14:paraId="313D3D7D">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25.需符合GA/T 496-2014 《闯红灯自动记录系统通用技术条件》和GA/T 832-2014《道路交通安全违法行为图像取证技术规范》（提供公安部交通管理科学研究所出具的检测报告）。</w:t>
            </w:r>
          </w:p>
          <w:p w14:paraId="24726A31">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26.需符合GB/T 28181-2022《公共安全视频监控联网系统信息传输、交换、控制技术要求》（提供公安部安全防范报警系统产品质量监督检验测试中心出具的检测报告）。</w:t>
            </w:r>
          </w:p>
          <w:p w14:paraId="35E3D562">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27.需符合GA/T 1400.4-2017《公安视频图像信息应用系统 第4部分：接口协议要求》（提供公安部安全防范报警系统产品质量监督检验测试中心出具的检测报告）。</w:t>
            </w:r>
          </w:p>
          <w:p w14:paraId="0A6BFC19">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28.采购人负责协调接口协议，投标人需按照《鄂尔多斯交警支队违法数据接入协议》要求，主动开发对接上传设备抓拍产生的违法数据，投标人承担对接开发所产生的费用（提供承诺函）。</w:t>
            </w:r>
          </w:p>
        </w:tc>
      </w:tr>
      <w:tr w14:paraId="1F5E7927">
        <w:tblPrEx>
          <w:tblCellMar>
            <w:top w:w="0" w:type="dxa"/>
            <w:left w:w="108" w:type="dxa"/>
            <w:bottom w:w="0" w:type="dxa"/>
            <w:right w:w="108" w:type="dxa"/>
          </w:tblCellMar>
        </w:tblPrEx>
        <w:trPr>
          <w:trHeight w:val="3024"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BE5EA">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11</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41E1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补光灯</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1634E">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1.为了保障抓拍效果，环保补光灯应与900W环保电警单元为同一品牌（提供承诺函）。</w:t>
            </w:r>
          </w:p>
          <w:p w14:paraId="57A04A59">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2.色温：≤3200K（提供公安部出具的检测报告）；</w:t>
            </w:r>
          </w:p>
          <w:p w14:paraId="6CD1B6D6">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3.最大补光照度：瞬时＜80Lux（20m处）平均≤5Lux（20m处）</w:t>
            </w:r>
          </w:p>
          <w:p w14:paraId="4BF6144C">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4.功耗：≤3w</w:t>
            </w:r>
          </w:p>
          <w:p w14:paraId="7151CF50">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5.频闪功率≥75Hz</w:t>
            </w:r>
          </w:p>
          <w:p w14:paraId="321DFA9F">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6.点亮时间：0~1.76ms可调（提供公安部出具的检测报告）；</w:t>
            </w:r>
          </w:p>
          <w:p w14:paraId="26720028">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7.工作电压：AC220V±20%</w:t>
            </w:r>
          </w:p>
          <w:p w14:paraId="5264F570">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8.工作温度：-40°C～+70℃</w:t>
            </w:r>
          </w:p>
          <w:p w14:paraId="36643C17">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9.视频同步方式：电平触发或短接触发可选</w:t>
            </w:r>
          </w:p>
        </w:tc>
      </w:tr>
      <w:tr w14:paraId="158AE368">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D70EA">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12</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580DC">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安装底座</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C9372">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1、用于补光灯和抓拍单元的支架，安装在横杆上的中间</w:t>
            </w:r>
          </w:p>
        </w:tc>
      </w:tr>
      <w:tr w14:paraId="6171F5C6">
        <w:tblPrEx>
          <w:tblCellMar>
            <w:top w:w="0" w:type="dxa"/>
            <w:left w:w="108" w:type="dxa"/>
            <w:bottom w:w="0" w:type="dxa"/>
            <w:right w:w="108" w:type="dxa"/>
          </w:tblCellMar>
        </w:tblPrEx>
        <w:trPr>
          <w:trHeight w:val="864"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4756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13</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BF3D5">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挂杆配电机柜</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F7934">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【抱杆】</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复合控制单元抱杆空机柜，含强电模板</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尺寸480mm（宽）×579mm（高）×230mm（深）</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防护等级IP55</w:t>
            </w:r>
          </w:p>
        </w:tc>
      </w:tr>
      <w:tr w14:paraId="1C649EE6">
        <w:tblPrEx>
          <w:tblCellMar>
            <w:top w:w="0" w:type="dxa"/>
            <w:left w:w="108" w:type="dxa"/>
            <w:bottom w:w="0" w:type="dxa"/>
            <w:right w:w="108" w:type="dxa"/>
          </w:tblCellMar>
        </w:tblPrEx>
        <w:trPr>
          <w:trHeight w:val="2160"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B1927">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14</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FB136">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工业交换机（挂杆配电机柜内）</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2A7CA">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提供5个百兆电口。</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支持IEEE 802.3、IEEE 802.3u、IEEE 802.3x。</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支持6 KV防浪涌。</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线速转发。</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存储转发交换方式。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支持端口管理</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坚固式高强度金属外壳。</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工业导轨安装方式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无风扇设计，高可靠性。</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室外宽温设计（-40~75℃）。</w:t>
            </w:r>
          </w:p>
        </w:tc>
      </w:tr>
      <w:tr w14:paraId="69EF051F">
        <w:tblPrEx>
          <w:tblCellMar>
            <w:top w:w="0" w:type="dxa"/>
            <w:left w:w="108" w:type="dxa"/>
            <w:bottom w:w="0" w:type="dxa"/>
            <w:right w:w="108" w:type="dxa"/>
          </w:tblCellMar>
        </w:tblPrEx>
        <w:trPr>
          <w:trHeight w:val="864"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4EAC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15</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86A94">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落地机柜</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7A760">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【落地】</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【只包含强电模块】</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尺寸：（宽）600mm×1150mm（高）×600mm（深）；</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防护等级IP55</w:t>
            </w:r>
          </w:p>
        </w:tc>
      </w:tr>
      <w:tr w14:paraId="402621CD">
        <w:tblPrEx>
          <w:tblCellMar>
            <w:top w:w="0" w:type="dxa"/>
            <w:left w:w="108" w:type="dxa"/>
            <w:bottom w:w="0" w:type="dxa"/>
            <w:right w:w="108" w:type="dxa"/>
          </w:tblCellMar>
        </w:tblPrEx>
        <w:trPr>
          <w:trHeight w:val="1944"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76B6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16</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830B4">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宽温电源（落地机柜内）</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40B5D">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具备短路保护、过流保护、 输出过压保护等多种保护功能</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符合信息技术类认证标准，并取得3C认证， 良好的EMC性能，符合环保</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 xml:space="preserve">体积小巧，外观新颖， 应用于摄像机、路由器等音视频、数据通讯类产品 </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输入规格：AC100V~240V，50Hz/60Hz，最大0.3A</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输出规格：DC12V/1A</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输出功率：12W Max</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安装方式：插墙式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线缆颜色：黑色</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线缆长度：1500mm</w:t>
            </w:r>
          </w:p>
        </w:tc>
      </w:tr>
      <w:tr w14:paraId="774C758F">
        <w:tblPrEx>
          <w:tblCellMar>
            <w:top w:w="0" w:type="dxa"/>
            <w:left w:w="108" w:type="dxa"/>
            <w:bottom w:w="0" w:type="dxa"/>
            <w:right w:w="108" w:type="dxa"/>
          </w:tblCellMar>
        </w:tblPrEx>
        <w:trPr>
          <w:trHeight w:val="2160"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E1D8D">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17</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3478B">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工业交换机（含光模块，落地机柜内）</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B21DC">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提供5个百兆电口。</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支持IEEE 802.3、IEEE 802.3u、IEEE 802.3x。</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支持6 KV防浪涌。</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线速转发。</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存储转发交换方式。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支持端口管理</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坚固式高强度金属外壳。</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工业导轨安装方式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无风扇设计，高可靠性。</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室外宽温设计（-40~75℃）。</w:t>
            </w:r>
          </w:p>
        </w:tc>
      </w:tr>
      <w:tr w14:paraId="3FB72591">
        <w:tblPrEx>
          <w:tblCellMar>
            <w:top w:w="0" w:type="dxa"/>
            <w:left w:w="108" w:type="dxa"/>
            <w:bottom w:w="0" w:type="dxa"/>
            <w:right w:w="108" w:type="dxa"/>
          </w:tblCellMar>
        </w:tblPrEx>
        <w:trPr>
          <w:trHeight w:val="1160"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C526E">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18</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6561D">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终端服务器</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7501A">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1.应至少支持接入16个视频通道，可实时预览视频画面。</w:t>
            </w:r>
          </w:p>
          <w:p w14:paraId="090B7E99">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2.支持下载指定日期、时间的图片，包括原始图片、违法合成图片。</w:t>
            </w:r>
          </w:p>
          <w:p w14:paraId="0A35EA8F">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3.支持以列表展示硬盘存储数据，包括序号、摄像机IP地址、车道号、过车时间、违法行为、车牌号码、车速、图片、视频状态、平台上传状态。具有数据下载按钮。</w:t>
            </w:r>
          </w:p>
          <w:p w14:paraId="2E0C79E3">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4.支持将网络断开时间段内的数据实现断点续传，当网络恢复后可将此时间段内的数据进行传输并存储。</w:t>
            </w:r>
          </w:p>
          <w:p w14:paraId="401F92C4">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5.支持设置视图库参数，包括设备ID、视图库IP地址、视图库端口号、访问方式、用户名、密码、心跳间隔、安装地址、行政区域、部门、校时间隔。</w:t>
            </w:r>
          </w:p>
          <w:p w14:paraId="63ED6021">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6.支持查看当前运行模式、CPU使用率、内存大小、可用内存大小、硬盘容量、可用硬盘容量、硬盘温度上限、硬盘温度、下载视频总数、下载视频失败数、匹配总数、匹配成功数、OSD处理总数等运行状态。</w:t>
            </w:r>
          </w:p>
          <w:p w14:paraId="4E9CEA48">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7.支持设置上报数据，包括卡口图片、卡口合成图片、违法图片、违法合成图片、人脸特写、车辆特写、车牌小图、违法录像、过车信息、事件图片。</w:t>
            </w:r>
          </w:p>
          <w:p w14:paraId="7CF4604E">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8.支持外接LED显示功能，可设置外接LED主IP地址、端口号、辅IP地址。</w:t>
            </w:r>
          </w:p>
          <w:p w14:paraId="4A104ABF">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9.支持选择通道、日期、时间回放事件录像。支持下载指定类型、日期、时间的录像。</w:t>
            </w:r>
          </w:p>
          <w:p w14:paraId="5A506C81">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10.存储空间应不小于4TB。</w:t>
            </w:r>
          </w:p>
          <w:p w14:paraId="47DE2E5A">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11.应具有模拟接口的外置温度传感器，以螺丝方式固定于机壳，可通过日志查看设备运行温度（提供公安部出具的检测报告）；</w:t>
            </w:r>
          </w:p>
          <w:p w14:paraId="4E9C3625">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11.采购人负责协调接口协议，投标人需按照《鄂尔多斯交警支队违法数据接入协议》要求，主动开发对接上传设备抓拍产生的违法数据，投标人承担对接开发所产生的费用（投标人提供数据对接承诺函）</w:t>
            </w:r>
          </w:p>
        </w:tc>
      </w:tr>
      <w:tr w14:paraId="1C138CEE">
        <w:tblPrEx>
          <w:tblCellMar>
            <w:top w:w="0" w:type="dxa"/>
            <w:left w:w="108" w:type="dxa"/>
            <w:bottom w:w="0" w:type="dxa"/>
            <w:right w:w="108" w:type="dxa"/>
          </w:tblCellMar>
        </w:tblPrEx>
        <w:trPr>
          <w:trHeight w:val="3024"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013A3">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19</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ECF08">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信号检测器</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A4867">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1.支持红灯信号输入、识别</w:t>
            </w:r>
          </w:p>
          <w:p w14:paraId="0A26B12D">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2.输入信号电压范围AC145V~AC300V</w:t>
            </w:r>
          </w:p>
          <w:p w14:paraId="3403256B">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3.温度范围：-40℃~+70℃</w:t>
            </w:r>
          </w:p>
          <w:p w14:paraId="09A8EC0F">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4.硬件接口：1个RJ45网口、4个COM口、1个DC12V电源口、16路信号通道</w:t>
            </w:r>
          </w:p>
        </w:tc>
      </w:tr>
      <w:tr w14:paraId="7AAA831D">
        <w:tblPrEx>
          <w:tblCellMar>
            <w:top w:w="0" w:type="dxa"/>
            <w:left w:w="108" w:type="dxa"/>
            <w:bottom w:w="0" w:type="dxa"/>
            <w:right w:w="108" w:type="dxa"/>
          </w:tblCellMar>
        </w:tblPrEx>
        <w:trPr>
          <w:trHeight w:val="864"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B4D00">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20</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C1418">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百兆光纤收发器(支持485信号)</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C14B8">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4口百兆带485光纤收发器工业导轨式发送机;光口：1个百兆光口</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距离20公里</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FC口</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单模单纤;电口：4个百兆网口；1路485;安装方式：工业导轨式；</w:t>
            </w:r>
          </w:p>
        </w:tc>
      </w:tr>
      <w:tr w14:paraId="3142AD6D">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E9CB5">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21</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A4DA6">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电子警察系统辅材</w:t>
            </w:r>
          </w:p>
        </w:tc>
        <w:tc>
          <w:tcPr>
            <w:tcW w:w="3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8B8BD">
            <w:pPr>
              <w:jc w:val="left"/>
              <w:rPr>
                <w:rFonts w:hint="eastAsia" w:ascii="宋体" w:hAnsi="宋体" w:eastAsia="宋体" w:cs="宋体"/>
                <w:color w:val="auto"/>
                <w:sz w:val="24"/>
                <w:szCs w:val="24"/>
              </w:rPr>
            </w:pPr>
            <w:r>
              <w:rPr>
                <w:rFonts w:hint="eastAsia" w:ascii="宋体" w:hAnsi="宋体" w:eastAsia="宋体" w:cs="宋体"/>
                <w:color w:val="auto"/>
                <w:sz w:val="24"/>
                <w:szCs w:val="24"/>
              </w:rPr>
              <w:t>用于电子警察系统安装</w:t>
            </w:r>
          </w:p>
        </w:tc>
      </w:tr>
      <w:tr w14:paraId="3DEE060F">
        <w:tblPrEx>
          <w:tblCellMar>
            <w:top w:w="0" w:type="dxa"/>
            <w:left w:w="108" w:type="dxa"/>
            <w:bottom w:w="0" w:type="dxa"/>
            <w:right w:w="108" w:type="dxa"/>
          </w:tblCellMar>
        </w:tblPrEx>
        <w:trPr>
          <w:trHeight w:val="432"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B254">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22</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CF7CC">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八棱杆（H=7.0m，L=7m）</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62EBD">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H=7.0m，L=7m；材质:信号灯立杆为八边形钢管（Q235C）灯杆，梢径Φ270mm，底径Φ350mm，壁厚8mm，高度为7.0m；横臂为八边形钢管，梢径Φ110mm，底径Φ215mm，壁厚6mm，长度为7m；底法兰600*20，连接法兰420*420*20</w:t>
            </w:r>
          </w:p>
        </w:tc>
      </w:tr>
      <w:tr w14:paraId="4D32CC33">
        <w:tblPrEx>
          <w:tblCellMar>
            <w:top w:w="0" w:type="dxa"/>
            <w:left w:w="108" w:type="dxa"/>
            <w:bottom w:w="0" w:type="dxa"/>
            <w:right w:w="108" w:type="dxa"/>
          </w:tblCellMar>
        </w:tblPrEx>
        <w:trPr>
          <w:trHeight w:val="432"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F3A3B">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23</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30852">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八棱杆（H=7.0m，L=11m）</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F57C4">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H=7.0m，L=11m；材质:信号灯立杆为八边形钢管（Q235C）灯杆，梢径Φ300mm，底径Φ380mm，壁厚10mm，高度为7.0m；横臂为八边形钢管，梢径Φ110mm，底径Φ275mm，壁厚6mm，长度为11m；底法兰600*20，连接法兰450*450*20</w:t>
            </w:r>
          </w:p>
        </w:tc>
      </w:tr>
      <w:tr w14:paraId="0894D3A7">
        <w:tblPrEx>
          <w:tblCellMar>
            <w:top w:w="0" w:type="dxa"/>
            <w:left w:w="108" w:type="dxa"/>
            <w:bottom w:w="0" w:type="dxa"/>
            <w:right w:w="108" w:type="dxa"/>
          </w:tblCellMar>
        </w:tblPrEx>
        <w:trPr>
          <w:trHeight w:val="432"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AA793">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24</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19FF6">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八棱杆（H=7.0m，L=13m）</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86B6F">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H=7.0m，L=13m；材质:信号灯立杆为八边形钢管（Q235C）灯杆，梢径Φ300mm，底径Φ380mm，壁厚10mm，高度为7.0m；横臂为八边形钢管，梢径Φ110mm，底径Φ275mm，壁厚6mm，长度为13m；底法兰600*20，连接法兰450*450*20</w:t>
            </w:r>
          </w:p>
        </w:tc>
      </w:tr>
      <w:tr w14:paraId="1936666F">
        <w:tblPrEx>
          <w:tblCellMar>
            <w:top w:w="0" w:type="dxa"/>
            <w:left w:w="108" w:type="dxa"/>
            <w:bottom w:w="0" w:type="dxa"/>
            <w:right w:w="108" w:type="dxa"/>
          </w:tblCellMar>
        </w:tblPrEx>
        <w:trPr>
          <w:trHeight w:val="432"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B8E05">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25</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CB6CA">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八棱杆（H=7.0m，L=17m）</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6BBD5">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H=7.0m,L=17m；立杆材质:八边形钢管（Q235C高强钢）棱锥杆，梢径Φ460mm，底径Φ560mm，壁厚10mm，高度为7.5m；横臂为八边形钢管，梢径Φ90mm，底径Φ311mm，壁厚6mm，长度为17m；底法兰800*25，连接法兰600*600*20,380*20</w:t>
            </w:r>
          </w:p>
        </w:tc>
      </w:tr>
      <w:tr w14:paraId="5128AA52">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AB45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26</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36325">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八棱杆（H=7.0m，L=7m）地笼</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804AF">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Φ550*10mm*8-M30*1.5米</w:t>
            </w:r>
          </w:p>
        </w:tc>
      </w:tr>
      <w:tr w14:paraId="712A3629">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795C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27</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7473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八棱杆（H=7.0m，L=11m）地笼</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4AA0A">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Φ550*10mm*8-M30*1.6米</w:t>
            </w:r>
          </w:p>
        </w:tc>
      </w:tr>
      <w:tr w14:paraId="2AF331EA">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899C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28</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CCDCE">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八棱杆（H=7.0m，L=13m）地笼</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72B0F">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Φ550*10mm*8-M30*1.6米</w:t>
            </w:r>
          </w:p>
        </w:tc>
      </w:tr>
      <w:tr w14:paraId="6EB8DFA3">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9E863">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29</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06ED7">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八棱杆（H=7.0m，L=17m）地笼</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A1EB8">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Φ550*10mm*8-M30*1.8米</w:t>
            </w:r>
          </w:p>
        </w:tc>
      </w:tr>
      <w:tr w14:paraId="3EFF3422">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25144">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30</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BAC17">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人行横道信号灯地笼</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02F80">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750*750*900mm-M24*4，双螺栓、带垫片，双螺栓、带垫片。</w:t>
            </w:r>
          </w:p>
        </w:tc>
      </w:tr>
      <w:tr w14:paraId="2A29A5F6">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A9728">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31</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7CA9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落地机柜地笼</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3F5EE">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底座螺栓孔间距尺寸为520*310（mm），基础开挖尺寸 800*600（mm），根据机柜底座螺栓孔距安装 M8预埋紧固件</w:t>
            </w:r>
          </w:p>
        </w:tc>
      </w:tr>
      <w:tr w14:paraId="6A599836">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32917">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32</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6C790">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检修井</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64FEB">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规格 1.0m×1.0m×1.0m，Ф0.8m铸铁井盖，公安或交警”字样，红砖砌筑，井里内粉抹光。含开挖、垃圾清运。</w:t>
            </w:r>
          </w:p>
        </w:tc>
      </w:tr>
      <w:tr w14:paraId="35642E71">
        <w:tblPrEx>
          <w:tblCellMar>
            <w:top w:w="0" w:type="dxa"/>
            <w:left w:w="108" w:type="dxa"/>
            <w:bottom w:w="0" w:type="dxa"/>
            <w:right w:w="108" w:type="dxa"/>
          </w:tblCellMar>
        </w:tblPrEx>
        <w:trPr>
          <w:trHeight w:val="432"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0977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33</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B394D">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顶管</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8D2BD">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管线开挖、回填、恢复施工费。每条管线敷设3*φ100PE管。热熔连接，顶管深度一米一，开挖的坑根据周围环境进行相应材料回填高出地面100mm，垃圾清运</w:t>
            </w:r>
          </w:p>
        </w:tc>
      </w:tr>
      <w:tr w14:paraId="21A4E065">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53B10">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34</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43AA8">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顶管管线</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62C80">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PE100</w:t>
            </w:r>
          </w:p>
        </w:tc>
      </w:tr>
      <w:tr w14:paraId="684DCB26">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F13FB">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35</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1A256">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穿线管</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32415">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PE50</w:t>
            </w:r>
          </w:p>
        </w:tc>
      </w:tr>
      <w:tr w14:paraId="3278612E">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381CC">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36</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B05C5">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机动车信号灯控制电缆</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20FCF">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KVVP-1,7*1.5</w:t>
            </w:r>
          </w:p>
        </w:tc>
      </w:tr>
      <w:tr w14:paraId="0746D19E">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A4DE2">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37</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02E37">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人行信号灯控制电缆</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C3280">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KVVP-1,5*1.5</w:t>
            </w:r>
          </w:p>
        </w:tc>
      </w:tr>
      <w:tr w14:paraId="4D21F63A">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66AD0">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38</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EFDFA">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取电线缆</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67F5B">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YJV22-1,3*25</w:t>
            </w:r>
          </w:p>
        </w:tc>
      </w:tr>
      <w:tr w14:paraId="37E0E224">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D2A5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39</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90CCA">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取电穿线管</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FAB57">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PE100</w:t>
            </w:r>
          </w:p>
        </w:tc>
      </w:tr>
      <w:tr w14:paraId="7D8427B3">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F29A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40</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6D5E4">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网线</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46434">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室外超五类</w:t>
            </w:r>
          </w:p>
        </w:tc>
      </w:tr>
      <w:tr w14:paraId="5F9C9261">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692B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41</w:t>
            </w:r>
          </w:p>
        </w:tc>
        <w:tc>
          <w:tcPr>
            <w:tcW w:w="1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C8F0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8芯室外光纤</w:t>
            </w:r>
          </w:p>
        </w:tc>
        <w:tc>
          <w:tcPr>
            <w:tcW w:w="3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FA828">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光纤8芯，国标</w:t>
            </w:r>
          </w:p>
        </w:tc>
      </w:tr>
      <w:tr w14:paraId="183C7030">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34683">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42</w:t>
            </w:r>
          </w:p>
        </w:tc>
        <w:tc>
          <w:tcPr>
            <w:tcW w:w="1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7493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电警抓拍单元电源线</w:t>
            </w:r>
          </w:p>
        </w:tc>
        <w:tc>
          <w:tcPr>
            <w:tcW w:w="3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B9968">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国标2*2.5平方</w:t>
            </w:r>
          </w:p>
        </w:tc>
      </w:tr>
      <w:tr w14:paraId="4EFC9354">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71163">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43</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98BF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信号控制机基础</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E477A">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信号控制机基础，规格 0.8m×0.8m×1.0m，C30 无筋砼，含开挖、回填</w:t>
            </w:r>
          </w:p>
        </w:tc>
      </w:tr>
      <w:tr w14:paraId="44F8BA44">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101C7">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44</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3F8F5">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人行信号灯灯杆基础</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7C9C4">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0.6*0.6*0.8mC30无筋砼，含开挖、回填</w:t>
            </w:r>
          </w:p>
        </w:tc>
      </w:tr>
      <w:tr w14:paraId="45E86167">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334AA">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45</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BCA2E">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一体化车行灯杆基础</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6DB09">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0.8*0.8*1.2mC30无筋砼，含开挖、回填</w:t>
            </w:r>
          </w:p>
        </w:tc>
      </w:tr>
      <w:tr w14:paraId="2280A312">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B5D7B">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46</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61FA6">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电警落地机柜基础</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D2922">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电警落地机柜基础，规格 0.8m×0.8m×1.0m，C30 无筋砼，含开挖、回填</w:t>
            </w:r>
          </w:p>
        </w:tc>
      </w:tr>
      <w:tr w14:paraId="56AEEACF">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28DE3">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47</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386E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八棱杆（H=7.0m，L=7m）基础</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ACF14">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1.8*1.8*1.5mC30无筋砼，含开挖、回填</w:t>
            </w:r>
          </w:p>
        </w:tc>
      </w:tr>
      <w:tr w14:paraId="0EB95C56">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2B69A">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48</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4BB85">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八棱杆（H=7.0m，L=11m）基础</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73E28">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1.8*1.8*1.8mC30无筋砼，含开挖、回填</w:t>
            </w:r>
          </w:p>
        </w:tc>
      </w:tr>
      <w:tr w14:paraId="202CCB78">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2427A">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49</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4708E">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八棱杆（H=7.0m，L=13m）基础</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61D4D">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1.8*1.8*1.8mC30无筋砼，含开挖、回填</w:t>
            </w:r>
          </w:p>
        </w:tc>
      </w:tr>
      <w:tr w14:paraId="383F4459">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2E708">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50</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1127B">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八棱杆（H=7.0m，L=17m）基础</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F43FB">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1.8*1.8*2.1mC30无筋砼，含开挖、回填</w:t>
            </w:r>
          </w:p>
        </w:tc>
      </w:tr>
      <w:tr w14:paraId="439117CC">
        <w:tblPrEx>
          <w:tblCellMar>
            <w:top w:w="0" w:type="dxa"/>
            <w:left w:w="108" w:type="dxa"/>
            <w:bottom w:w="0" w:type="dxa"/>
            <w:right w:w="108" w:type="dxa"/>
          </w:tblCellMar>
        </w:tblPrEx>
        <w:trPr>
          <w:trHeight w:val="288"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B1E6E">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51</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C50DE">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人行横道信号灯拆除</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7C366">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用于现有安装的人行横道信号灯的拆除，包含运输、吊装、垃圾清理、路面恢复等。</w:t>
            </w:r>
          </w:p>
        </w:tc>
      </w:tr>
      <w:tr w14:paraId="7DF52D9C">
        <w:tblPrEx>
          <w:tblCellMar>
            <w:top w:w="0" w:type="dxa"/>
            <w:left w:w="108" w:type="dxa"/>
            <w:bottom w:w="0" w:type="dxa"/>
            <w:right w:w="108" w:type="dxa"/>
          </w:tblCellMar>
        </w:tblPrEx>
        <w:trPr>
          <w:trHeight w:val="432"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0F813">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51</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597C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硬化开挖及恢复</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75DF5">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拆除原有工字砖；拆除10公分垫层；开挖原土35公分；回填10公分沙土夯实找平；回填25公分的原沙土；浇筑10公分C25混凝土垫层找平；面层铺设；清理废土</w:t>
            </w:r>
          </w:p>
        </w:tc>
      </w:tr>
      <w:tr w14:paraId="5F706AC1">
        <w:tblPrEx>
          <w:tblCellMar>
            <w:top w:w="0" w:type="dxa"/>
            <w:left w:w="108" w:type="dxa"/>
            <w:bottom w:w="0" w:type="dxa"/>
            <w:right w:w="108" w:type="dxa"/>
          </w:tblCellMar>
        </w:tblPrEx>
        <w:trPr>
          <w:trHeight w:val="432"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20CAA">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52</w:t>
            </w:r>
          </w:p>
        </w:tc>
        <w:tc>
          <w:tcPr>
            <w:tcW w:w="12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069FE">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绿化开挖及恢复</w:t>
            </w:r>
          </w:p>
        </w:tc>
        <w:tc>
          <w:tcPr>
            <w:tcW w:w="32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445F0">
            <w:pPr>
              <w:widowControl/>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绿化沟槽开挖、回填、恢复，达到市政人行道设计强度标准，宽度40cm，深度70cm,含1根φ50PE厚度4.3mm电缆保护管埋设,含材料费及渣土外运。</w:t>
            </w:r>
          </w:p>
        </w:tc>
      </w:tr>
    </w:tbl>
    <w:p w14:paraId="50F954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215283"/>
    <w:rsid w:val="398648EE"/>
    <w:rsid w:val="70215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2025-07-29T01:52:00Z</dcterms:created>
  <dc:creator>赵Й帅</dc:creator>
  <cp:lastModifiedBy>赵Й帅</cp:lastModifiedBy>
  <dcterms:modified xsi:type="dcterms:W3CDTF">2025-07-29T02:56:50Z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1DB94A78314841CFADA3DF4ED49040FA_11</vt:lpwstr>
  </property>
  <property fmtid="{D5CDD505-2E9C-101B-9397-08002B2CF9AE}" pid="4" name="KSOTemplateDocerSaveRecord">
    <vt:lpwstr>eyJoZGlkIjoiMDc1MGZkZDY4YzVjNjAyYTgxMzA5MTVkMWRhNTI2MmEiLCJ1c2VySWQiOiIyMzM2NjQ1MDMifQ==</vt:lpwstr>
  </property>
</Properties>
</file>