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灾害防治及应急管理服务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内蒙古荣晟项目管理有限公司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内蒙古荣晟项目管理有限公司</w:t>
      </w:r>
      <w:r>
        <w:rPr>
          <w:rFonts w:ascii="仿宋_GB2312" w:hAnsi="仿宋_GB2312" w:cs="仿宋_GB2312" w:eastAsia="仿宋_GB2312"/>
        </w:rPr>
        <w:t xml:space="preserve"> 受 </w:t>
      </w:r>
      <w:r>
        <w:rPr>
          <w:rFonts w:ascii="仿宋_GB2312" w:hAnsi="仿宋_GB2312" w:cs="仿宋_GB2312" w:eastAsia="仿宋_GB2312"/>
        </w:rPr>
        <w:t>达拉特旗应急管理局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灾害防治及应急管理服务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灾害防治及应急管理服务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1,126,830.00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灾害防治及应急管理服务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1,126,830.00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内蒙古荣晟项目管理有限公司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内蒙古自治区鄂尔多斯市东胜区杨家渠铭鑫E区西底商二楼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15047796766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魏主任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15149444783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代理服务费收费标准：以中标金额为基准按内工建协[2022]34号文件取费标准取费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内蒙古荣晟项目管理有限公司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协助开展灾情核查上报，损失评估等工作，发挥技术支撑作用，协助开展应急预案体系建设、应急救援等工作。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自合同签订之日起合同签订后20个日历天内进场服务，服务期三年，合同一 年一签。日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1、支付比例100%，具体根据财政拨款进度支付，详见合同约定。，达到付款条件起7日，支付合同总金额的100.00%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1、期次1，说明：按照招标文件及采购人要求进行验收</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服务期三年，合同一 年一签。</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标的名称：灾害防治及应急管理服务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协助开展灾情核查上报，损失评估等工作，发挥技术支撑作用，协助开展应急预案体系建设、应急救援等工作。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审查投标人2022年度或2023年度经会计师事务所出具的财务审计报告或其基本开户银行出具的近一年内的银行资信证明。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注：1.其他组织和自然人也需要提供缴纳税收的凭据金额缴纳社保的凭据。依法免税或不需要缴纳社会保障资金的供应商，应提供相应文件证明其依法免税或不需要缴纳社会保障资金。2.工会缴费不属于税收证明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对项目需求分析的理解程度</w:t>
            </w:r>
          </w:p>
        </w:tc>
        <w:tc>
          <w:tcPr>
            <w:tcW w:type="dxa" w:w="3115"/>
          </w:tcPr>
          <w:p>
            <w:pPr>
              <w:pStyle w:val="null5"/>
              <w:jc w:val="left"/>
            </w:pPr>
            <w:r>
              <w:rPr>
                <w:rFonts w:ascii="仿宋_GB2312" w:hAnsi="仿宋_GB2312" w:cs="仿宋_GB2312" w:eastAsia="仿宋_GB2312"/>
              </w:rPr>
              <w:t>根据所提供的对项目需求分析的理解程度进行评审：（1）内容阐述全面合理、完整详实、叙述清楚、目标明确、可操作性强、与本项目契合程度高且满足本项目要求的得10分；（2）内容阐述完善、描述条理清晰、有既定目标、具备操作性、符合本项目要求的得7分；（3）内容部分阐述且简略，合理性描述模糊，仅能满足项目基本要求的得4分；（4）内容阐述欠佳，对本项目要求理解不充分的得1分：（5）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总体服务方案</w:t>
            </w:r>
          </w:p>
        </w:tc>
        <w:tc>
          <w:tcPr>
            <w:tcW w:type="dxa" w:w="3115"/>
          </w:tcPr>
          <w:p>
            <w:pPr>
              <w:pStyle w:val="null5"/>
              <w:jc w:val="left"/>
            </w:pPr>
            <w:r>
              <w:rPr>
                <w:rFonts w:ascii="仿宋_GB2312" w:hAnsi="仿宋_GB2312" w:cs="仿宋_GB2312" w:eastAsia="仿宋_GB2312"/>
              </w:rPr>
              <w:t>根据供应商提供的针对本项目的总体服务方案评分：（1)方案内容阐述全面合理、完整详实、叙述清楚、目标明确、可操作性强、与本项目契合程度高且满足本项目要求的得20分；（2）内容阐述完善、描述条理清晰、有既定目标、具备操作性、符合本项目要求的得15分；（3）内容部分阐述且简略，合理性描述模糊，仅能满足项目基本要求的得10分；（4）内容阐述欠佳，对本项目要求理解不充分的得5分：（5）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岗位设置、岗位职责</w:t>
            </w:r>
          </w:p>
        </w:tc>
        <w:tc>
          <w:tcPr>
            <w:tcW w:type="dxa" w:w="3115"/>
          </w:tcPr>
          <w:p>
            <w:pPr>
              <w:pStyle w:val="null5"/>
              <w:jc w:val="left"/>
            </w:pPr>
            <w:r>
              <w:rPr>
                <w:rFonts w:ascii="仿宋_GB2312" w:hAnsi="仿宋_GB2312" w:cs="仿宋_GB2312" w:eastAsia="仿宋_GB2312"/>
              </w:rPr>
              <w:t>根据供应商岗位设置、岗位职责等内容的合理性、全面性进行综合评定：（1）内容阐述全面合理、完整详实、叙述清楚、目标明确、可操作性强、与本项目契合程度高且满足本项目要求的得15分；（2）内容阐述完善、描述条理清晰、有既定目标、具备操作性、符合本项目要求的得10分；（3）内容部分阐述且简略，合理性描述模糊，仅能满足项目基本要求的得5分；（4）内容阐述欠佳，对本项目要求理解不充分的得1分：（5）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项目实际情况资源配备、职责分工是否合理、明确、可行等内容进行评审：（1）内容阐述全面合理、完整详实、叙述清楚、目标明确、可操作性强、与本项目契合程度高且满足本项目要求的得10分；（2）内容阐述完善、描述条理清晰、有既定目标、具备操作性、符合本项目要求的得7分；（3）内容部分阐述且简略，合理性描述模糊，仅能满足项目基本要求的得4分；（4）内容阐述欠佳，对本项目要求理解不充分的得1分：（5）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供应商提出的应急预案进行打分：1）内容阐述全面合理、完整详实、叙述清楚、目标明确、可操作性强、与本项目契合程度高且满足本项目要求的得10分；（2）内容阐述完善、描述条理清晰、有既定目标、具备操作性、符合本项目要求的得7分；（3）内容部分阐述且简略，合理性描述模糊，仅能满足项目基本要求的得4分；（4）内容阐述欠佳，对本项目要求理解不充分的得1分：（5）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安全管理方案</w:t>
            </w:r>
          </w:p>
        </w:tc>
        <w:tc>
          <w:tcPr>
            <w:tcW w:type="dxa" w:w="3115"/>
          </w:tcPr>
          <w:p>
            <w:pPr>
              <w:pStyle w:val="null5"/>
              <w:jc w:val="left"/>
            </w:pPr>
            <w:r>
              <w:rPr>
                <w:rFonts w:ascii="仿宋_GB2312" w:hAnsi="仿宋_GB2312" w:cs="仿宋_GB2312" w:eastAsia="仿宋_GB2312"/>
              </w:rPr>
              <w:t>根据本项目要求提供安全管理方案进行评审：1）内容阐述全面合理、完整详实、叙述清楚、目标明确、可操作性强、与本项目契合程度高且满足本项目要求的得10分；（2）内容阐述完善、描述条理清晰、有既定目标、具备操作性、符合本项目要求的得7分；（3）内容部分阐述且简略，合理性描述模糊，仅能满足项目基本要求的得4分；（4）内容阐述欠佳，对本项目要求理解不充分的得1分：（5）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投标人提供2021年至今承揽过类似服务类业绩，每有1项得5分，最高得15分（投标文件须附业绩合同原件扫描件）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