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达拉特旗地下水数值模型及超采区治理方案</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达拉特旗水利局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内蒙古诚征项目管理有限公司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ESZCDQS-C-F-250015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内蒙古诚征项目管理有限公司</w:t>
      </w:r>
      <w:r>
        <w:rPr>
          <w:rFonts w:ascii="仿宋_GB2312" w:hAnsi="仿宋_GB2312" w:cs="仿宋_GB2312" w:eastAsia="仿宋_GB2312"/>
        </w:rPr>
        <w:t xml:space="preserve"> 受 </w:t>
      </w:r>
      <w:r>
        <w:rPr>
          <w:rFonts w:ascii="仿宋_GB2312" w:hAnsi="仿宋_GB2312" w:cs="仿宋_GB2312" w:eastAsia="仿宋_GB2312"/>
        </w:rPr>
        <w:t>达拉特旗水利局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达拉特旗地下水数值模型及超采区治理方案</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达拉特旗地下水数值模型及超采区治理方案</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ESZCDQS-C-F-250015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429[2025]00113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达拉特旗地下水数值模型及超采区治理方案</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1、资格要求：供应商须具备乙级及以上的水文、水资源调查评价单位水平评价证书；企业资质证书须在有效期内，并在人员、设备、资金等方面具有相应的能力。（注：响应文件须附资质证书原件扫描件）</w:t>
      </w:r>
    </w:p>
    <w:p>
      <w:pPr>
        <w:pStyle w:val="null5"/>
        <w:jc w:val="left"/>
      </w:pPr>
      <w:r>
        <w:rPr>
          <w:rFonts w:ascii="仿宋_GB2312" w:hAnsi="仿宋_GB2312" w:cs="仿宋_GB2312" w:eastAsia="仿宋_GB2312"/>
        </w:rPr>
        <w:t>2、项目负责人要求：（1）拟派项目负责人须具有水文地质学专业或水利工程高级（含）以上职称。 （2）项目负责人须在本单位工作，年龄不得超过65周岁，以供应商所属社保机构出具的提供递交响应文件截止之日前一年内连续6个月及以上（新入职人员要求提供入职至投标截止到日前）的社保缴费证明；退休人员无需提供社保缴费证明，需提供有效地与聘用单位签订的聘用劳动合同及退休证明（响应文件须附相关证明材料原件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内蒙古诚征项目管理有限公司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内蒙古自治区鄂尔多斯市康巴什区内蒙古鄂尔多斯市康巴什区安康街以北，呼和塔拉路以西东方纽蓝地小区A14号楼2单元103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白雪</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16714866677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达拉特旗水利局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王瞳龙</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15049408729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达拉特旗水利局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内蒙古诚征项目管理有限公司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达拉特旗地下水数值模型及超采区治理方案</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合同签订后180个日历日内交货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1、合同签订后7个工作日内支付合同额的50%，达到付款条件起30日，支付合同总金额的50.00%</w:t>
            </w:r>
          </w:p>
          <w:p>
            <w:pPr>
              <w:pStyle w:val="null5"/>
              <w:jc w:val="left"/>
            </w:pPr>
            <w:r>
              <w:rPr>
                <w:rFonts w:ascii="仿宋_GB2312" w:hAnsi="仿宋_GB2312" w:cs="仿宋_GB2312" w:eastAsia="仿宋_GB2312"/>
              </w:rPr>
              <w:t>2、报告初稿完成后7个工作日内支付合同额的30%，达到付款条件起30日，支付合同总金额的30.00%</w:t>
            </w:r>
          </w:p>
          <w:p>
            <w:pPr>
              <w:pStyle w:val="null5"/>
              <w:jc w:val="left"/>
            </w:pPr>
            <w:r>
              <w:rPr>
                <w:rFonts w:ascii="仿宋_GB2312" w:hAnsi="仿宋_GB2312" w:cs="仿宋_GB2312" w:eastAsia="仿宋_GB2312"/>
              </w:rPr>
              <w:t>3、报告通过专家审查后7个工作日内支付剩余20%，不留尾款，达到付款条件起30日，支付合同总金额的20.00%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标的名称：达拉特旗地下水数值模型及超采区治理方案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水文地质调查，包括补充调查、地下水开采量调查统计、地下水位统测、土地利用变化分析</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地下水流数值模型构建，包括建立水文地质结构模型和概念模型，确定模拟期，构建地下水流数值模型，并进行模型识别验证，开展水均衡分析。</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地下水资源评价，分区开展地下水资源补给资源、可开采量评价</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编制达拉特旗地下水</w:t>
            </w:r>
            <w:r>
              <w:rPr>
                <w:rFonts w:ascii="仿宋_GB2312" w:hAnsi="仿宋_GB2312" w:cs="仿宋_GB2312" w:eastAsia="仿宋_GB2312"/>
                <w:sz w:val="24"/>
                <w:color w:val="000000"/>
              </w:rPr>
              <w:t>超采治理方案。</w:t>
            </w:r>
            <w:r>
              <w:rPr>
                <w:rFonts w:ascii="仿宋_GB2312" w:hAnsi="仿宋_GB2312" w:cs="仿宋_GB2312" w:eastAsia="仿宋_GB2312"/>
                <w:sz w:val="24"/>
                <w:color w:val="000000"/>
              </w:rPr>
              <w:t>包括</w:t>
            </w:r>
            <w:r>
              <w:rPr>
                <w:rFonts w:ascii="仿宋_GB2312" w:hAnsi="仿宋_GB2312" w:cs="仿宋_GB2312" w:eastAsia="仿宋_GB2312"/>
                <w:sz w:val="24"/>
                <w:color w:val="000000"/>
              </w:rPr>
              <w:t>地下水超采区现状</w:t>
            </w:r>
            <w:r>
              <w:rPr>
                <w:rFonts w:ascii="仿宋_GB2312" w:hAnsi="仿宋_GB2312" w:cs="仿宋_GB2312" w:eastAsia="仿宋_GB2312"/>
                <w:sz w:val="24"/>
                <w:color w:val="000000"/>
              </w:rPr>
              <w:t>评价、替代水源论证、水资源供需平衡分析、制定短中长期超采区治理综合实施方案。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供应商须具备乙级及以上的水文、水资源调查评价单位水平评价证书；企业资质证书须在有效期内，并在人员、设备、资金等方面具有相应的能力。（注：响应文件须附资质证书原件扫描件）</w:t>
            </w:r>
          </w:p>
        </w:tc>
      </w:tr>
      <w:tr>
        <w:tc>
          <w:tcPr>
            <w:tcW w:type="dxa" w:w="3322"/>
          </w:tcPr>
          <w:p>
            <w:pPr>
              <w:pStyle w:val="null5"/>
              <w:jc w:val="left"/>
            </w:pPr>
            <w:r>
              <w:rPr>
                <w:rFonts w:ascii="仿宋_GB2312" w:hAnsi="仿宋_GB2312" w:cs="仿宋_GB2312" w:eastAsia="仿宋_GB2312"/>
              </w:rPr>
              <w:t>项目负责人要求</w:t>
            </w:r>
          </w:p>
        </w:tc>
        <w:tc>
          <w:tcPr>
            <w:tcW w:type="dxa" w:w="4984"/>
          </w:tcPr>
          <w:p>
            <w:pPr>
              <w:pStyle w:val="null5"/>
              <w:jc w:val="left"/>
            </w:pPr>
            <w:r>
              <w:rPr>
                <w:rFonts w:ascii="仿宋_GB2312" w:hAnsi="仿宋_GB2312" w:cs="仿宋_GB2312" w:eastAsia="仿宋_GB2312"/>
              </w:rPr>
              <w:t>（1）拟派项目负责人须具有水文地质学专业或水利工程高级（含）以上职称。 （2）项目负责人须在本单位工作，年龄不得超过65周岁，以供应商所属社保机构出具的提供递交响应文件截止之日前一年内连续6个月及以上（新入职人员要求提供入职至投标截止到日前）的社保缴费证明；退休人员无需提供社保缴费证明，需提供有效地与聘用单位签订的聘用劳动合同及退休证明（响应文件须附相关证明材料原件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对项目的总体认知</w:t>
            </w:r>
          </w:p>
        </w:tc>
        <w:tc>
          <w:tcPr>
            <w:tcW w:type="dxa" w:w="3115"/>
          </w:tcPr>
          <w:p>
            <w:pPr>
              <w:pStyle w:val="null5"/>
              <w:jc w:val="left"/>
            </w:pPr>
            <w:r>
              <w:rPr>
                <w:rFonts w:ascii="仿宋_GB2312" w:hAnsi="仿宋_GB2312" w:cs="仿宋_GB2312" w:eastAsia="仿宋_GB2312"/>
              </w:rPr>
              <w:t>充分理解采购需求，对项目实施重点、关键点分析透彻，得7.1-10分；本理解采购需求，对项目实施重点、关键点进行了一定的分析，得4.1-7.0分；对采购需求的理解有欠缺，没有对项目实施重点、关键点加以分析，得0-4.0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技术方案对项目需求的响应程度</w:t>
            </w:r>
          </w:p>
        </w:tc>
        <w:tc>
          <w:tcPr>
            <w:tcW w:type="dxa" w:w="3115"/>
          </w:tcPr>
          <w:p>
            <w:pPr>
              <w:pStyle w:val="null5"/>
              <w:jc w:val="left"/>
            </w:pPr>
            <w:r>
              <w:rPr>
                <w:rFonts w:ascii="仿宋_GB2312" w:hAnsi="仿宋_GB2312" w:cs="仿宋_GB2312" w:eastAsia="仿宋_GB2312"/>
              </w:rPr>
              <w:t>对招标技术需求的整体技术响应情况评审综合打分，满足或高于招标文件要求的得10.1-15分，基本满足得5.1-10.0分，其余相对比较差的得0-5.0分。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工作方法和技术要求的合理性、先进性</w:t>
            </w:r>
          </w:p>
        </w:tc>
        <w:tc>
          <w:tcPr>
            <w:tcW w:type="dxa" w:w="3115"/>
          </w:tcPr>
          <w:p>
            <w:pPr>
              <w:pStyle w:val="null5"/>
              <w:jc w:val="left"/>
            </w:pPr>
            <w:r>
              <w:rPr>
                <w:rFonts w:ascii="仿宋_GB2312" w:hAnsi="仿宋_GB2312" w:cs="仿宋_GB2312" w:eastAsia="仿宋_GB2312"/>
              </w:rPr>
              <w:t>模型建设方案完整，科学合理，内容全面、合理、方法使用得当，满足项目需求，描述详细，得11.1-15分； 模型建设方案较完整，基本可行，但描述简单，得6.1-11.0分；较差或未满足甲方需求得0-6.0分。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项目服务质量 保证措施</w:t>
            </w:r>
          </w:p>
        </w:tc>
        <w:tc>
          <w:tcPr>
            <w:tcW w:type="dxa" w:w="3115"/>
          </w:tcPr>
          <w:p>
            <w:pPr>
              <w:pStyle w:val="null5"/>
              <w:jc w:val="left"/>
            </w:pPr>
            <w:r>
              <w:rPr>
                <w:rFonts w:ascii="仿宋_GB2312" w:hAnsi="仿宋_GB2312" w:cs="仿宋_GB2312" w:eastAsia="仿宋_GB2312"/>
              </w:rPr>
              <w:t>服务质量保障体系、制度、质量保障措施满足项目需求，描述详细，得7.1-10分； 服务质量保障体系、制度、质量保障措施较完整，基本可行，得4.1-7.0分； 有基本的服务质量保障体系、制度、质量保障措施的，得0-4.0分。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完成项目工作进度计划及保障措施</w:t>
            </w:r>
          </w:p>
        </w:tc>
        <w:tc>
          <w:tcPr>
            <w:tcW w:type="dxa" w:w="3115"/>
          </w:tcPr>
          <w:p>
            <w:pPr>
              <w:pStyle w:val="null5"/>
              <w:jc w:val="left"/>
            </w:pPr>
            <w:r>
              <w:rPr>
                <w:rFonts w:ascii="仿宋_GB2312" w:hAnsi="仿宋_GB2312" w:cs="仿宋_GB2312" w:eastAsia="仿宋_GB2312"/>
              </w:rPr>
              <w:t>满足总体计划要求，制定具体合理的时间安排，得4.1-5分； 满足总体计划要求，制定具体合理的时间安排，但不合理的，得0-4.0分；不满足总体计划要求，得0分。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能结合项目要求，提出完整的售后服务方案，服务目标、服务承诺、服务流程、服务制度等具有针对性、可操作性的得4.1-5分； 能提出完整的售后服务方案，服务目标、服务承诺、服务流程、服务制度等描述简单或缺乏针对性及可操作性得1-4.0分；售后服务方案不满足项目需求，得0分。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近5年（2019 年1月1日至今）已承担完成或正在承担的： 三维地质或水文地质结构建模项目，有1个得 2分，最多得6分。 地下水数值模拟项目，有1个得2分，最多得6分。 超采区治理方案项目，有1个得1分，最多得3分。 注：①须提供合同（合同首尾页、项目内容、合同盖章页、签订日 期），或验收资料或课题任务书或业主证明等可体现项目工作内容、项目服务期的相关证明资料的复印件。 ②联合体投标时，联合体任一成员单位业绩可作为共同业绩评分； ③如一个项目同时包含上述内容，则业绩不得重复计算</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三体系认证</w:t>
            </w:r>
          </w:p>
        </w:tc>
        <w:tc>
          <w:tcPr>
            <w:tcW w:type="dxa" w:w="3115"/>
          </w:tcPr>
          <w:p>
            <w:pPr>
              <w:pStyle w:val="null5"/>
              <w:jc w:val="left"/>
            </w:pPr>
            <w:r>
              <w:rPr>
                <w:rFonts w:ascii="仿宋_GB2312" w:hAnsi="仿宋_GB2312" w:cs="仿宋_GB2312" w:eastAsia="仿宋_GB2312"/>
              </w:rPr>
              <w:t>具有质量管理体系认证、环境管理体系认证、职业健康安全管理体系的有一个得1分，最多得3分。 注：联合体投标时，联合体任一成员单位满足条件可作为共同条件评分。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项目负责人有水资源或水文地质高级职称，项目负责人有过类似项目经验，有一项业绩加 2 分，最多加 4 分。 注：业绩须提供可证明其担任项目负责人的合同或验收资料或课题任务书或业主证明等相关材料，复印件加盖公章。 需提供项目负责人的身份证、毕业证、职称、社保证明（近一月），复印件加盖公章。退休人员无需提供社保缴费证明，需提供有效地与聘用单位签订的聘用劳动合同及退休证明（响应文件须附相关证明材料原件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项目组人员 专业配置</w:t>
            </w:r>
          </w:p>
        </w:tc>
        <w:tc>
          <w:tcPr>
            <w:tcW w:type="dxa" w:w="3115"/>
          </w:tcPr>
          <w:p>
            <w:pPr>
              <w:pStyle w:val="null5"/>
              <w:jc w:val="left"/>
            </w:pPr>
            <w:r>
              <w:rPr>
                <w:rFonts w:ascii="仿宋_GB2312" w:hAnsi="仿宋_GB2312" w:cs="仿宋_GB2312" w:eastAsia="仿宋_GB2312"/>
              </w:rPr>
              <w:t>拟派技术负责人有水资源或水文地质高级工程师职称得2分，没有得0分。 需提供技术负责人的身份证、毕业证、职称、社保证明（近一月），复印件加盖公章。退休人员无需提供社保缴费证明，需提供有效地与聘用单位签订的聘用劳动合同及退休证明（响应文件须附相关证明材料原件扫描件） 注：项目负责人和技术负责人不能为同一人。 拟投入专业技术人员配置。拟投入本项目技术人员架构合理、人员数量15人以上得3分； 10-14人得2分；6-9人得1分；5人以下不得分。 拟派人员中具有高级职称或博士学位的数量5人以上3分，5-3人以上得2分，3-2人得1分，低于2人不得分。 提供技术人员身份证、职称证书（或学位证书）、人员社保证明（近一月）等证明材料。</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6.00%</w:t>
            </w:r>
          </w:p>
        </w:tc>
        <w:tc>
          <w:tcPr>
            <w:tcW w:type="dxa" w:w="2492"/>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