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达拉特旗水网规划</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内蒙古诚征项目管理有限公司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ESZCDQS-C-F-250014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内蒙古诚征项目管理有限公司</w:t>
      </w:r>
      <w:r>
        <w:rPr>
          <w:rFonts w:ascii="仿宋_GB2312" w:hAnsi="仿宋_GB2312" w:cs="仿宋_GB2312" w:eastAsia="仿宋_GB2312"/>
        </w:rPr>
        <w:t xml:space="preserve"> 受 </w:t>
      </w:r>
      <w:r>
        <w:rPr>
          <w:rFonts w:ascii="仿宋_GB2312" w:hAnsi="仿宋_GB2312" w:cs="仿宋_GB2312" w:eastAsia="仿宋_GB2312"/>
        </w:rPr>
        <w:t>达拉特旗水利局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达拉特旗水网规划</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达拉特旗水网规划</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ESZCDQS-C-F-250014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429[2025]00112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达拉特旗水网规划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1、资格要求：供应商须具备国家城乡规划乙级（含）以上资质证书；企业资质证书须在有效期内，并在人员、设备、资金等方面具有相应的能力。（注：响应文件须附资质证书原件扫描件）</w:t>
      </w:r>
    </w:p>
    <w:p>
      <w:pPr>
        <w:pStyle w:val="null5"/>
        <w:jc w:val="left"/>
      </w:pPr>
      <w:r>
        <w:rPr>
          <w:rFonts w:ascii="仿宋_GB2312" w:hAnsi="仿宋_GB2312" w:cs="仿宋_GB2312" w:eastAsia="仿宋_GB2312"/>
        </w:rPr>
        <w:t>2、项目负责人资格要求：（1）拟派项目负责人须具有水利工程高级（含）以上职称。 （2）项目负责人须在本单位工作，年龄不得超过65周岁，以供应商所属社保机构出具的提供递交响应文件截止之日前一年内连续6个月及以上（新入职人员要求提供入职至投标截止到日前）的社保缴费证明（并加盖缴费证明专用章）；退休人员无需提供社保缴费证明，需提供有效地与聘用单位签订的聘用劳动合同及退休证明（响应文件须附相关证明材料原件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内蒙古诚征项目管理有限公司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内蒙古自治区鄂尔多斯市康巴什区内蒙古鄂尔多斯市康巴什区安康街以北，呼和塔拉路以西东方纽蓝地小区A14号楼2单元103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白雪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16714866677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王瞳龙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15949408729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内蒙古诚征项目管理有限公司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达拉特旗水网规划</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合同签订后180个日历日内交货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1、合同签订后7个工作日内支付合同额的30%，达到付款条件起30日，支付合同总金额的30.00%</w:t>
            </w:r>
          </w:p>
          <w:p>
            <w:pPr>
              <w:pStyle w:val="null5"/>
              <w:jc w:val="left"/>
            </w:pPr>
            <w:r>
              <w:rPr>
                <w:rFonts w:ascii="仿宋_GB2312" w:hAnsi="仿宋_GB2312" w:cs="仿宋_GB2312" w:eastAsia="仿宋_GB2312"/>
              </w:rPr>
              <w:t>2、规划报告初稿完成后7个工作日内支付合同额的50%，达到付款条件起30日，支付合同总金额的50.00%</w:t>
            </w:r>
          </w:p>
          <w:p>
            <w:pPr>
              <w:pStyle w:val="null5"/>
              <w:jc w:val="left"/>
            </w:pPr>
            <w:r>
              <w:rPr>
                <w:rFonts w:ascii="仿宋_GB2312" w:hAnsi="仿宋_GB2312" w:cs="仿宋_GB2312" w:eastAsia="仿宋_GB2312"/>
              </w:rPr>
              <w:t>3、规划报告通过专家审查后7个工作日内支付剩余20%，不留尾款。，达到付款条件起30日，支付合同总金额的20.00%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标的名称：达拉特旗水网规划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规划背景。说明项目基本概况、现阶段工作成效、现状主要问题和规划必要性等。</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建设基础分析。明确各类影响因素并开展现状分析和评价，分析水网建设天然条件，摸清河湖水系连通和人工水利基础设施融合发展情况。</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总体规划。科学确定水网建设总体思路，明确工作原则，制定规划目标，系统谋划水网总体布局等。</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规划任务。提出防洪排涝网、城乡供水网、灌溉排水网、河湖生态保护网、数字孪生水网等规划及建设任务。</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项目实施。重点项目分类筛选，提出实施安排，提出保障措施等。</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成果文件形式</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。成果文件文本和电子文件，形成《达拉特旗水网规划</w:t>
            </w:r>
            <w:r>
              <w:rPr>
                <w:rFonts w:ascii="仿宋_GB2312" w:hAnsi="仿宋_GB2312" w:cs="仿宋_GB2312" w:eastAsia="仿宋_GB2312"/>
                <w:sz w:val="24"/>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 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 (至少一个月) 的良好缴纳税收的相关凭据。 (以税务 机关提供的纳税凭据或银行入账单为准) 2.提供递交响应文件截止之日前一年内 (至少一个 月) 缴纳社会保险的凭证。 (以专用收据或社会保险缴纳清单为准) 注：其他组织和自然人 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供应商须具备国家城乡规划乙级（含）以上资质证书；企业资质证书须在有效期内，并在人员、设备、资金等方面具有相应的能力。（注：响应文件须附资质证书原件扫描件）</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（1）拟派项目负责人须具有水利工程高级（含）以上职称。 （2）项目负责人须在本单位工作，年龄不得超过65周岁，以供应商所属社保机构出具的提供递交响应文件截止之日前一年内连续6个月及以上（新入职人员要求提供入职至投标截止到日前）的社保缴费证明（并加盖缴费证明专用章）；退休人员无需提供社保缴费证明，需提供有效地与聘用单位签订的聘用劳动合同及退休证明（响应文件须附相关证明材料原件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商务部分32.00分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对项目理解透彻，对规划设计的重点、难点分析准确、清晰，措施有针对性、合理得10.1-15分；对项目理解较透彻，对规划设计的重点、难点分析较准确、清晰，措施较有针对性、较合理得5-10.0分；对项目规划设计的重点、难点理解有偏差，措施不得力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建设规划总体思路及方案</w:t>
            </w:r>
          </w:p>
        </w:tc>
        <w:tc>
          <w:tcPr>
            <w:tcW w:type="dxa" w:w="3115"/>
          </w:tcPr>
          <w:p>
            <w:pPr>
              <w:pStyle w:val="null5"/>
              <w:jc w:val="left"/>
            </w:pPr>
            <w:r>
              <w:rPr>
                <w:rFonts w:ascii="仿宋_GB2312" w:hAnsi="仿宋_GB2312" w:cs="仿宋_GB2312" w:eastAsia="仿宋_GB2312"/>
              </w:rPr>
              <w:t>总体规划思路切合项目实际，规划方案完全满足项目需要，规划方案合理、科学得15.1-20分；总体规划思路基本切合项目实际，规划方案基本满足项目需要，规划方案较合理、科学得10.1-15.0分;总体规划思路不切合项目实际，规划方案不满足项目需要，规划方案不合理、科学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项目进度计划及保证措施</w:t>
            </w:r>
          </w:p>
        </w:tc>
        <w:tc>
          <w:tcPr>
            <w:tcW w:type="dxa" w:w="3115"/>
          </w:tcPr>
          <w:p>
            <w:pPr>
              <w:pStyle w:val="null5"/>
              <w:jc w:val="left"/>
            </w:pPr>
            <w:r>
              <w:rPr>
                <w:rFonts w:ascii="仿宋_GB2312" w:hAnsi="仿宋_GB2312" w:cs="仿宋_GB2312" w:eastAsia="仿宋_GB2312"/>
              </w:rPr>
              <w:t>项目进度计划安排合理，进度保证措施完善，得4.1-8分；项目进度计划安排较合理，进度保证措施较完善，得1-4.0分；项目进度计划安排不合理，进度保证措施不完善，得0分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有可靠的质量保证措施，可操作性强，得4.1-8分；项目质量保证措施较合理，得1-4.0分；项目质量保证措施不合理，得0分。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服务保证措施</w:t>
            </w:r>
          </w:p>
        </w:tc>
        <w:tc>
          <w:tcPr>
            <w:tcW w:type="dxa" w:w="3115"/>
          </w:tcPr>
          <w:p>
            <w:pPr>
              <w:pStyle w:val="null5"/>
              <w:jc w:val="left"/>
            </w:pPr>
            <w:r>
              <w:rPr>
                <w:rFonts w:ascii="仿宋_GB2312" w:hAnsi="仿宋_GB2312" w:cs="仿宋_GB2312" w:eastAsia="仿宋_GB2312"/>
              </w:rPr>
              <w:t>服务组织机构、制度健全，保障措施完善，得4.1-7分；服务组织机构、制度一般的0-4.0分，不提供不得分。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投标企业具有类似项目业绩（2020年1月1日至今，以合同签订时间为准），每有一项得2.5分，此项最高得5分。以提供的中标通知书或合同协议彩色扫描件为评分依据。 （类似项目指水网规划、水网建设规划、河道综合治理规划或水生态综合治理规划类项目）</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拟派项目负责人，每提供一项类似业绩(2020年1月1日至今，以合同签订时间为准）得1 分，此项最多得2 分。（以提供的中标通知书或合同协议彩色扫描件为评分依据。 （类似项目指水网规划、水网建设规划、河道综合治理规划或水生态综合治理规划类项目）</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企业荣誉</w:t>
            </w:r>
          </w:p>
        </w:tc>
        <w:tc>
          <w:tcPr>
            <w:tcW w:type="dxa" w:w="3115"/>
          </w:tcPr>
          <w:p>
            <w:pPr>
              <w:pStyle w:val="null5"/>
              <w:jc w:val="left"/>
            </w:pPr>
            <w:r>
              <w:rPr>
                <w:rFonts w:ascii="仿宋_GB2312" w:hAnsi="仿宋_GB2312" w:cs="仿宋_GB2312" w:eastAsia="仿宋_GB2312"/>
              </w:rPr>
              <w:t>投标企业所的类似项目（2020 年 1 月 1 日至今，以颁发目期为准）获得国家级行业行政主管部门或同级行业协会颁发的优秀工程咨询成果奖的每提供1个得2 分；获得自治区、省级行业行政主管部门或同级行业协会颁发的优秀工程咨询成果奖的每提供1个得1 分。此项最高得2分。（以提供的获奖证书彩色扫描件附在投标文件中为评分依据。）</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企业资信</w:t>
            </w:r>
          </w:p>
        </w:tc>
        <w:tc>
          <w:tcPr>
            <w:tcW w:type="dxa" w:w="3115"/>
          </w:tcPr>
          <w:p>
            <w:pPr>
              <w:pStyle w:val="null5"/>
              <w:jc w:val="left"/>
            </w:pPr>
            <w:r>
              <w:rPr>
                <w:rFonts w:ascii="仿宋_GB2312" w:hAnsi="仿宋_GB2312" w:cs="仿宋_GB2312" w:eastAsia="仿宋_GB2312"/>
              </w:rPr>
              <w:t>投标企业同时具有质量、环境、职业健康、水安全管理体系认证证书且在有效期内得 4 分。此项最高得 4 分，缺一项不得分 （以提供的证书彩色扫描件附在投标文件中为评分依据。）</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1、项目负责人（7分）：需具有水利专业高级工程师及以上职称，同时具备注册咨询工程师、注册土木工程师（水利水电工程规划）及注册城乡规划师资格的得 6 分（需提供注册证书原件的扫描件）；具有正高级工程师职称的，再加1分。（此项最高得7分） 2、其他主要人员（ 12 分）： 项目组其他人员配备：①项目组织机构成员专业配备合理，配备有规划、水生态保护与修复、水利工程（泥沙分析）、水利工程、水文学及水资源、环境保护、环境影响评价、水土保持专业，专业负责人均为高级工程师职称及以上，每有一项专业人员满足要求得 0.5 分，累计不超过 4.0 分。 ②各专业负责人持有相应的执业资格证书的，有一个得1分，最高得 8.0 分。（同一人注册多项执业资格不重复计分）。 注：各专业以毕业证书或职称证书或注册证书上注明的专业为准，需在投标文件中提供相应的毕业证书、职称证书、执业资格证书或注册证书彩色扫描件并加盖单位公章为评分依据</w:t>
            </w:r>
          </w:p>
        </w:tc>
        <w:tc>
          <w:tcPr>
            <w:tcW w:type="dxa" w:w="1038"/>
          </w:tcPr>
          <w:p>
            <w:pPr>
              <w:pStyle w:val="null5"/>
              <w:jc w:val="right"/>
            </w:pPr>
            <w:r>
              <w:rPr>
                <w:rFonts w:ascii="仿宋_GB2312" w:hAnsi="仿宋_GB2312" w:cs="仿宋_GB2312" w:eastAsia="仿宋_GB2312"/>
              </w:rPr>
              <w:t>19.00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