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达拉特旗2025年城市道路体检项目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内蒙古益德项目管理有限公司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ESZCDQS-C-F-250026</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内蒙古益德项目管理有限公司</w:t>
      </w:r>
      <w:r>
        <w:rPr>
          <w:rFonts w:ascii="仿宋_GB2312" w:hAnsi="仿宋_GB2312" w:cs="仿宋_GB2312" w:eastAsia="仿宋_GB2312"/>
        </w:rPr>
        <w:t xml:space="preserve"> 受 </w:t>
      </w:r>
      <w:r>
        <w:rPr>
          <w:rFonts w:ascii="仿宋_GB2312" w:hAnsi="仿宋_GB2312" w:cs="仿宋_GB2312" w:eastAsia="仿宋_GB2312"/>
        </w:rPr>
        <w:t>达拉特旗住房和城乡建设局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达拉特旗2025年城市道路体检项目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达拉特旗2025年城市道路体检项目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ESZCDQS-C-F-250026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429[2025]00209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达拉特旗2025年城市道路体检项目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具有省级以上（含省级）颁发的工程检测资质或具有中国合格评定国家认可委员会实验室认可证书CNAS（含地下空洞及土体密实度参数）或具有岩土工程（物探测试监测检测）乙级及以上资质(提供证书复印件并加盖供应商公章)或工程测量乙级及以上资质，且证书合格、有效</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内蒙古益德项目管理有限公司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内蒙古自治区鄂尔多斯市东胜区内蒙古自治区鄂尔多斯市东胜区东环路7号街坊宏源一品商住小区D座-23楼-2301室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张燕霞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15134818861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邱攀东</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15354940022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代理服务费收费标准：参照内工建协2022（34）号文件规定下浮10%</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达拉特旗住房和城乡建设局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内蒙古益德项目管理有限公司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19"/>
        </w:rPr>
        <w:t>采用物探技术手段，以地质雷达为主，（</w:t>
      </w:r>
      <w:r>
        <w:rPr>
          <w:rFonts w:ascii="仿宋_GB2312" w:hAnsi="仿宋_GB2312" w:cs="仿宋_GB2312" w:eastAsia="仿宋_GB2312"/>
          <w:sz w:val="19"/>
        </w:rPr>
        <w:t>1）确定检测路段范围内路面下方5m范围内土体疏松区域、富水区域土体空洞具体位置及范围，（2）对道路下方其他异常病害情况进行检测，（3）为有关部门提供科学依据，为进一步采取治理措施提供技术依据，保证道路状况安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合同签订后50个日历天内完成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采购人所需地方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1、供应商提交最终成果、并通过采购方验收后支付，达到付款条件起30日，支付合同总金额的100.00%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标的名称：达拉特旗2025年城市道路体检项目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numPr>
                <w:ilvl w:val="0"/>
                <w:numId w:val="1"/>
              </w:numPr>
              <w:jc w:val="left"/>
            </w:pPr>
            <w:r>
              <w:rPr>
                <w:rFonts w:ascii="仿宋_GB2312" w:hAnsi="仿宋_GB2312" w:cs="仿宋_GB2312" w:eastAsia="仿宋_GB2312"/>
                <w:sz w:val="19"/>
              </w:rPr>
              <w:t>项目概述</w:t>
            </w:r>
          </w:p>
          <w:p>
            <w:pPr>
              <w:pStyle w:val="null5"/>
              <w:numPr>
                <w:ilvl w:val="0"/>
                <w:numId w:val="1"/>
              </w:numPr>
              <w:jc w:val="left"/>
            </w:pPr>
            <w:r>
              <w:rPr>
                <w:rFonts w:ascii="仿宋_GB2312" w:hAnsi="仿宋_GB2312" w:cs="仿宋_GB2312" w:eastAsia="仿宋_GB2312"/>
                <w:sz w:val="19"/>
              </w:rPr>
              <w:t>项目介绍</w:t>
            </w:r>
          </w:p>
          <w:p>
            <w:pPr>
              <w:pStyle w:val="null5"/>
              <w:ind w:firstLine="380"/>
              <w:jc w:val="left"/>
            </w:pPr>
            <w:r>
              <w:rPr>
                <w:rFonts w:ascii="仿宋_GB2312" w:hAnsi="仿宋_GB2312" w:cs="仿宋_GB2312" w:eastAsia="仿宋_GB2312"/>
                <w:sz w:val="19"/>
              </w:rPr>
              <w:t>本项目需对达拉特旗道路下方土体病害进行检测，</w:t>
            </w:r>
            <w:r>
              <w:rPr>
                <w:rFonts w:ascii="仿宋_GB2312" w:hAnsi="仿宋_GB2312" w:cs="仿宋_GB2312" w:eastAsia="仿宋_GB2312"/>
                <w:sz w:val="19"/>
              </w:rPr>
              <w:t>(1)确定检测路段范围内路面下方5m范围内土体疏松区域、富水区域和土体空洞具体位置及范围，(2)对道路下方其他异常病害情况进行检测，(3)为有关部门提供科学依据，为进一步采取治理措施提供技术依据，保证道路状况安全</w:t>
            </w:r>
          </w:p>
          <w:p>
            <w:pPr>
              <w:pStyle w:val="null5"/>
              <w:numPr>
                <w:ilvl w:val="0"/>
                <w:numId w:val="1"/>
              </w:numPr>
              <w:jc w:val="left"/>
            </w:pPr>
            <w:r>
              <w:rPr>
                <w:rFonts w:ascii="仿宋_GB2312" w:hAnsi="仿宋_GB2312" w:cs="仿宋_GB2312" w:eastAsia="仿宋_GB2312"/>
                <w:sz w:val="19"/>
              </w:rPr>
              <w:t>检测范围</w:t>
            </w:r>
          </w:p>
          <w:p>
            <w:pPr>
              <w:pStyle w:val="null5"/>
              <w:ind w:firstLine="190"/>
              <w:jc w:val="left"/>
            </w:pPr>
            <w:r>
              <w:rPr>
                <w:rFonts w:ascii="仿宋_GB2312" w:hAnsi="仿宋_GB2312" w:cs="仿宋_GB2312" w:eastAsia="仿宋_GB2312"/>
                <w:sz w:val="19"/>
              </w:rPr>
              <w:t>本项目共计</w:t>
            </w:r>
            <w:r>
              <w:rPr>
                <w:rFonts w:ascii="仿宋_GB2312" w:hAnsi="仿宋_GB2312" w:cs="仿宋_GB2312" w:eastAsia="仿宋_GB2312"/>
                <w:sz w:val="19"/>
              </w:rPr>
              <w:t>1个包，检测道路</w:t>
            </w:r>
            <w:r>
              <w:rPr>
                <w:rFonts w:ascii="仿宋_GB2312" w:hAnsi="仿宋_GB2312" w:cs="仿宋_GB2312" w:eastAsia="仿宋_GB2312"/>
                <w:sz w:val="19"/>
              </w:rPr>
              <w:t>19</w:t>
            </w:r>
            <w:r>
              <w:rPr>
                <w:rFonts w:ascii="仿宋_GB2312" w:hAnsi="仿宋_GB2312" w:cs="仿宋_GB2312" w:eastAsia="仿宋_GB2312"/>
                <w:sz w:val="19"/>
              </w:rPr>
              <w:t>条，长度为</w:t>
            </w:r>
            <w:r>
              <w:rPr>
                <w:rFonts w:ascii="仿宋_GB2312" w:hAnsi="仿宋_GB2312" w:cs="仿宋_GB2312" w:eastAsia="仿宋_GB2312"/>
                <w:sz w:val="19"/>
              </w:rPr>
              <w:t>40.88</w:t>
            </w:r>
            <w:r>
              <w:rPr>
                <w:rFonts w:ascii="仿宋_GB2312" w:hAnsi="仿宋_GB2312" w:cs="仿宋_GB2312" w:eastAsia="仿宋_GB2312"/>
                <w:sz w:val="19"/>
              </w:rPr>
              <w:t>km，检测范围：道路机动车道、非机动车道全部 。详见下表：</w:t>
            </w:r>
          </w:p>
          <w:tbl>
            <w:tblPr>
              <w:tblInd w:type="dxa" w:w="90"/>
              <w:tblBorders>
                <w:top w:val="none" w:color="000000" w:sz="4"/>
                <w:left w:val="none" w:color="000000" w:sz="4"/>
                <w:bottom w:val="none" w:color="000000" w:sz="4"/>
                <w:right w:val="none" w:color="000000" w:sz="4"/>
                <w:insideH w:val="none"/>
                <w:insideV w:val="none"/>
              </w:tblBorders>
            </w:tblPr>
            <w:tblGrid>
              <w:gridCol w:w="364"/>
              <w:gridCol w:w="364"/>
              <w:gridCol w:w="364"/>
              <w:gridCol w:w="364"/>
              <w:gridCol w:w="364"/>
              <w:gridCol w:w="364"/>
              <w:gridCol w:w="364"/>
            </w:tblGrid>
            <w:tr>
              <w:tc>
                <w:tcPr>
                  <w:tcW w:type="dxa" w:w="2548"/>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color w:val="000000"/>
                    </w:rPr>
                    <w:t>2025年城市道路体检统计表</w:t>
                  </w:r>
                </w:p>
              </w:tc>
            </w:tr>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道路名称</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起点</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终点</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道路长度（公里）</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车道数</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备注</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建设路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南园街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新园街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建设路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新园街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达拉特路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0.58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新园街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达拉特路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林荫路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2.5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新园街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达拉特路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泰兴路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金鹏路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迎宾大街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新园街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迎宾大街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达拉特路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泰兴路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西园路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南园街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新园街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树林召东街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达拉特路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泰兴路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南园街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达拉特路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林荫路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南园街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达拉特路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泰兴路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新华路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达拉特路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巴音街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德胜大街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达拉特路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建设路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2.7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和平路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新园街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南园街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泰兴路</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新园街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惠民街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4.5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40.88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19"/>
              </w:rPr>
              <w:t>二</w:t>
            </w:r>
            <w:r>
              <w:rPr>
                <w:rFonts w:ascii="仿宋_GB2312" w:hAnsi="仿宋_GB2312" w:cs="仿宋_GB2312" w:eastAsia="仿宋_GB2312"/>
                <w:sz w:val="19"/>
              </w:rPr>
              <w:t>、技术及服务要求</w:t>
            </w:r>
          </w:p>
          <w:p>
            <w:pPr>
              <w:pStyle w:val="null5"/>
              <w:jc w:val="left"/>
            </w:pPr>
            <w:r>
              <w:rPr>
                <w:rFonts w:ascii="仿宋_GB2312" w:hAnsi="仿宋_GB2312" w:cs="仿宋_GB2312" w:eastAsia="仿宋_GB2312"/>
                <w:sz w:val="19"/>
              </w:rPr>
              <w:t>1.技术要求(功能和质量要求):</w:t>
            </w:r>
          </w:p>
          <w:p>
            <w:pPr>
              <w:pStyle w:val="null5"/>
              <w:jc w:val="left"/>
            </w:pPr>
            <w:r>
              <w:rPr>
                <w:rFonts w:ascii="仿宋_GB2312" w:hAnsi="仿宋_GB2312" w:cs="仿宋_GB2312" w:eastAsia="仿宋_GB2312"/>
                <w:sz w:val="19"/>
              </w:rPr>
              <w:t>(一)检测依据</w:t>
            </w:r>
          </w:p>
          <w:p>
            <w:pPr>
              <w:pStyle w:val="null5"/>
              <w:jc w:val="left"/>
            </w:pPr>
            <w:r>
              <w:rPr>
                <w:rFonts w:ascii="仿宋_GB2312" w:hAnsi="仿宋_GB2312" w:cs="仿宋_GB2312" w:eastAsia="仿宋_GB2312"/>
                <w:sz w:val="19"/>
              </w:rPr>
              <w:t>包括但不限于</w:t>
            </w:r>
            <w:r>
              <w:rPr>
                <w:rFonts w:ascii="仿宋_GB2312" w:hAnsi="仿宋_GB2312" w:cs="仿宋_GB2312" w:eastAsia="仿宋_GB2312"/>
                <w:sz w:val="19"/>
              </w:rPr>
              <w:t>:</w:t>
            </w:r>
          </w:p>
          <w:p>
            <w:pPr>
              <w:pStyle w:val="null5"/>
              <w:numPr>
                <w:ilvl w:val="0"/>
                <w:numId w:val="2"/>
              </w:numPr>
              <w:jc w:val="left"/>
            </w:pPr>
            <w:r>
              <w:rPr>
                <w:rFonts w:ascii="仿宋_GB2312" w:hAnsi="仿宋_GB2312" w:cs="仿宋_GB2312" w:eastAsia="仿宋_GB2312"/>
                <w:sz w:val="19"/>
              </w:rPr>
              <w:t>《城市工程地球物理探测标准》</w:t>
            </w:r>
            <w:r>
              <w:rPr>
                <w:rFonts w:ascii="仿宋_GB2312" w:hAnsi="仿宋_GB2312" w:cs="仿宋_GB2312" w:eastAsia="仿宋_GB2312"/>
                <w:sz w:val="19"/>
              </w:rPr>
              <w:t>(CJJ7/T 7-2017);</w:t>
            </w:r>
          </w:p>
          <w:p>
            <w:pPr>
              <w:pStyle w:val="null5"/>
              <w:jc w:val="left"/>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）《城市道路与管线地下病害探测及评价技术规范》</w:t>
            </w:r>
            <w:r>
              <w:rPr>
                <w:rFonts w:ascii="仿宋_GB2312" w:hAnsi="仿宋_GB2312" w:cs="仿宋_GB2312" w:eastAsia="仿宋_GB2312"/>
                <w:sz w:val="19"/>
              </w:rPr>
              <w:t>(DB11T1399-2017);</w:t>
            </w:r>
          </w:p>
          <w:p>
            <w:pPr>
              <w:pStyle w:val="null5"/>
              <w:jc w:val="left"/>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)《道路三维探地雷达探测技术规程》(T/CAS 516-2021)</w:t>
            </w:r>
          </w:p>
          <w:p>
            <w:pPr>
              <w:pStyle w:val="null5"/>
              <w:jc w:val="left"/>
            </w:pPr>
            <w:r>
              <w:rPr>
                <w:rFonts w:ascii="仿宋_GB2312" w:hAnsi="仿宋_GB2312" w:cs="仿宋_GB2312" w:eastAsia="仿宋_GB2312"/>
                <w:sz w:val="19"/>
              </w:rPr>
              <w:t>(4)《工程勘察设计收费标准》(2002修订本):</w:t>
            </w:r>
          </w:p>
          <w:p>
            <w:pPr>
              <w:pStyle w:val="null5"/>
              <w:jc w:val="left"/>
            </w:pPr>
            <w:r>
              <w:rPr>
                <w:rFonts w:ascii="仿宋_GB2312" w:hAnsi="仿宋_GB2312" w:cs="仿宋_GB2312" w:eastAsia="仿宋_GB2312"/>
                <w:sz w:val="19"/>
              </w:rPr>
              <w:t>(二)工作目标</w:t>
            </w:r>
          </w:p>
          <w:p>
            <w:pPr>
              <w:pStyle w:val="null5"/>
              <w:jc w:val="left"/>
            </w:pPr>
            <w:r>
              <w:rPr>
                <w:rFonts w:ascii="仿宋_GB2312" w:hAnsi="仿宋_GB2312" w:cs="仿宋_GB2312" w:eastAsia="仿宋_GB2312"/>
                <w:sz w:val="19"/>
              </w:rPr>
              <w:t>按照城市道路塌陷隐患检测相关规范标准要求，对采购范围内的城市道路系统开展道路塌陷隐患检测工作，确保采购范围内的城市道路经道路塌陷隐患检测后，应全面检测出对道路运行安全造成危害的地下空洞、脱空、土体疏松区和富水区道路等塌陷隐患点，应无一疏漏。</w:t>
            </w:r>
          </w:p>
          <w:p>
            <w:pPr>
              <w:pStyle w:val="null5"/>
              <w:jc w:val="left"/>
            </w:pPr>
            <w:r>
              <w:rPr>
                <w:rFonts w:ascii="仿宋_GB2312" w:hAnsi="仿宋_GB2312" w:cs="仿宋_GB2312" w:eastAsia="仿宋_GB2312"/>
                <w:sz w:val="19"/>
              </w:rPr>
              <w:t>(三)工作内容</w:t>
            </w:r>
          </w:p>
          <w:p>
            <w:pPr>
              <w:pStyle w:val="null5"/>
              <w:jc w:val="left"/>
            </w:pPr>
            <w:r>
              <w:rPr>
                <w:rFonts w:ascii="仿宋_GB2312" w:hAnsi="仿宋_GB2312" w:cs="仿宋_GB2312" w:eastAsia="仿宋_GB2312"/>
                <w:sz w:val="19"/>
              </w:rPr>
              <w:t>1.道路塌陷隐患检测</w:t>
            </w:r>
          </w:p>
          <w:p>
            <w:pPr>
              <w:pStyle w:val="null5"/>
              <w:jc w:val="left"/>
            </w:pPr>
            <w:r>
              <w:rPr>
                <w:rFonts w:ascii="仿宋_GB2312" w:hAnsi="仿宋_GB2312" w:cs="仿宋_GB2312" w:eastAsia="仿宋_GB2312"/>
                <w:sz w:val="19"/>
              </w:rPr>
              <w:t>)投标人应对采购范围道路开展调查，根据调查结果，运用高效、</w:t>
            </w:r>
          </w:p>
          <w:p>
            <w:pPr>
              <w:pStyle w:val="null5"/>
              <w:jc w:val="left"/>
            </w:pPr>
            <w:r>
              <w:rPr>
                <w:rFonts w:ascii="仿宋_GB2312" w:hAnsi="仿宋_GB2312" w:cs="仿宋_GB2312" w:eastAsia="仿宋_GB2312"/>
                <w:sz w:val="19"/>
              </w:rPr>
              <w:t>可行的道路塌陷隐患检测手段对采购范围内城市道路开展道路塌陷隐患检测，主要检测对道路运行安全造成危害的地下空洞、脱空、土体疏松区和富水区道路结构异常形态病害体。</w:t>
            </w:r>
          </w:p>
          <w:p>
            <w:pPr>
              <w:pStyle w:val="null5"/>
              <w:jc w:val="left"/>
            </w:pPr>
            <w:r>
              <w:rPr>
                <w:rFonts w:ascii="仿宋_GB2312" w:hAnsi="仿宋_GB2312" w:cs="仿宋_GB2312" w:eastAsia="仿宋_GB2312"/>
                <w:sz w:val="19"/>
              </w:rPr>
              <w:t>(2)通过探地雷达技术方法开展道路塌陷隐患检测，及时准确地发现道路塌陷隐患病害体，形成检测台账，为道路塌陷隐患治理提供依据。</w:t>
            </w:r>
          </w:p>
          <w:p>
            <w:pPr>
              <w:pStyle w:val="null5"/>
              <w:jc w:val="left"/>
            </w:pPr>
            <w:r>
              <w:rPr>
                <w:rFonts w:ascii="仿宋_GB2312" w:hAnsi="仿宋_GB2312" w:cs="仿宋_GB2312" w:eastAsia="仿宋_GB2312"/>
                <w:sz w:val="19"/>
              </w:rPr>
              <w:t>2.道路塌陷隐患点详查</w:t>
            </w:r>
          </w:p>
          <w:p>
            <w:pPr>
              <w:pStyle w:val="null5"/>
              <w:jc w:val="left"/>
            </w:pPr>
            <w:r>
              <w:rPr>
                <w:rFonts w:ascii="仿宋_GB2312" w:hAnsi="仿宋_GB2312" w:cs="仿宋_GB2312" w:eastAsia="仿宋_GB2312"/>
                <w:sz w:val="19"/>
              </w:rPr>
              <w:t>(1)在道路塌陷隐患检测时，对发现的道路塌陷隐患点如地下空洞、脱空、土体疏松区和富水区等应以道路塌陷隐患点为中心加密布设测线，检测区域应以覆盖隐患点、两侧延伸至正常地段为原则，开展道路塌陷隐患点详查工作。</w:t>
            </w:r>
          </w:p>
          <w:p>
            <w:pPr>
              <w:pStyle w:val="null5"/>
              <w:jc w:val="left"/>
            </w:pPr>
            <w:r>
              <w:rPr>
                <w:rFonts w:ascii="仿宋_GB2312" w:hAnsi="仿宋_GB2312" w:cs="仿宋_GB2312" w:eastAsia="仿宋_GB2312"/>
                <w:sz w:val="19"/>
              </w:rPr>
              <w:t>(2)对检测到的道路塌陷隐患点，利用高精度定位设备确定道路塌陷隐患点位置信息，包括坐标信息、影像信息、位置的文字描述信息和现场标注信息，并进行编号。便于准确定位病害体和后期追溯。</w:t>
            </w:r>
          </w:p>
          <w:p>
            <w:pPr>
              <w:pStyle w:val="null5"/>
              <w:jc w:val="left"/>
            </w:pPr>
            <w:r>
              <w:rPr>
                <w:rFonts w:ascii="仿宋_GB2312" w:hAnsi="仿宋_GB2312" w:cs="仿宋_GB2312" w:eastAsia="仿宋_GB2312"/>
                <w:sz w:val="19"/>
              </w:rPr>
              <w:t>(3)对道路塌陷隐患点采用辅助方法验证，优先选用钻探验证法，形成异常点定位与钻探验证成果。</w:t>
            </w:r>
          </w:p>
          <w:p>
            <w:pPr>
              <w:pStyle w:val="null5"/>
              <w:jc w:val="left"/>
            </w:pPr>
            <w:r>
              <w:rPr>
                <w:rFonts w:ascii="仿宋_GB2312" w:hAnsi="仿宋_GB2312" w:cs="仿宋_GB2312" w:eastAsia="仿宋_GB2312"/>
                <w:sz w:val="19"/>
              </w:rPr>
              <w:t>3.风险评估</w:t>
            </w:r>
          </w:p>
          <w:p>
            <w:pPr>
              <w:pStyle w:val="null5"/>
              <w:jc w:val="left"/>
            </w:pPr>
            <w:r>
              <w:rPr>
                <w:rFonts w:ascii="仿宋_GB2312" w:hAnsi="仿宋_GB2312" w:cs="仿宋_GB2312" w:eastAsia="仿宋_GB2312"/>
                <w:sz w:val="19"/>
              </w:rPr>
              <w:t>在道路塌陷隐患检测结果的基础上，结合周边环境信息，按照《城市地下病害体综合探测与风险评估技术标准》</w:t>
            </w:r>
            <w:r>
              <w:rPr>
                <w:rFonts w:ascii="仿宋_GB2312" w:hAnsi="仿宋_GB2312" w:cs="仿宋_GB2312" w:eastAsia="仿宋_GB2312"/>
                <w:sz w:val="19"/>
              </w:rPr>
              <w:t>JG/T 437-2018相关要求，对每一个道路塌陷隐患点开展风险评估，确定其风险等级，并提出风险控制对策建议。道路塌陷隐患点风险评估应包括风险影响因素调查、风险发生可能性评价、风险后果评价及风险等级评定。</w:t>
            </w:r>
          </w:p>
          <w:p>
            <w:pPr>
              <w:pStyle w:val="null5"/>
              <w:jc w:val="left"/>
            </w:pPr>
            <w:r>
              <w:rPr>
                <w:rFonts w:ascii="仿宋_GB2312" w:hAnsi="仿宋_GB2312" w:cs="仿宋_GB2312" w:eastAsia="仿宋_GB2312"/>
                <w:sz w:val="19"/>
              </w:rPr>
              <w:t>(四)工作要求</w:t>
            </w:r>
          </w:p>
          <w:p>
            <w:pPr>
              <w:pStyle w:val="null5"/>
              <w:jc w:val="left"/>
            </w:pPr>
            <w:r>
              <w:rPr>
                <w:rFonts w:ascii="仿宋_GB2312" w:hAnsi="仿宋_GB2312" w:cs="仿宋_GB2312" w:eastAsia="仿宋_GB2312"/>
                <w:sz w:val="19"/>
              </w:rPr>
              <w:t>1.基本要求</w:t>
            </w:r>
          </w:p>
          <w:p>
            <w:pPr>
              <w:pStyle w:val="null5"/>
              <w:jc w:val="left"/>
            </w:pPr>
            <w:r>
              <w:rPr>
                <w:rFonts w:ascii="仿宋_GB2312" w:hAnsi="仿宋_GB2312" w:cs="仿宋_GB2312" w:eastAsia="仿宋_GB2312"/>
                <w:sz w:val="19"/>
              </w:rPr>
              <w:t>在检测过程中如查明已形成严重道路塌陷隐患时，中标人应立即以电话与书面形式通知采购人。</w:t>
            </w:r>
          </w:p>
          <w:p>
            <w:pPr>
              <w:pStyle w:val="null5"/>
              <w:jc w:val="left"/>
            </w:pPr>
            <w:r>
              <w:rPr>
                <w:rFonts w:ascii="仿宋_GB2312" w:hAnsi="仿宋_GB2312" w:cs="仿宋_GB2312" w:eastAsia="仿宋_GB2312"/>
                <w:sz w:val="19"/>
              </w:rPr>
              <w:t>2.时间要求</w:t>
            </w:r>
          </w:p>
          <w:p>
            <w:pPr>
              <w:pStyle w:val="null5"/>
              <w:jc w:val="left"/>
            </w:pPr>
            <w:r>
              <w:rPr>
                <w:rFonts w:ascii="仿宋_GB2312" w:hAnsi="仿宋_GB2312" w:cs="仿宋_GB2312" w:eastAsia="仿宋_GB2312"/>
                <w:sz w:val="19"/>
              </w:rPr>
              <w:t>(1)中标人应在合同生效后50日历天内完成道路塌陷隐患检测及隐患点详查外业检测工作。</w:t>
            </w:r>
          </w:p>
          <w:p>
            <w:pPr>
              <w:pStyle w:val="null5"/>
              <w:jc w:val="left"/>
            </w:pPr>
            <w:r>
              <w:rPr>
                <w:rFonts w:ascii="仿宋_GB2312" w:hAnsi="仿宋_GB2312" w:cs="仿宋_GB2312" w:eastAsia="仿宋_GB2312"/>
                <w:sz w:val="19"/>
              </w:rPr>
              <w:t>(2)中标人应在外业检测完成后50日历天内提交道路塌陷隐患检测报告</w:t>
            </w:r>
          </w:p>
          <w:p>
            <w:pPr>
              <w:pStyle w:val="null5"/>
              <w:jc w:val="left"/>
            </w:pPr>
            <w:r>
              <w:rPr>
                <w:rFonts w:ascii="仿宋_GB2312" w:hAnsi="仿宋_GB2312" w:cs="仿宋_GB2312" w:eastAsia="仿宋_GB2312"/>
                <w:sz w:val="19"/>
              </w:rPr>
              <w:t>(3)重点路段道路塌陷隐患复测外业检测工作、提交复测检测报告应在50日历天内完成。</w:t>
            </w:r>
          </w:p>
          <w:p>
            <w:pPr>
              <w:pStyle w:val="null5"/>
              <w:jc w:val="left"/>
            </w:pPr>
            <w:r>
              <w:rPr>
                <w:rFonts w:ascii="仿宋_GB2312" w:hAnsi="仿宋_GB2312" w:cs="仿宋_GB2312" w:eastAsia="仿宋_GB2312"/>
                <w:sz w:val="19"/>
              </w:rPr>
              <w:t>3.技术要求</w:t>
            </w:r>
          </w:p>
          <w:p>
            <w:pPr>
              <w:pStyle w:val="null5"/>
              <w:jc w:val="left"/>
            </w:pPr>
            <w:r>
              <w:rPr>
                <w:rFonts w:ascii="仿宋_GB2312" w:hAnsi="仿宋_GB2312" w:cs="仿宋_GB2312" w:eastAsia="仿宋_GB2312"/>
                <w:sz w:val="19"/>
              </w:rPr>
              <w:t>(1)测线布设应符合下列规定:</w:t>
            </w:r>
          </w:p>
          <w:p>
            <w:pPr>
              <w:pStyle w:val="null5"/>
              <w:jc w:val="left"/>
            </w:pPr>
            <w:r>
              <w:rPr>
                <w:rFonts w:ascii="仿宋_GB2312" w:hAnsi="仿宋_GB2312" w:cs="仿宋_GB2312" w:eastAsia="仿宋_GB2312"/>
                <w:sz w:val="19"/>
              </w:rPr>
              <w:t>①测线布设应完整、连续、并应避开雷达干扰源。</w:t>
            </w:r>
          </w:p>
          <w:p>
            <w:pPr>
              <w:pStyle w:val="null5"/>
              <w:jc w:val="left"/>
            </w:pPr>
            <w:r>
              <w:rPr>
                <w:rFonts w:ascii="仿宋_GB2312" w:hAnsi="仿宋_GB2312" w:cs="仿宋_GB2312" w:eastAsia="仿宋_GB2312"/>
                <w:sz w:val="19"/>
              </w:rPr>
              <w:t>②首次检测测线布设应达到检测区域全面覆盖的目标，测线宜与车道平行。</w:t>
            </w:r>
          </w:p>
          <w:p>
            <w:pPr>
              <w:pStyle w:val="null5"/>
              <w:jc w:val="left"/>
            </w:pPr>
            <w:r>
              <w:rPr>
                <w:rFonts w:ascii="仿宋_GB2312" w:hAnsi="仿宋_GB2312" w:cs="仿宋_GB2312" w:eastAsia="仿宋_GB2312"/>
                <w:sz w:val="19"/>
              </w:rPr>
              <w:t>③重点检测区域或检测异常区域测线应加密布设或交叉布设。</w:t>
            </w:r>
          </w:p>
          <w:p>
            <w:pPr>
              <w:pStyle w:val="null5"/>
              <w:numPr>
                <w:ilvl w:val="0"/>
                <w:numId w:val="2"/>
              </w:numPr>
              <w:jc w:val="left"/>
            </w:pPr>
            <w:r>
              <w:rPr>
                <w:rFonts w:ascii="仿宋_GB2312" w:hAnsi="仿宋_GB2312" w:cs="仿宋_GB2312" w:eastAsia="仿宋_GB2312"/>
                <w:sz w:val="19"/>
              </w:rPr>
              <w:t>对检测到的道路塌陷隐患点，中标人应利用高精度定位设备确定道路塌陷隐患点位置信息。</w:t>
            </w:r>
          </w:p>
          <w:p>
            <w:pPr>
              <w:pStyle w:val="null5"/>
              <w:jc w:val="left"/>
            </w:pPr>
            <w:r>
              <w:rPr>
                <w:rFonts w:ascii="仿宋_GB2312" w:hAnsi="仿宋_GB2312" w:cs="仿宋_GB2312" w:eastAsia="仿宋_GB2312"/>
                <w:sz w:val="19"/>
              </w:rPr>
              <w:t>(3)对检测到的道路塌陷隐患点，中标人应配合采购人及地下设施权属单位进行现场判别指认。对空洞、脱空、富水三种病害应全部钻探验证:土体疏松病害的验证数量不应少于其总数的20%，且不应少于3处:成果验证结果与检测结果不一致时，应分析原因，对检测结果进行重新判识。</w:t>
            </w:r>
          </w:p>
          <w:p>
            <w:pPr>
              <w:pStyle w:val="null5"/>
              <w:jc w:val="left"/>
            </w:pPr>
            <w:r>
              <w:rPr>
                <w:rFonts w:ascii="仿宋_GB2312" w:hAnsi="仿宋_GB2312" w:cs="仿宋_GB2312" w:eastAsia="仿宋_GB2312"/>
                <w:sz w:val="19"/>
              </w:rPr>
              <w:t>(4)中标人在开展采购范围内城市道路塌陷隐患检测期间，如遇检测特殊情况或检测困难时，中标人应及时对检测仪器设备、数据分析软件进行更新、优化升级，以匹配检测实际需求，确保检测工作顺利实施。</w:t>
            </w:r>
          </w:p>
          <w:p>
            <w:pPr>
              <w:pStyle w:val="null5"/>
              <w:jc w:val="left"/>
            </w:pPr>
            <w:r>
              <w:rPr>
                <w:rFonts w:ascii="仿宋_GB2312" w:hAnsi="仿宋_GB2312" w:cs="仿宋_GB2312" w:eastAsia="仿宋_GB2312"/>
                <w:sz w:val="19"/>
              </w:rPr>
              <w:t>(5)中标人应制定高效可行的道路塌陷隐患检测方案，检测方案应经采购人同意后方可实施。</w:t>
            </w:r>
          </w:p>
          <w:p>
            <w:pPr>
              <w:pStyle w:val="null5"/>
              <w:jc w:val="left"/>
            </w:pPr>
            <w:r>
              <w:rPr>
                <w:rFonts w:ascii="仿宋_GB2312" w:hAnsi="仿宋_GB2312" w:cs="仿宋_GB2312" w:eastAsia="仿宋_GB2312"/>
                <w:sz w:val="19"/>
              </w:rPr>
              <w:t>4.人员要求、技术方案要求和履约能力要求</w:t>
            </w:r>
          </w:p>
          <w:p>
            <w:pPr>
              <w:pStyle w:val="null5"/>
              <w:jc w:val="left"/>
            </w:pPr>
            <w:r>
              <w:rPr>
                <w:rFonts w:ascii="仿宋_GB2312" w:hAnsi="仿宋_GB2312" w:cs="仿宋_GB2312" w:eastAsia="仿宋_GB2312"/>
                <w:sz w:val="19"/>
              </w:rPr>
              <w:t>★(1)人员要求</w:t>
            </w:r>
          </w:p>
          <w:p>
            <w:pPr>
              <w:pStyle w:val="null5"/>
              <w:jc w:val="left"/>
            </w:pPr>
            <w:r>
              <w:rPr>
                <w:rFonts w:ascii="仿宋_GB2312" w:hAnsi="仿宋_GB2312" w:cs="仿宋_GB2312" w:eastAsia="仿宋_GB2312"/>
                <w:sz w:val="19"/>
              </w:rPr>
              <w:t>投入本项目检测人员的数量应足够满足本项目需要，主要投入项目负责人</w:t>
            </w:r>
            <w:r>
              <w:rPr>
                <w:rFonts w:ascii="仿宋_GB2312" w:hAnsi="仿宋_GB2312" w:cs="仿宋_GB2312" w:eastAsia="仿宋_GB2312"/>
                <w:sz w:val="19"/>
              </w:rPr>
              <w:t>1名、技术人员4名。</w:t>
            </w:r>
          </w:p>
          <w:tbl>
            <w:tblPr>
              <w:tblInd w:type="dxa" w:w="120"/>
              <w:tblBorders>
                <w:top w:val="none" w:color="000000" w:sz="4"/>
                <w:left w:val="none" w:color="000000" w:sz="4"/>
                <w:bottom w:val="none" w:color="000000" w:sz="4"/>
                <w:right w:val="none" w:color="000000" w:sz="4"/>
                <w:insideH w:val="none"/>
                <w:insideV w:val="none"/>
              </w:tblBorders>
            </w:tblPr>
            <w:tblGrid>
              <w:gridCol w:w="743"/>
              <w:gridCol w:w="233"/>
              <w:gridCol w:w="916"/>
              <w:gridCol w:w="661"/>
            </w:tblGrid>
            <w:tr>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岗位人员</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数量</w:t>
                  </w:r>
                </w:p>
              </w:tc>
              <w:tc>
                <w:tcPr>
                  <w:tcW w:type="dxa" w:w="9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要求</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证明材料</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项目负责人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1</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具有工程师及以上职称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提供证书复印件</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现场探测技术人员</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2</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具有工程师及以上职称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提供证书复印件</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数据分析技术</w:t>
                  </w:r>
                </w:p>
                <w:p>
                  <w:pPr>
                    <w:pStyle w:val="null5"/>
                    <w:jc w:val="both"/>
                  </w:pPr>
                  <w:r>
                    <w:rPr>
                      <w:rFonts w:ascii="仿宋_GB2312" w:hAnsi="仿宋_GB2312" w:cs="仿宋_GB2312" w:eastAsia="仿宋_GB2312"/>
                      <w:sz w:val="19"/>
                    </w:rPr>
                    <w:t>人员</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2</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具有工程师及以上职称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19"/>
                    </w:rPr>
                    <w:t>提供证书复印件</w:t>
                  </w:r>
                </w:p>
              </w:tc>
            </w:tr>
          </w:tbl>
          <w:p>
            <w:pPr>
              <w:pStyle w:val="null5"/>
              <w:jc w:val="left"/>
            </w:pPr>
            <w:r>
              <w:rPr>
                <w:rFonts w:ascii="仿宋_GB2312" w:hAnsi="仿宋_GB2312" w:cs="仿宋_GB2312" w:eastAsia="仿宋_GB2312"/>
                <w:sz w:val="19"/>
              </w:rPr>
              <w:t>①检测人员均具有良好的职业道德和严谨的工作作风，能按采购人的检测安排和具体要求进行检测</w:t>
            </w:r>
          </w:p>
          <w:p>
            <w:pPr>
              <w:pStyle w:val="null5"/>
              <w:jc w:val="left"/>
            </w:pPr>
            <w:r>
              <w:rPr>
                <w:rFonts w:ascii="仿宋_GB2312" w:hAnsi="仿宋_GB2312" w:cs="仿宋_GB2312" w:eastAsia="仿宋_GB2312"/>
                <w:sz w:val="19"/>
              </w:rPr>
              <w:t>②项目负责人如有不尽其职或虚名挂靠,采购人有权要求撤换，直至要求终止合同，由此造成的损失由中标人自行负责。</w:t>
            </w:r>
          </w:p>
          <w:p>
            <w:pPr>
              <w:pStyle w:val="null5"/>
              <w:jc w:val="left"/>
            </w:pPr>
            <w:r>
              <w:rPr>
                <w:rFonts w:ascii="仿宋_GB2312" w:hAnsi="仿宋_GB2312" w:cs="仿宋_GB2312" w:eastAsia="仿宋_GB2312"/>
                <w:sz w:val="19"/>
              </w:rPr>
              <w:t>(2)技术方案</w:t>
            </w:r>
          </w:p>
          <w:p>
            <w:pPr>
              <w:pStyle w:val="null5"/>
              <w:jc w:val="left"/>
            </w:pPr>
            <w:r>
              <w:rPr>
                <w:rFonts w:ascii="仿宋_GB2312" w:hAnsi="仿宋_GB2312" w:cs="仿宋_GB2312" w:eastAsia="仿宋_GB2312"/>
                <w:sz w:val="19"/>
              </w:rPr>
              <w:t>投标人应针对本次检测道路拟定初步技术方案。</w:t>
            </w:r>
          </w:p>
          <w:p>
            <w:pPr>
              <w:pStyle w:val="null5"/>
              <w:jc w:val="left"/>
            </w:pPr>
            <w:r>
              <w:rPr>
                <w:rFonts w:ascii="仿宋_GB2312" w:hAnsi="仿宋_GB2312" w:cs="仿宋_GB2312" w:eastAsia="仿宋_GB2312"/>
                <w:sz w:val="19"/>
              </w:rPr>
              <w:t>(3)履约能力要求</w:t>
            </w:r>
          </w:p>
          <w:p>
            <w:pPr>
              <w:pStyle w:val="null5"/>
              <w:jc w:val="left"/>
            </w:pPr>
            <w:r>
              <w:rPr>
                <w:rFonts w:ascii="仿宋_GB2312" w:hAnsi="仿宋_GB2312" w:cs="仿宋_GB2312" w:eastAsia="仿宋_GB2312"/>
                <w:sz w:val="19"/>
              </w:rPr>
              <w:t>投标人应具有类似本项目实施经验，有丰富的理论和实践经验。</w:t>
            </w:r>
          </w:p>
          <w:p>
            <w:pPr>
              <w:pStyle w:val="null5"/>
              <w:jc w:val="left"/>
            </w:pPr>
            <w:r>
              <w:rPr>
                <w:rFonts w:ascii="仿宋_GB2312" w:hAnsi="仿宋_GB2312" w:cs="仿宋_GB2312" w:eastAsia="仿宋_GB2312"/>
                <w:sz w:val="19"/>
              </w:rPr>
              <w:t>5.设备要求</w:t>
            </w:r>
          </w:p>
          <w:p>
            <w:pPr>
              <w:pStyle w:val="null5"/>
              <w:jc w:val="left"/>
            </w:pPr>
            <w:r>
              <w:rPr>
                <w:rFonts w:ascii="仿宋_GB2312" w:hAnsi="仿宋_GB2312" w:cs="仿宋_GB2312" w:eastAsia="仿宋_GB2312"/>
                <w:sz w:val="19"/>
              </w:rPr>
              <w:t>(1)投入本项目检测系统应包括检测设备和配套软件，</w:t>
            </w:r>
          </w:p>
          <w:p>
            <w:pPr>
              <w:pStyle w:val="null5"/>
              <w:jc w:val="left"/>
            </w:pPr>
            <w:r>
              <w:rPr>
                <w:rFonts w:ascii="仿宋_GB2312" w:hAnsi="仿宋_GB2312" w:cs="仿宋_GB2312" w:eastAsia="仿宋_GB2312"/>
                <w:sz w:val="19"/>
              </w:rPr>
              <w:t>检测设备包括但不限于</w:t>
            </w:r>
            <w:r>
              <w:rPr>
                <w:rFonts w:ascii="仿宋_GB2312" w:hAnsi="仿宋_GB2312" w:cs="仿宋_GB2312" w:eastAsia="仿宋_GB2312"/>
                <w:sz w:val="19"/>
              </w:rPr>
              <w:t>:多通道探地雷达、高精度定位设备、辅助设备。</w:t>
            </w:r>
          </w:p>
          <w:p>
            <w:pPr>
              <w:pStyle w:val="null5"/>
              <w:jc w:val="left"/>
            </w:pPr>
            <w:r>
              <w:rPr>
                <w:rFonts w:ascii="仿宋_GB2312" w:hAnsi="仿宋_GB2312" w:cs="仿宋_GB2312" w:eastAsia="仿宋_GB2312"/>
                <w:sz w:val="19"/>
              </w:rPr>
              <w:t>配套软件包括但不限于</w:t>
            </w:r>
            <w:r>
              <w:rPr>
                <w:rFonts w:ascii="仿宋_GB2312" w:hAnsi="仿宋_GB2312" w:cs="仿宋_GB2312" w:eastAsia="仿宋_GB2312"/>
                <w:sz w:val="19"/>
              </w:rPr>
              <w:t>:数据采集软件、数据解译软件。</w:t>
            </w:r>
          </w:p>
          <w:p>
            <w:pPr>
              <w:pStyle w:val="null5"/>
              <w:jc w:val="left"/>
            </w:pPr>
            <w:r>
              <w:rPr>
                <w:rFonts w:ascii="仿宋_GB2312" w:hAnsi="仿宋_GB2312" w:cs="仿宋_GB2312" w:eastAsia="仿宋_GB2312"/>
                <w:sz w:val="19"/>
              </w:rPr>
              <w:t>检测设备和数据分析软件应满足道路塌陷隐患检测相关规范标准的要求</w:t>
            </w:r>
          </w:p>
          <w:p>
            <w:pPr>
              <w:pStyle w:val="null5"/>
              <w:jc w:val="left"/>
            </w:pPr>
            <w:r>
              <w:rPr>
                <w:rFonts w:ascii="仿宋_GB2312" w:hAnsi="仿宋_GB2312" w:cs="仿宋_GB2312" w:eastAsia="仿宋_GB2312"/>
                <w:sz w:val="19"/>
              </w:rPr>
              <w:t>★(2)投标人必须具有（</w:t>
            </w:r>
            <w:r>
              <w:rPr>
                <w:rFonts w:ascii="仿宋_GB2312" w:hAnsi="仿宋_GB2312" w:cs="仿宋_GB2312" w:eastAsia="仿宋_GB2312"/>
                <w:sz w:val="19"/>
              </w:rPr>
              <w:t>或租赁</w:t>
            </w:r>
            <w:r>
              <w:rPr>
                <w:rFonts w:ascii="仿宋_GB2312" w:hAnsi="仿宋_GB2312" w:cs="仿宋_GB2312" w:eastAsia="仿宋_GB2312"/>
                <w:sz w:val="19"/>
              </w:rPr>
              <w:t>）以下</w:t>
            </w:r>
            <w:r>
              <w:rPr>
                <w:rFonts w:ascii="仿宋_GB2312" w:hAnsi="仿宋_GB2312" w:cs="仿宋_GB2312" w:eastAsia="仿宋_GB2312"/>
                <w:sz w:val="19"/>
              </w:rPr>
              <w:t>(包括不限于)检测仪器设备，投标文件中应明确用于本项目的探测设备名称、型号。</w:t>
            </w:r>
          </w:p>
          <w:p>
            <w:pPr>
              <w:pStyle w:val="null5"/>
              <w:jc w:val="left"/>
            </w:pPr>
            <w:r>
              <w:rPr>
                <w:rFonts w:ascii="仿宋_GB2312" w:hAnsi="仿宋_GB2312" w:cs="仿宋_GB2312" w:eastAsia="仿宋_GB2312"/>
                <w:sz w:val="19"/>
              </w:rPr>
              <w:t>①投标人应具有（</w:t>
            </w:r>
            <w:r>
              <w:rPr>
                <w:rFonts w:ascii="仿宋_GB2312" w:hAnsi="仿宋_GB2312" w:cs="仿宋_GB2312" w:eastAsia="仿宋_GB2312"/>
                <w:sz w:val="19"/>
              </w:rPr>
              <w:t>或租赁</w:t>
            </w:r>
            <w:r>
              <w:rPr>
                <w:rFonts w:ascii="仿宋_GB2312" w:hAnsi="仿宋_GB2312" w:cs="仿宋_GB2312" w:eastAsia="仿宋_GB2312"/>
                <w:sz w:val="19"/>
              </w:rPr>
              <w:t>）一台二维探地雷达</w:t>
            </w:r>
            <w:r>
              <w:rPr>
                <w:rFonts w:ascii="仿宋_GB2312" w:hAnsi="仿宋_GB2312" w:cs="仿宋_GB2312" w:eastAsia="仿宋_GB2312"/>
                <w:sz w:val="19"/>
              </w:rPr>
              <w:t>(频率80-500MHZ)</w:t>
            </w:r>
          </w:p>
          <w:p>
            <w:pPr>
              <w:pStyle w:val="null5"/>
              <w:jc w:val="left"/>
            </w:pPr>
            <w:r>
              <w:rPr>
                <w:rFonts w:ascii="仿宋_GB2312" w:hAnsi="仿宋_GB2312" w:cs="仿宋_GB2312" w:eastAsia="仿宋_GB2312"/>
                <w:sz w:val="19"/>
              </w:rPr>
              <w:t>②投标人应具有（</w:t>
            </w:r>
            <w:r>
              <w:rPr>
                <w:rFonts w:ascii="仿宋_GB2312" w:hAnsi="仿宋_GB2312" w:cs="仿宋_GB2312" w:eastAsia="仿宋_GB2312"/>
                <w:sz w:val="19"/>
              </w:rPr>
              <w:t>或租赁</w:t>
            </w:r>
            <w:r>
              <w:rPr>
                <w:rFonts w:ascii="仿宋_GB2312" w:hAnsi="仿宋_GB2312" w:cs="仿宋_GB2312" w:eastAsia="仿宋_GB2312"/>
                <w:sz w:val="19"/>
              </w:rPr>
              <w:t>）一台三维探地雷达</w:t>
            </w:r>
            <w:r>
              <w:rPr>
                <w:rFonts w:ascii="仿宋_GB2312" w:hAnsi="仿宋_GB2312" w:cs="仿宋_GB2312" w:eastAsia="仿宋_GB2312"/>
                <w:sz w:val="19"/>
              </w:rPr>
              <w:t>(频率200MHZ及以上</w:t>
            </w:r>
          </w:p>
          <w:p>
            <w:pPr>
              <w:pStyle w:val="null5"/>
              <w:jc w:val="left"/>
            </w:pPr>
            <w:r>
              <w:rPr>
                <w:rFonts w:ascii="仿宋_GB2312" w:hAnsi="仿宋_GB2312" w:cs="仿宋_GB2312" w:eastAsia="仿宋_GB2312"/>
                <w:sz w:val="19"/>
              </w:rPr>
              <w:t>)③投标人应具有（</w:t>
            </w:r>
            <w:r>
              <w:rPr>
                <w:rFonts w:ascii="仿宋_GB2312" w:hAnsi="仿宋_GB2312" w:cs="仿宋_GB2312" w:eastAsia="仿宋_GB2312"/>
                <w:sz w:val="19"/>
              </w:rPr>
              <w:t>或租赁</w:t>
            </w:r>
            <w:r>
              <w:rPr>
                <w:rFonts w:ascii="仿宋_GB2312" w:hAnsi="仿宋_GB2312" w:cs="仿宋_GB2312" w:eastAsia="仿宋_GB2312"/>
                <w:sz w:val="19"/>
              </w:rPr>
              <w:t>）一台高精度定位设备</w:t>
            </w:r>
          </w:p>
          <w:p>
            <w:pPr>
              <w:pStyle w:val="null5"/>
              <w:jc w:val="left"/>
            </w:pPr>
            <w:r>
              <w:rPr>
                <w:rFonts w:ascii="仿宋_GB2312" w:hAnsi="仿宋_GB2312" w:cs="仿宋_GB2312" w:eastAsia="仿宋_GB2312"/>
                <w:sz w:val="19"/>
              </w:rPr>
              <w:t>投标人应在中标后向采购人提供以上仪器设备购买或租赁相关合同及发票，同时承诺在项目实施期间投标文件中拟采用的设备未经采购人许可不得用于其他项目</w:t>
            </w:r>
            <w:r>
              <w:rPr>
                <w:rFonts w:ascii="仿宋_GB2312" w:hAnsi="仿宋_GB2312" w:cs="仿宋_GB2312" w:eastAsia="仿宋_GB2312"/>
                <w:sz w:val="19"/>
              </w:rPr>
              <w:t>(在投标文件中提供承诺函)</w:t>
            </w:r>
          </w:p>
          <w:p>
            <w:pPr>
              <w:pStyle w:val="null5"/>
              <w:jc w:val="left"/>
            </w:pPr>
            <w:r>
              <w:rPr>
                <w:rFonts w:ascii="仿宋_GB2312" w:hAnsi="仿宋_GB2312" w:cs="仿宋_GB2312" w:eastAsia="仿宋_GB2312"/>
                <w:sz w:val="19"/>
              </w:rPr>
              <w:t>6.检测成果要求</w:t>
            </w:r>
          </w:p>
          <w:p>
            <w:pPr>
              <w:pStyle w:val="null5"/>
              <w:jc w:val="left"/>
            </w:pPr>
            <w:r>
              <w:rPr>
                <w:rFonts w:ascii="仿宋_GB2312" w:hAnsi="仿宋_GB2312" w:cs="仿宋_GB2312" w:eastAsia="仿宋_GB2312"/>
                <w:sz w:val="19"/>
              </w:rPr>
              <w:t>(1)检测成果知识产权</w:t>
            </w:r>
          </w:p>
          <w:p>
            <w:pPr>
              <w:pStyle w:val="null5"/>
              <w:jc w:val="left"/>
            </w:pPr>
            <w:r>
              <w:rPr>
                <w:rFonts w:ascii="仿宋_GB2312" w:hAnsi="仿宋_GB2312" w:cs="仿宋_GB2312" w:eastAsia="仿宋_GB2312"/>
                <w:sz w:val="19"/>
              </w:rPr>
              <w:t>①中标人在履行本项目各项工作中获取的各种资料信息(包括但不限于文字类、数字类、音视频类等各型文档)以及采购人尚未对外公开的信息承担保密义务。</w:t>
            </w:r>
          </w:p>
          <w:p>
            <w:pPr>
              <w:pStyle w:val="null5"/>
              <w:jc w:val="left"/>
            </w:pPr>
            <w:r>
              <w:rPr>
                <w:rFonts w:ascii="仿宋_GB2312" w:hAnsi="仿宋_GB2312" w:cs="仿宋_GB2312" w:eastAsia="仿宋_GB2312"/>
                <w:sz w:val="19"/>
              </w:rPr>
              <w:t>②项目所涉及的全部成果性资料(包括但不限于文字、图片、数据等)所有权全部归采购人。未经采购人书面许可，中标人不得向任何第三方泄漏部分或全部;不得以项目展示、商业宣传、成果介绍等方式向任何第三方进行介绍、宣传或演示;不得以任何理由及方式商业性地利用上述资料，由此造成的损失及相关法律责任全部由中标人承担。</w:t>
            </w:r>
          </w:p>
          <w:p>
            <w:pPr>
              <w:pStyle w:val="null5"/>
              <w:jc w:val="left"/>
            </w:pPr>
            <w:r>
              <w:rPr>
                <w:rFonts w:ascii="仿宋_GB2312" w:hAnsi="仿宋_GB2312" w:cs="仿宋_GB2312" w:eastAsia="仿宋_GB2312"/>
                <w:sz w:val="19"/>
              </w:rPr>
              <w:t>③中标人对项目实施过程中的全部信息数据，具有严格法律效力的保密责任，若有违反或非法传播,中标人将承担由此产生的全部经济和法律责任。</w:t>
            </w:r>
          </w:p>
          <w:p>
            <w:pPr>
              <w:pStyle w:val="null5"/>
              <w:jc w:val="left"/>
            </w:pPr>
            <w:r>
              <w:rPr>
                <w:rFonts w:ascii="仿宋_GB2312" w:hAnsi="仿宋_GB2312" w:cs="仿宋_GB2312" w:eastAsia="仿宋_GB2312"/>
                <w:sz w:val="19"/>
              </w:rPr>
              <w:t>(2)检测成果内容</w:t>
            </w:r>
          </w:p>
          <w:p>
            <w:pPr>
              <w:pStyle w:val="null5"/>
              <w:jc w:val="left"/>
            </w:pPr>
            <w:r>
              <w:rPr>
                <w:rFonts w:ascii="仿宋_GB2312" w:hAnsi="仿宋_GB2312" w:cs="仿宋_GB2312" w:eastAsia="仿宋_GB2312"/>
                <w:sz w:val="19"/>
              </w:rPr>
              <w:t>检测成果应遵循解译正确、定位准确、科学有据、结论明确、易于处置的原则。检测成果应包括但不限于以下内容</w:t>
            </w:r>
            <w:r>
              <w:rPr>
                <w:rFonts w:ascii="仿宋_GB2312" w:hAnsi="仿宋_GB2312" w:cs="仿宋_GB2312" w:eastAsia="仿宋_GB2312"/>
                <w:sz w:val="19"/>
              </w:rPr>
              <w:t>:</w:t>
            </w:r>
          </w:p>
          <w:p>
            <w:pPr>
              <w:pStyle w:val="null5"/>
              <w:jc w:val="left"/>
            </w:pPr>
            <w:r>
              <w:rPr>
                <w:rFonts w:ascii="仿宋_GB2312" w:hAnsi="仿宋_GB2312" w:cs="仿宋_GB2312" w:eastAsia="仿宋_GB2312"/>
                <w:sz w:val="19"/>
              </w:rPr>
              <w:t>①汇总报告</w:t>
            </w:r>
          </w:p>
          <w:p>
            <w:pPr>
              <w:pStyle w:val="null5"/>
              <w:jc w:val="left"/>
            </w:pPr>
            <w:r>
              <w:rPr>
                <w:rFonts w:ascii="仿宋_GB2312" w:hAnsi="仿宋_GB2312" w:cs="仿宋_GB2312" w:eastAsia="仿宋_GB2312"/>
                <w:sz w:val="19"/>
              </w:rPr>
              <w:t>雷达数据解译成果</w:t>
            </w:r>
            <w:r>
              <w:rPr>
                <w:rFonts w:ascii="仿宋_GB2312" w:hAnsi="仿宋_GB2312" w:cs="仿宋_GB2312" w:eastAsia="仿宋_GB2312"/>
                <w:sz w:val="19"/>
              </w:rPr>
              <w:t>:</w:t>
            </w:r>
          </w:p>
          <w:p>
            <w:pPr>
              <w:pStyle w:val="null5"/>
              <w:jc w:val="left"/>
            </w:pPr>
            <w:r>
              <w:rPr>
                <w:rFonts w:ascii="仿宋_GB2312" w:hAnsi="仿宋_GB2312" w:cs="仿宋_GB2312" w:eastAsia="仿宋_GB2312"/>
                <w:sz w:val="19"/>
              </w:rPr>
              <w:t>道路塌陷隐患位置信息成果</w:t>
            </w:r>
            <w:r>
              <w:rPr>
                <w:rFonts w:ascii="仿宋_GB2312" w:hAnsi="仿宋_GB2312" w:cs="仿宋_GB2312" w:eastAsia="仿宋_GB2312"/>
                <w:sz w:val="19"/>
              </w:rPr>
              <w:t>:</w:t>
            </w:r>
          </w:p>
          <w:p>
            <w:pPr>
              <w:pStyle w:val="null5"/>
              <w:jc w:val="left"/>
            </w:pPr>
            <w:r>
              <w:rPr>
                <w:rFonts w:ascii="仿宋_GB2312" w:hAnsi="仿宋_GB2312" w:cs="仿宋_GB2312" w:eastAsia="仿宋_GB2312"/>
                <w:sz w:val="19"/>
              </w:rPr>
              <w:t>隐患点定位与钻探验证成果</w:t>
            </w:r>
            <w:r>
              <w:rPr>
                <w:rFonts w:ascii="仿宋_GB2312" w:hAnsi="仿宋_GB2312" w:cs="仿宋_GB2312" w:eastAsia="仿宋_GB2312"/>
                <w:sz w:val="19"/>
              </w:rPr>
              <w:t>:</w:t>
            </w:r>
          </w:p>
          <w:p>
            <w:pPr>
              <w:pStyle w:val="null5"/>
              <w:jc w:val="left"/>
            </w:pPr>
            <w:r>
              <w:rPr>
                <w:rFonts w:ascii="仿宋_GB2312" w:hAnsi="仿宋_GB2312" w:cs="仿宋_GB2312" w:eastAsia="仿宋_GB2312"/>
                <w:sz w:val="19"/>
              </w:rPr>
              <w:t>道路塌陷隐患点风险评估成果</w:t>
            </w:r>
            <w:r>
              <w:rPr>
                <w:rFonts w:ascii="仿宋_GB2312" w:hAnsi="仿宋_GB2312" w:cs="仿宋_GB2312" w:eastAsia="仿宋_GB2312"/>
                <w:sz w:val="19"/>
              </w:rPr>
              <w:t>:</w:t>
            </w:r>
          </w:p>
          <w:p>
            <w:pPr>
              <w:pStyle w:val="null5"/>
              <w:jc w:val="left"/>
            </w:pPr>
            <w:r>
              <w:rPr>
                <w:rFonts w:ascii="仿宋_GB2312" w:hAnsi="仿宋_GB2312" w:cs="仿宋_GB2312" w:eastAsia="仿宋_GB2312"/>
                <w:sz w:val="19"/>
              </w:rPr>
              <w:t>道路塌陷隐患成因分析及处置建议</w:t>
            </w:r>
            <w:r>
              <w:rPr>
                <w:rFonts w:ascii="仿宋_GB2312" w:hAnsi="仿宋_GB2312" w:cs="仿宋_GB2312" w:eastAsia="仿宋_GB2312"/>
                <w:sz w:val="19"/>
              </w:rPr>
              <w:t>;</w:t>
            </w:r>
          </w:p>
          <w:p>
            <w:pPr>
              <w:pStyle w:val="null5"/>
              <w:jc w:val="left"/>
            </w:pPr>
            <w:r>
              <w:rPr>
                <w:rFonts w:ascii="仿宋_GB2312" w:hAnsi="仿宋_GB2312" w:cs="仿宋_GB2312" w:eastAsia="仿宋_GB2312"/>
                <w:sz w:val="19"/>
              </w:rPr>
              <w:t>检测过程性资料</w:t>
            </w:r>
            <w:r>
              <w:rPr>
                <w:rFonts w:ascii="仿宋_GB2312" w:hAnsi="仿宋_GB2312" w:cs="仿宋_GB2312" w:eastAsia="仿宋_GB2312"/>
                <w:sz w:val="19"/>
              </w:rPr>
              <w:t>:</w:t>
            </w:r>
          </w:p>
          <w:p>
            <w:pPr>
              <w:pStyle w:val="null5"/>
              <w:jc w:val="left"/>
            </w:pPr>
            <w:r>
              <w:rPr>
                <w:rFonts w:ascii="仿宋_GB2312" w:hAnsi="仿宋_GB2312" w:cs="仿宋_GB2312" w:eastAsia="仿宋_GB2312"/>
                <w:sz w:val="19"/>
              </w:rPr>
              <w:t>采购人认为的其他材料。</w:t>
            </w:r>
          </w:p>
          <w:p>
            <w:pPr>
              <w:pStyle w:val="null5"/>
              <w:jc w:val="left"/>
            </w:pPr>
            <w:r>
              <w:rPr>
                <w:rFonts w:ascii="仿宋_GB2312" w:hAnsi="仿宋_GB2312" w:cs="仿宋_GB2312" w:eastAsia="仿宋_GB2312"/>
                <w:sz w:val="19"/>
              </w:rPr>
              <w:t>②道路塌陷隐患检测报告</w:t>
            </w:r>
          </w:p>
          <w:p>
            <w:pPr>
              <w:pStyle w:val="null5"/>
              <w:jc w:val="left"/>
            </w:pPr>
            <w:r>
              <w:rPr>
                <w:rFonts w:ascii="仿宋_GB2312" w:hAnsi="仿宋_GB2312" w:cs="仿宋_GB2312" w:eastAsia="仿宋_GB2312"/>
                <w:sz w:val="19"/>
              </w:rPr>
              <w:t>(3)检测报告编写</w:t>
            </w:r>
          </w:p>
          <w:p>
            <w:pPr>
              <w:pStyle w:val="null5"/>
              <w:jc w:val="left"/>
            </w:pPr>
            <w:r>
              <w:rPr>
                <w:rFonts w:ascii="仿宋_GB2312" w:hAnsi="仿宋_GB2312" w:cs="仿宋_GB2312" w:eastAsia="仿宋_GB2312"/>
                <w:sz w:val="19"/>
              </w:rPr>
              <w:t>①中标人出的检测报告。检测报告应详细、清晰、完整地反映检测过程，出具的道路塌陷隐患检测报告数据真实、内容完整、结论准确，报告中的数据作为对社会出具的公证数据用于指导采购人开展有效的道路应急抢险及养护维修工作。检测报告也将作为道路安全评价及因道路塌陷造成的事故调查的法律依据。</w:t>
            </w:r>
          </w:p>
          <w:p>
            <w:pPr>
              <w:pStyle w:val="null5"/>
              <w:jc w:val="left"/>
            </w:pPr>
            <w:r>
              <w:rPr>
                <w:rFonts w:ascii="仿宋_GB2312" w:hAnsi="仿宋_GB2312" w:cs="仿宋_GB2312" w:eastAsia="仿宋_GB2312"/>
                <w:sz w:val="19"/>
              </w:rPr>
              <w:t>②检测报告应包括下列内容:</w:t>
            </w:r>
          </w:p>
          <w:p>
            <w:pPr>
              <w:pStyle w:val="null5"/>
              <w:jc w:val="left"/>
            </w:pPr>
            <w:r>
              <w:rPr>
                <w:rFonts w:ascii="仿宋_GB2312" w:hAnsi="仿宋_GB2312" w:cs="仿宋_GB2312" w:eastAsia="仿宋_GB2312"/>
                <w:sz w:val="19"/>
              </w:rPr>
              <w:t>1)项目概况、检测的技术依据、目的和要求;</w:t>
            </w:r>
          </w:p>
          <w:p>
            <w:pPr>
              <w:pStyle w:val="null5"/>
              <w:jc w:val="left"/>
            </w:pPr>
            <w:r>
              <w:rPr>
                <w:rFonts w:ascii="仿宋_GB2312" w:hAnsi="仿宋_GB2312" w:cs="仿宋_GB2312" w:eastAsia="仿宋_GB2312"/>
                <w:sz w:val="19"/>
              </w:rPr>
              <w:t>2)检测区域概况:</w:t>
            </w:r>
          </w:p>
          <w:p>
            <w:pPr>
              <w:pStyle w:val="null5"/>
              <w:jc w:val="left"/>
            </w:pPr>
            <w:r>
              <w:rPr>
                <w:rFonts w:ascii="仿宋_GB2312" w:hAnsi="仿宋_GB2312" w:cs="仿宋_GB2312" w:eastAsia="仿宋_GB2312"/>
                <w:sz w:val="19"/>
              </w:rPr>
              <w:t>3)道路路面相关病害调查及已有资料的收集和利用情况:</w:t>
            </w:r>
          </w:p>
          <w:p>
            <w:pPr>
              <w:pStyle w:val="null5"/>
              <w:jc w:val="left"/>
            </w:pPr>
            <w:r>
              <w:rPr>
                <w:rFonts w:ascii="仿宋_GB2312" w:hAnsi="仿宋_GB2312" w:cs="仿宋_GB2312" w:eastAsia="仿宋_GB2312"/>
                <w:sz w:val="19"/>
              </w:rPr>
              <w:t>4)技术方案及安全专项方案:</w:t>
            </w:r>
          </w:p>
          <w:p>
            <w:pPr>
              <w:pStyle w:val="null5"/>
              <w:jc w:val="left"/>
            </w:pPr>
            <w:r>
              <w:rPr>
                <w:rFonts w:ascii="仿宋_GB2312" w:hAnsi="仿宋_GB2312" w:cs="仿宋_GB2312" w:eastAsia="仿宋_GB2312"/>
                <w:sz w:val="19"/>
              </w:rPr>
              <w:t>5)道路塌陷隐患及地下管线检测成果:</w:t>
            </w:r>
          </w:p>
          <w:p>
            <w:pPr>
              <w:pStyle w:val="null5"/>
              <w:jc w:val="left"/>
            </w:pPr>
            <w:r>
              <w:rPr>
                <w:rFonts w:ascii="仿宋_GB2312" w:hAnsi="仿宋_GB2312" w:cs="仿宋_GB2312" w:eastAsia="仿宋_GB2312"/>
                <w:sz w:val="19"/>
              </w:rPr>
              <w:t>6)成果钻探验证:</w:t>
            </w:r>
          </w:p>
          <w:p>
            <w:pPr>
              <w:pStyle w:val="null5"/>
              <w:jc w:val="left"/>
            </w:pPr>
            <w:r>
              <w:rPr>
                <w:rFonts w:ascii="仿宋_GB2312" w:hAnsi="仿宋_GB2312" w:cs="仿宋_GB2312" w:eastAsia="仿宋_GB2312"/>
                <w:sz w:val="19"/>
              </w:rPr>
              <w:t>7)道路塌陷隐患点风险评估:</w:t>
            </w:r>
          </w:p>
          <w:p>
            <w:pPr>
              <w:pStyle w:val="null5"/>
              <w:jc w:val="left"/>
            </w:pPr>
            <w:r>
              <w:rPr>
                <w:rFonts w:ascii="仿宋_GB2312" w:hAnsi="仿宋_GB2312" w:cs="仿宋_GB2312" w:eastAsia="仿宋_GB2312"/>
                <w:sz w:val="19"/>
              </w:rPr>
              <w:t>8)道路塌陷隐患初步成因分析:</w:t>
            </w:r>
          </w:p>
          <w:p>
            <w:pPr>
              <w:pStyle w:val="null5"/>
              <w:jc w:val="left"/>
            </w:pPr>
            <w:r>
              <w:rPr>
                <w:rFonts w:ascii="仿宋_GB2312" w:hAnsi="仿宋_GB2312" w:cs="仿宋_GB2312" w:eastAsia="仿宋_GB2312"/>
                <w:sz w:val="19"/>
              </w:rPr>
              <w:t>9)结论及处置建议;</w:t>
            </w:r>
          </w:p>
          <w:p>
            <w:pPr>
              <w:pStyle w:val="null5"/>
              <w:jc w:val="left"/>
            </w:pPr>
            <w:r>
              <w:rPr>
                <w:rFonts w:ascii="仿宋_GB2312" w:hAnsi="仿宋_GB2312" w:cs="仿宋_GB2312" w:eastAsia="仿宋_GB2312"/>
                <w:sz w:val="19"/>
              </w:rPr>
              <w:t>10)质量保障措施:</w:t>
            </w:r>
          </w:p>
          <w:p>
            <w:pPr>
              <w:pStyle w:val="null5"/>
              <w:jc w:val="left"/>
            </w:pPr>
            <w:r>
              <w:rPr>
                <w:rFonts w:ascii="仿宋_GB2312" w:hAnsi="仿宋_GB2312" w:cs="仿宋_GB2312" w:eastAsia="仿宋_GB2312"/>
                <w:sz w:val="19"/>
              </w:rPr>
              <w:t>11)服务承诺:</w:t>
            </w:r>
          </w:p>
          <w:p>
            <w:pPr>
              <w:pStyle w:val="null5"/>
              <w:jc w:val="left"/>
            </w:pPr>
            <w:r>
              <w:rPr>
                <w:rFonts w:ascii="仿宋_GB2312" w:hAnsi="仿宋_GB2312" w:cs="仿宋_GB2312" w:eastAsia="仿宋_GB2312"/>
                <w:sz w:val="19"/>
              </w:rPr>
              <w:t>12)附图和附表。</w:t>
            </w:r>
          </w:p>
          <w:p>
            <w:pPr>
              <w:pStyle w:val="null5"/>
              <w:jc w:val="left"/>
            </w:pPr>
            <w:r>
              <w:rPr>
                <w:rFonts w:ascii="仿宋_GB2312" w:hAnsi="仿宋_GB2312" w:cs="仿宋_GB2312" w:eastAsia="仿宋_GB2312"/>
                <w:sz w:val="19"/>
              </w:rPr>
              <w:t>(4)验收要求</w:t>
            </w:r>
          </w:p>
          <w:p>
            <w:pPr>
              <w:pStyle w:val="null5"/>
              <w:jc w:val="left"/>
            </w:pPr>
            <w:r>
              <w:rPr>
                <w:rFonts w:ascii="仿宋_GB2312" w:hAnsi="仿宋_GB2312" w:cs="仿宋_GB2312" w:eastAsia="仿宋_GB2312"/>
                <w:sz w:val="19"/>
              </w:rPr>
              <w:t>①由采购人会同相关部门，邀请业内专家组成验收小组。</w:t>
            </w:r>
          </w:p>
          <w:p>
            <w:pPr>
              <w:pStyle w:val="null5"/>
              <w:jc w:val="left"/>
            </w:pPr>
            <w:r>
              <w:rPr>
                <w:rFonts w:ascii="仿宋_GB2312" w:hAnsi="仿宋_GB2312" w:cs="仿宋_GB2312" w:eastAsia="仿宋_GB2312"/>
                <w:sz w:val="19"/>
              </w:rPr>
              <w:t>②采用听取汇报、审阅资料、质询答疑等室内审查方式，对项目成果进行系统、全面的审查。</w:t>
            </w:r>
          </w:p>
          <w:p>
            <w:pPr>
              <w:pStyle w:val="null5"/>
              <w:jc w:val="left"/>
            </w:pPr>
            <w:r>
              <w:rPr>
                <w:rFonts w:ascii="仿宋_GB2312" w:hAnsi="仿宋_GB2312" w:cs="仿宋_GB2312" w:eastAsia="仿宋_GB2312"/>
                <w:sz w:val="19"/>
              </w:rPr>
              <w:t>③审查重点:提交资料是否全面、系统;各项工作成果是否符合招标文件及相关规范标准要求;检测数据是否科学合理，是否遗漏;地下病害体的验证情况;对病害体的评估及处置意见是否按照规范执行对将来的巡查、检测工作是否具有指导作用。</w:t>
            </w:r>
          </w:p>
          <w:p>
            <w:pPr>
              <w:pStyle w:val="null5"/>
              <w:jc w:val="left"/>
            </w:pPr>
            <w:r>
              <w:rPr>
                <w:rFonts w:ascii="仿宋_GB2312" w:hAnsi="仿宋_GB2312" w:cs="仿宋_GB2312" w:eastAsia="仿宋_GB2312"/>
                <w:sz w:val="19"/>
              </w:rPr>
              <w:t>④对成果审查不符合要求的项目，应按专家及采购人意见进行整改完善，重新组织成果验收。</w:t>
            </w:r>
          </w:p>
          <w:p>
            <w:pPr>
              <w:pStyle w:val="null5"/>
              <w:jc w:val="left"/>
            </w:pPr>
            <w:r>
              <w:rPr>
                <w:rFonts w:ascii="仿宋_GB2312" w:hAnsi="仿宋_GB2312" w:cs="仿宋_GB2312" w:eastAsia="仿宋_GB2312"/>
                <w:sz w:val="19"/>
              </w:rPr>
              <w:t>7、★服务承诺(投标人应提供承诺函原件并加盖投标人公章)</w:t>
            </w:r>
          </w:p>
          <w:p>
            <w:pPr>
              <w:pStyle w:val="null5"/>
              <w:jc w:val="left"/>
            </w:pPr>
            <w:r>
              <w:rPr>
                <w:rFonts w:ascii="仿宋_GB2312" w:hAnsi="仿宋_GB2312" w:cs="仿宋_GB2312" w:eastAsia="仿宋_GB2312"/>
                <w:sz w:val="19"/>
              </w:rPr>
              <w:t>(1)人员承诺:投标人应承诺投标时提供项目组成人员，在合同履行过程中不能随意更换。如遇特殊原因确需更换的，须向采购人提供书面申请并取得采购人同意，否则采购人有权终止合同。</w:t>
            </w:r>
          </w:p>
          <w:p>
            <w:pPr>
              <w:pStyle w:val="null5"/>
              <w:jc w:val="left"/>
            </w:pPr>
            <w:r>
              <w:rPr>
                <w:rFonts w:ascii="仿宋_GB2312" w:hAnsi="仿宋_GB2312" w:cs="仿宋_GB2312" w:eastAsia="仿宋_GB2312"/>
                <w:sz w:val="19"/>
              </w:rPr>
              <w:t>(2)服务响应时间承诺:投标人应承诺，当检测过程中，发现有重大安全隐患情况时，项目负责人须在1小时内以电话、书面报告等形式立即通知采购人，并配合采购人完成病害处置，并报送检测快报。</w:t>
            </w:r>
          </w:p>
          <w:p>
            <w:pPr>
              <w:pStyle w:val="null5"/>
              <w:jc w:val="left"/>
            </w:pPr>
            <w:r>
              <w:rPr>
                <w:rFonts w:ascii="仿宋_GB2312" w:hAnsi="仿宋_GB2312" w:cs="仿宋_GB2312" w:eastAsia="仿宋_GB2312"/>
                <w:sz w:val="19"/>
              </w:rPr>
              <w:t>（</w:t>
            </w:r>
            <w:r>
              <w:rPr>
                <w:rFonts w:ascii="仿宋_GB2312" w:hAnsi="仿宋_GB2312" w:cs="仿宋_GB2312" w:eastAsia="仿宋_GB2312"/>
                <w:sz w:val="19"/>
              </w:rPr>
              <w:t>3）检测成果承诺：投标人应承诺，检测成果及检测报告应详细、清晰、完整地反映检测过程，数据真实、内容完整、结论准确。并承诺出具的检测成果报告是合法的，受国家法律法规认可和保护。</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 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 (至少一个月) 的良好缴纳税收的相关凭据。 (以税务 机关提供的纳税凭据或银行入账单为准) 2.提供递交响应文件截止之日前一年内 (至少一个 月) 缴纳社会保险的凭证。 (以专用收据或社会保险缴纳清单为准) 注：其他组织和自然人 也需要提供缴纳税收的凭据金额缴纳社保的凭据。依法免税或不需要缴纳社会保障资金的供应 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具有省级以上（含省级）颁发的工程检测资质或具有中国合格评定国家认可委员会实验室认可证书CNAS（含地下空洞及土体密实度参数）或具有岩土工程（物探测试监测检测）乙级及以上资质(提供证书复印件并加盖供应商公章)或工程测量乙级及以上资质，且证书合格、有效</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商务部分35.00分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检测方案</w:t>
            </w:r>
          </w:p>
        </w:tc>
        <w:tc>
          <w:tcPr>
            <w:tcW w:type="dxa" w:w="3115"/>
          </w:tcPr>
          <w:p>
            <w:pPr>
              <w:pStyle w:val="null5"/>
              <w:jc w:val="left"/>
            </w:pPr>
            <w:r>
              <w:rPr>
                <w:rFonts w:ascii="仿宋_GB2312" w:hAnsi="仿宋_GB2312" w:cs="仿宋_GB2312" w:eastAsia="仿宋_GB2312"/>
              </w:rPr>
              <w:t>检测技术方案、检测程序、检测大纲针对性强，检测目标明确、方法合理 、流程清晰，检测项目齐全得 15 分； 检测技术方案、检测程序、检测大 纲针对性一般，检测方法基本合理，检测项目较齐全的得 10 分； 检测技 术方案、检测程序、检测大纲针对性不强，检测流程不清晰，检测项目不 齐全的得 5 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人员配备情况</w:t>
            </w:r>
          </w:p>
        </w:tc>
        <w:tc>
          <w:tcPr>
            <w:tcW w:type="dxa" w:w="3115"/>
          </w:tcPr>
          <w:p>
            <w:pPr>
              <w:pStyle w:val="null5"/>
              <w:jc w:val="left"/>
            </w:pPr>
            <w:r>
              <w:rPr>
                <w:rFonts w:ascii="仿宋_GB2312" w:hAnsi="仿宋_GB2312" w:cs="仿宋_GB2312" w:eastAsia="仿宋_GB2312"/>
              </w:rPr>
              <w:t>根据拟投入本项目的检测人员资质能力情况（包括数量、专业持证、经验 资历等）打分； 投入人员资质、专业齐全，配套保障得力得 10 分； 人员 资质、专业一般，配套保障一般得7分； 人员资质、专业有欠缺，配套保 障较差得 5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设备配置</w:t>
            </w:r>
          </w:p>
        </w:tc>
        <w:tc>
          <w:tcPr>
            <w:tcW w:type="dxa" w:w="3115"/>
          </w:tcPr>
          <w:p>
            <w:pPr>
              <w:pStyle w:val="null5"/>
              <w:jc w:val="left"/>
            </w:pPr>
            <w:r>
              <w:rPr>
                <w:rFonts w:ascii="仿宋_GB2312" w:hAnsi="仿宋_GB2312" w:cs="仿宋_GB2312" w:eastAsia="仿宋_GB2312"/>
              </w:rPr>
              <w:t>拟投入本项目的检测设备性能先进，配置合理，满足检测需要得 10 分； 检测设备性能一般，配置一般，基本满足检测需要得7分；检测设备性能 较差，配置一般，满足检测需要存在一定风险得到 5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质量保证措施阐述清晰且措施得力得 10 分； 质量保证措施基本满足要求 但存在一些问题的得 7 分； 质量保证措施不完整或措施不得力，得 5 分 。</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工作进度计划</w:t>
            </w:r>
          </w:p>
        </w:tc>
        <w:tc>
          <w:tcPr>
            <w:tcW w:type="dxa" w:w="3115"/>
          </w:tcPr>
          <w:p>
            <w:pPr>
              <w:pStyle w:val="null5"/>
              <w:jc w:val="left"/>
            </w:pPr>
            <w:r>
              <w:rPr>
                <w:rFonts w:ascii="仿宋_GB2312" w:hAnsi="仿宋_GB2312" w:cs="仿宋_GB2312" w:eastAsia="仿宋_GB2312"/>
              </w:rPr>
              <w:t>工期承诺满足要求且有具体的违约承诺，有检测进度计划，且保证措施合 理可行得5分； 工期承诺满足要求，有检测进度计划，但计划或措施不够 合理的得 3 分；无检测进度计划不得分。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项目建议</w:t>
            </w:r>
          </w:p>
        </w:tc>
        <w:tc>
          <w:tcPr>
            <w:tcW w:type="dxa" w:w="3115"/>
          </w:tcPr>
          <w:p>
            <w:pPr>
              <w:pStyle w:val="null5"/>
              <w:jc w:val="left"/>
            </w:pPr>
            <w:r>
              <w:rPr>
                <w:rFonts w:ascii="仿宋_GB2312" w:hAnsi="仿宋_GB2312" w:cs="仿宋_GB2312" w:eastAsia="仿宋_GB2312"/>
              </w:rPr>
              <w:t>提出的合理化建议可实现性较强5 分；提出的合理化建议可实现性一般3分 ；无合理化建议 0 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综合实力</w:t>
            </w:r>
          </w:p>
        </w:tc>
        <w:tc>
          <w:tcPr>
            <w:tcW w:type="dxa" w:w="3115"/>
          </w:tcPr>
          <w:p>
            <w:pPr>
              <w:pStyle w:val="null5"/>
              <w:jc w:val="left"/>
            </w:pPr>
            <w:r>
              <w:rPr>
                <w:rFonts w:ascii="仿宋_GB2312" w:hAnsi="仿宋_GB2312" w:cs="仿宋_GB2312" w:eastAsia="仿宋_GB2312"/>
              </w:rPr>
              <w:t>投标人具有有效的质量管理体系认证证书得2分；具有有效的环境管理 体系认证证书得2分；具有有效的职业健康安全管理体系认证证书得2分。 本项最多得 6分。 说明：1、证书认证范围至少包含：道路塌陷隐患探查或道路空洞隐患探查或地质灾害防治勘查等（相同意思不同文字描述但能 体现出本项目的采购内容）。2、提供证书复印件并加盖投标人公章。</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设备配备</w:t>
            </w:r>
          </w:p>
        </w:tc>
        <w:tc>
          <w:tcPr>
            <w:tcW w:type="dxa" w:w="3115"/>
          </w:tcPr>
          <w:p>
            <w:pPr>
              <w:pStyle w:val="null5"/>
              <w:jc w:val="left"/>
            </w:pPr>
            <w:r>
              <w:rPr>
                <w:rFonts w:ascii="仿宋_GB2312" w:hAnsi="仿宋_GB2312" w:cs="仿宋_GB2312" w:eastAsia="仿宋_GB2312"/>
              </w:rPr>
              <w:t>投标人拟为本项目配置检测仪器设备： 1、投标人在满足一台二维探地雷 达（频率80-500MHZ）的基础上，每增加一台二维探地雷达（频率80-5 00MHZ）得4分，最多4分。 2、投标人在满足一台三维探地雷达（频率2 00MHZ及以上）的基础上，每增加一台三维探地雷达（频率200MHZ及 以上）得6分，最多6分。 3、投标人在满足一台高精度定位设备的基础上 ，每增加一台高精度定位设备得2分，最多2分。 说明：以上1-3项，自有设备提供购置合同 和发票复印件；租用设备提供租赁合同复印件和设备出租方设备发票复印 件并加盖投标人公章.</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1、项目负责人具有地质勘探类或物探类或测绘类高级工程师职称的得4分，具有地质勘探类或物探类或测绘类中级职称的得2分，本分项最多得4分。 说明：提供证明材料。 2、技术负责人具有地质勘探类或物探类或测绘类高级工程师职称的得2分，具有地质勘探类或物探类或测绘类中级职称的得1分，本分项最多得2分。 说明：提供人员证书复印件。 3、现场探测技术人员、数据分析技术人员具有地质勘探类或物探类或测绘类中级职称的得1分，本项最多得4分。 说明：提供证书复印件。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投标人业绩</w:t>
            </w:r>
          </w:p>
        </w:tc>
        <w:tc>
          <w:tcPr>
            <w:tcW w:type="dxa" w:w="3115"/>
          </w:tcPr>
          <w:p>
            <w:pPr>
              <w:pStyle w:val="null5"/>
              <w:jc w:val="left"/>
            </w:pPr>
            <w:r>
              <w:rPr>
                <w:rFonts w:ascii="仿宋_GB2312" w:hAnsi="仿宋_GB2312" w:cs="仿宋_GB2312" w:eastAsia="仿宋_GB2312"/>
              </w:rPr>
              <w:t>提供近三年（2022年1月1日至今）类似项目业绩，每有一项得3.5分， 满分7分。需提供合同复印 件并加盖公章，包括合同署名页、金额页、签字盖章页等，未提供或提供不全者不得分。 类似项目指道路土体病害及相关检测项目。</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