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达拉特旗农村牧区土地承包经营权数据整合项目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内蒙古誉昌项目咨询有限公司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ESZCDQS-C-F-250028</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内蒙古誉昌项目咨询有限公司</w:t>
      </w:r>
      <w:r>
        <w:rPr>
          <w:rFonts w:ascii="仿宋_GB2312" w:hAnsi="仿宋_GB2312" w:cs="仿宋_GB2312" w:eastAsia="仿宋_GB2312"/>
        </w:rPr>
        <w:t xml:space="preserve"> 受 </w:t>
      </w:r>
      <w:r>
        <w:rPr>
          <w:rFonts w:ascii="仿宋_GB2312" w:hAnsi="仿宋_GB2312" w:cs="仿宋_GB2312" w:eastAsia="仿宋_GB2312"/>
        </w:rPr>
        <w:t>达拉特旗自然资源局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达拉特旗农村牧区土地承包经营权数据整合项目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达拉特旗农村牧区土地承包经营权数据整合项目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ESZCDQS-C-F-250028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429[2025]00222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达拉特旗农村牧区土地承包经营权数据整合项目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1、资质要求：具备行政主管部门颁发的有效期内的乙级或以上测绘资质（专业类别须包括地理信息系统工程）</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内蒙古誉昌项目咨询有限公司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内蒙古自治区鄂尔多斯市东胜区巴音门克街道金钰华庭11-2-903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刘子琛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0477-5107748（转806）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达拉特旗自然资源局经办</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13310312626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代理服务费收费标准：按照中标价乘1.5%计取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达拉特旗自然资源局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内蒙古誉昌项目咨询有限公司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贯彻落实党中央、国务院关于不动产统一登记的要求，依据《中华人民共和国草原法》、《不动产登记暂行条例》、《不动产登记暂行条例实施细则》、《自然资源部农业农村部关于做好不动产统一登记与土地承包合同管理工作有序衔接的通知》（自然资发〔2022〕157号）、《自然资源部办公厅关于做好农村土地承包经营权登记资料接收工作的通知》（自然资办发〔2020〕20号）和《内蒙古自治区自然资源厅农牧厅 林业和草原局关于印发&lt;关于不动产统一登记与农村牧区土地承包合同管理衔接工作方案&gt;的通知》（内自然资字〔2022〕490号）、《鄂尔多斯市自然资源局 鄂尔多斯市农牧局 鄂尔多斯市林业和草原局关于印发&lt;鄂尔多斯市推进不动产统一登记与村牧区土地承包合同管理衔接工作方案&gt;的通知》（鄂自然资发[2022]541号）等相关法律法规和中央、自治区、市、旗编制部门关于整合不动产登记职责的文件精神，开展达拉特旗农村土地承包经营权数据整合转换建库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合同签订之日起6个月内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达拉特旗不动产登记中心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1、签订合同后预付，达到付款条件起30日，支付合同总金额的50.00%</w:t>
            </w:r>
          </w:p>
          <w:p>
            <w:pPr>
              <w:pStyle w:val="null5"/>
              <w:jc w:val="left"/>
            </w:pPr>
            <w:r>
              <w:rPr>
                <w:rFonts w:ascii="仿宋_GB2312" w:hAnsi="仿宋_GB2312" w:cs="仿宋_GB2312" w:eastAsia="仿宋_GB2312"/>
              </w:rPr>
              <w:t>2、完成项目进度的90%后，达到付款条件起30日，支付合同总金额的40.00%</w:t>
            </w:r>
          </w:p>
          <w:p>
            <w:pPr>
              <w:pStyle w:val="null5"/>
              <w:jc w:val="left"/>
            </w:pPr>
            <w:r>
              <w:rPr>
                <w:rFonts w:ascii="仿宋_GB2312" w:hAnsi="仿宋_GB2312" w:cs="仿宋_GB2312" w:eastAsia="仿宋_GB2312"/>
              </w:rPr>
              <w:t>3、提交成果经甲方确认后，达到付款条件起30日，支付合同总金额的10.00%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标的名称：达拉特旗农村牧区土地承包经营权数据整合项目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both"/>
            </w:pPr>
            <w:r>
              <w:rPr>
                <w:rFonts w:ascii="仿宋_GB2312" w:hAnsi="仿宋_GB2312" w:cs="仿宋_GB2312" w:eastAsia="仿宋_GB2312"/>
                <w:sz w:val="24"/>
              </w:rPr>
              <w:t>工作目标：</w:t>
            </w:r>
          </w:p>
          <w:p>
            <w:pPr>
              <w:pStyle w:val="null5"/>
              <w:ind w:firstLine="480"/>
              <w:jc w:val="both"/>
            </w:pPr>
            <w:r>
              <w:rPr>
                <w:rFonts w:ascii="仿宋_GB2312" w:hAnsi="仿宋_GB2312" w:cs="仿宋_GB2312" w:eastAsia="仿宋_GB2312"/>
                <w:sz w:val="24"/>
              </w:rPr>
              <w:t>按照《达拉特旗人民政府办公室关于印发〈达拉特旗不动产统一登记与农村牧区土地承包合同管理衔接工作方案〉的通知（达政办发〔</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《内蒙古自治区自然资源厅自然资源确权登记局</w:t>
            </w:r>
            <w:r>
              <w:rPr>
                <w:rFonts w:ascii="仿宋_GB2312" w:hAnsi="仿宋_GB2312" w:cs="仿宋_GB2312" w:eastAsia="仿宋_GB2312"/>
                <w:sz w:val="24"/>
              </w:rPr>
              <w:t>2024</w:t>
            </w:r>
            <w:r>
              <w:rPr>
                <w:rFonts w:ascii="仿宋_GB2312" w:hAnsi="仿宋_GB2312" w:cs="仿宋_GB2312" w:eastAsia="仿宋_GB2312"/>
                <w:sz w:val="24"/>
              </w:rPr>
              <w:t>年工作要点》、《鄂尔多斯市自然资源局关于印发〈</w:t>
            </w:r>
            <w:r>
              <w:rPr>
                <w:rFonts w:ascii="仿宋_GB2312" w:hAnsi="仿宋_GB2312" w:cs="仿宋_GB2312" w:eastAsia="仿宋_GB2312"/>
                <w:sz w:val="24"/>
              </w:rPr>
              <w:t>2024</w:t>
            </w:r>
            <w:r>
              <w:rPr>
                <w:rFonts w:ascii="仿宋_GB2312" w:hAnsi="仿宋_GB2312" w:cs="仿宋_GB2312" w:eastAsia="仿宋_GB2312"/>
                <w:sz w:val="24"/>
              </w:rPr>
              <w:t>年全市自然资源和</w:t>
            </w:r>
            <w:r>
              <w:rPr>
                <w:rFonts w:ascii="仿宋_GB2312" w:hAnsi="仿宋_GB2312" w:cs="仿宋_GB2312" w:eastAsia="仿宋_GB2312"/>
                <w:sz w:val="24"/>
              </w:rPr>
              <w:t>不动产确权登记工作要点〉的通知（鄂自然资发〔</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67</w:t>
            </w:r>
            <w:r>
              <w:rPr>
                <w:rFonts w:ascii="仿宋_GB2312" w:hAnsi="仿宋_GB2312" w:cs="仿宋_GB2312" w:eastAsia="仿宋_GB2312"/>
                <w:sz w:val="24"/>
              </w:rPr>
              <w:t>号）》要求，做好农村牧区土地承包经营权资料接收、全面推进数据整合、数据入库，流程梳理、业务及系统衔接，启动不动产登记系统与农牧部门农村牧区土地承包经营权系统对接联通、信息共享工作，依据农牧部门共享的承包合同进行登记发证，并及时将登簿数据回传农牧部门</w:t>
            </w:r>
            <w:r>
              <w:rPr>
                <w:rFonts w:ascii="仿宋_GB2312" w:hAnsi="仿宋_GB2312" w:cs="仿宋_GB2312" w:eastAsia="仿宋_GB2312"/>
                <w:sz w:val="24"/>
              </w:rPr>
              <w:t>，</w:t>
            </w:r>
            <w:r>
              <w:rPr>
                <w:rFonts w:ascii="仿宋_GB2312" w:hAnsi="仿宋_GB2312" w:cs="仿宋_GB2312" w:eastAsia="仿宋_GB2312"/>
                <w:sz w:val="24"/>
              </w:rPr>
              <w:t>实现年底前全</w:t>
            </w:r>
            <w:r>
              <w:rPr>
                <w:rFonts w:ascii="仿宋_GB2312" w:hAnsi="仿宋_GB2312" w:cs="仿宋_GB2312" w:eastAsia="仿宋_GB2312"/>
                <w:sz w:val="24"/>
              </w:rPr>
              <w:t>旗</w:t>
            </w:r>
            <w:r>
              <w:rPr>
                <w:rFonts w:ascii="仿宋_GB2312" w:hAnsi="仿宋_GB2312" w:cs="仿宋_GB2312" w:eastAsia="仿宋_GB2312"/>
                <w:sz w:val="24"/>
              </w:rPr>
              <w:t>承包经营权登记发证常态化</w:t>
            </w:r>
            <w:r>
              <w:rPr>
                <w:rFonts w:ascii="仿宋_GB2312" w:hAnsi="仿宋_GB2312" w:cs="仿宋_GB2312" w:eastAsia="仿宋_GB2312"/>
                <w:sz w:val="24"/>
              </w:rPr>
              <w:t>，进一步完善不动产权籍管理制度，统一不动产确权过程中权籍调查数据标准，规范不动产登记程序。</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both"/>
            </w:pPr>
            <w:r>
              <w:rPr>
                <w:rFonts w:ascii="仿宋_GB2312" w:hAnsi="仿宋_GB2312" w:cs="仿宋_GB2312" w:eastAsia="仿宋_GB2312"/>
                <w:sz w:val="24"/>
              </w:rPr>
              <w:t>工作任务：</w:t>
            </w:r>
          </w:p>
          <w:p>
            <w:pPr>
              <w:pStyle w:val="null5"/>
              <w:ind w:firstLine="480"/>
              <w:jc w:val="both"/>
            </w:pPr>
            <w:r>
              <w:rPr>
                <w:rFonts w:ascii="仿宋_GB2312" w:hAnsi="仿宋_GB2312" w:cs="仿宋_GB2312" w:eastAsia="仿宋_GB2312"/>
                <w:sz w:val="24"/>
              </w:rPr>
              <w:t>土地承包经营权宗地有</w:t>
            </w:r>
            <w:r>
              <w:rPr>
                <w:rFonts w:ascii="仿宋_GB2312" w:hAnsi="仿宋_GB2312" w:cs="仿宋_GB2312" w:eastAsia="仿宋_GB2312"/>
                <w:sz w:val="24"/>
              </w:rPr>
              <w:t>39</w:t>
            </w:r>
            <w:r>
              <w:rPr>
                <w:rFonts w:ascii="仿宋_GB2312" w:hAnsi="仿宋_GB2312" w:cs="仿宋_GB2312" w:eastAsia="仿宋_GB2312"/>
                <w:sz w:val="24"/>
              </w:rPr>
              <w:t>万块左右，承包合同将近</w:t>
            </w:r>
            <w:r>
              <w:rPr>
                <w:rFonts w:ascii="仿宋_GB2312" w:hAnsi="仿宋_GB2312" w:cs="仿宋_GB2312" w:eastAsia="仿宋_GB2312"/>
                <w:sz w:val="24"/>
              </w:rPr>
              <w:t>8.7</w:t>
            </w:r>
            <w:r>
              <w:rPr>
                <w:rFonts w:ascii="仿宋_GB2312" w:hAnsi="仿宋_GB2312" w:cs="仿宋_GB2312" w:eastAsia="仿宋_GB2312"/>
                <w:sz w:val="24"/>
              </w:rPr>
              <w:t>万份</w:t>
            </w:r>
            <w:r>
              <w:rPr>
                <w:rFonts w:ascii="仿宋_GB2312" w:hAnsi="仿宋_GB2312" w:cs="仿宋_GB2312" w:eastAsia="仿宋_GB2312"/>
                <w:sz w:val="24"/>
              </w:rPr>
              <w:t>，对这些数据资料进行收集、整理、转化、建库、入库和汇交。此外，收集最新的林权、草权数据及档案资料，分析整理并将无重叠的数据和电子档案录入不动产数据库。</w:t>
            </w:r>
          </w:p>
          <w:p>
            <w:pPr>
              <w:pStyle w:val="null5"/>
              <w:ind w:firstLine="480"/>
              <w:jc w:val="both"/>
            </w:pPr>
            <w:r>
              <w:rPr>
                <w:rFonts w:ascii="仿宋_GB2312" w:hAnsi="仿宋_GB2312" w:cs="仿宋_GB2312" w:eastAsia="仿宋_GB2312"/>
                <w:sz w:val="24"/>
              </w:rPr>
              <w:t>（一）</w:t>
            </w:r>
            <w:r>
              <w:rPr>
                <w:rFonts w:ascii="仿宋_GB2312" w:hAnsi="仿宋_GB2312" w:cs="仿宋_GB2312" w:eastAsia="仿宋_GB2312"/>
                <w:sz w:val="24"/>
              </w:rPr>
              <w:t>资料收集</w:t>
            </w:r>
          </w:p>
          <w:p>
            <w:pPr>
              <w:pStyle w:val="null5"/>
              <w:ind w:firstLine="480"/>
              <w:jc w:val="both"/>
            </w:pPr>
            <w:r>
              <w:rPr>
                <w:rFonts w:ascii="仿宋_GB2312" w:hAnsi="仿宋_GB2312" w:cs="仿宋_GB2312" w:eastAsia="仿宋_GB2312"/>
                <w:sz w:val="24"/>
              </w:rPr>
              <w:t>收集农经权相关资料，对数据进行检查、分析和清理，包括对收集数据的完整性、格式正确性及数据有效性等检查，对无效数据进行清理。</w:t>
            </w:r>
          </w:p>
          <w:p>
            <w:pPr>
              <w:pStyle w:val="null5"/>
              <w:ind w:firstLine="480"/>
              <w:jc w:val="both"/>
            </w:pPr>
            <w:r>
              <w:rPr>
                <w:rFonts w:ascii="仿宋_GB2312" w:hAnsi="仿宋_GB2312" w:cs="仿宋_GB2312" w:eastAsia="仿宋_GB2312"/>
                <w:sz w:val="24"/>
              </w:rPr>
              <w:t>（二）</w:t>
            </w:r>
            <w:r>
              <w:rPr>
                <w:rFonts w:ascii="仿宋_GB2312" w:hAnsi="仿宋_GB2312" w:cs="仿宋_GB2312" w:eastAsia="仿宋_GB2312"/>
                <w:sz w:val="24"/>
              </w:rPr>
              <w:t>历史电子数据整理、转换</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电子档案录入</w:t>
            </w:r>
          </w:p>
          <w:p>
            <w:pPr>
              <w:pStyle w:val="null5"/>
              <w:ind w:firstLine="480"/>
              <w:jc w:val="both"/>
            </w:pPr>
            <w:r>
              <w:rPr>
                <w:rFonts w:ascii="仿宋_GB2312" w:hAnsi="仿宋_GB2312" w:cs="仿宋_GB2312" w:eastAsia="仿宋_GB2312"/>
                <w:sz w:val="24"/>
              </w:rPr>
              <w:t>包括权利人、权利类型、发证面积、承包方式等信息，便于历史数据核对、整理工作。</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电子档案核对、整理</w:t>
            </w:r>
          </w:p>
          <w:p>
            <w:pPr>
              <w:pStyle w:val="null5"/>
              <w:ind w:firstLine="480"/>
              <w:jc w:val="both"/>
            </w:pPr>
            <w:r>
              <w:rPr>
                <w:rFonts w:ascii="仿宋_GB2312" w:hAnsi="仿宋_GB2312" w:cs="仿宋_GB2312" w:eastAsia="仿宋_GB2312"/>
                <w:sz w:val="24"/>
              </w:rPr>
              <w:t>包括合理性、逻辑性，以及与矢量数据的一致性等，并建立关联目录，便于后期归档。</w:t>
            </w:r>
          </w:p>
          <w:p>
            <w:pPr>
              <w:pStyle w:val="null5"/>
              <w:ind w:firstLine="480"/>
              <w:jc w:val="both"/>
            </w:pPr>
            <w:r>
              <w:rPr>
                <w:rFonts w:ascii="仿宋_GB2312" w:hAnsi="仿宋_GB2312" w:cs="仿宋_GB2312" w:eastAsia="仿宋_GB2312"/>
                <w:sz w:val="24"/>
              </w:rPr>
              <w:t>（三）</w:t>
            </w:r>
            <w:r>
              <w:rPr>
                <w:rFonts w:ascii="仿宋_GB2312" w:hAnsi="仿宋_GB2312" w:cs="仿宋_GB2312" w:eastAsia="仿宋_GB2312"/>
                <w:sz w:val="24"/>
              </w:rPr>
              <w:t>数据整合建库</w:t>
            </w:r>
          </w:p>
          <w:p>
            <w:pPr>
              <w:pStyle w:val="null5"/>
              <w:ind w:firstLine="480"/>
              <w:jc w:val="both"/>
            </w:pPr>
            <w:r>
              <w:rPr>
                <w:rFonts w:ascii="仿宋_GB2312" w:hAnsi="仿宋_GB2312" w:cs="仿宋_GB2312" w:eastAsia="仿宋_GB2312"/>
                <w:sz w:val="24"/>
              </w:rPr>
              <w:t>建设承包经营权不动产权籍数据库，按照</w:t>
            </w:r>
            <w:r>
              <w:rPr>
                <w:rFonts w:ascii="仿宋_GB2312" w:hAnsi="仿宋_GB2312" w:cs="仿宋_GB2312" w:eastAsia="仿宋_GB2312"/>
                <w:sz w:val="24"/>
              </w:rPr>
              <w:t>自治区不动产登记发证标准，转换成满足不动产权籍数据入库要求的数据库。</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、数据质检</w:t>
            </w:r>
          </w:p>
          <w:p>
            <w:pPr>
              <w:pStyle w:val="null5"/>
              <w:ind w:firstLine="480"/>
              <w:jc w:val="both"/>
            </w:pPr>
            <w:r>
              <w:rPr>
                <w:rFonts w:ascii="仿宋_GB2312" w:hAnsi="仿宋_GB2312" w:cs="仿宋_GB2312" w:eastAsia="仿宋_GB2312"/>
                <w:sz w:val="24"/>
              </w:rPr>
              <w:t>将转换后符合不动产数据库标准的承包经营权数据通过不动产数据库的质检细则检查是否存在必填字段缺失、枚举字段错误、表关系错误、逻辑关系错误等。</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、包括调查数据标准化、建库软件、数据库建设、数据库质量检查。</w:t>
            </w:r>
          </w:p>
          <w:p>
            <w:pPr>
              <w:pStyle w:val="null5"/>
              <w:ind w:firstLine="480"/>
              <w:jc w:val="both"/>
            </w:pPr>
            <w:r>
              <w:rPr>
                <w:rFonts w:ascii="仿宋_GB2312" w:hAnsi="仿宋_GB2312" w:cs="仿宋_GB2312" w:eastAsia="仿宋_GB2312"/>
                <w:sz w:val="24"/>
              </w:rPr>
              <w:t>（四）档案录入</w:t>
            </w:r>
          </w:p>
          <w:p>
            <w:pPr>
              <w:pStyle w:val="null5"/>
              <w:ind w:firstLine="480"/>
              <w:jc w:val="both"/>
            </w:pPr>
            <w:r>
              <w:rPr>
                <w:rFonts w:ascii="仿宋_GB2312" w:hAnsi="仿宋_GB2312" w:cs="仿宋_GB2312" w:eastAsia="仿宋_GB2312"/>
                <w:sz w:val="24"/>
              </w:rPr>
              <w:t>对电子档案进行整理，</w:t>
            </w:r>
            <w:r>
              <w:rPr>
                <w:rFonts w:ascii="仿宋_GB2312" w:hAnsi="仿宋_GB2312" w:cs="仿宋_GB2312" w:eastAsia="仿宋_GB2312"/>
                <w:sz w:val="24"/>
              </w:rPr>
              <w:t>核对档案中名字、身份证及地址信息</w:t>
            </w:r>
            <w:r>
              <w:rPr>
                <w:rFonts w:ascii="仿宋_GB2312" w:hAnsi="仿宋_GB2312" w:cs="仿宋_GB2312" w:eastAsia="仿宋_GB2312"/>
                <w:sz w:val="24"/>
              </w:rPr>
              <w:t>，</w:t>
            </w:r>
            <w:r>
              <w:rPr>
                <w:rFonts w:ascii="仿宋_GB2312" w:hAnsi="仿宋_GB2312" w:cs="仿宋_GB2312" w:eastAsia="仿宋_GB2312"/>
                <w:sz w:val="24"/>
              </w:rPr>
              <w:t>与登记信息中的名字、身份证及地址一致才可上传</w:t>
            </w:r>
            <w:r>
              <w:rPr>
                <w:rFonts w:ascii="仿宋_GB2312" w:hAnsi="仿宋_GB2312" w:cs="仿宋_GB2312" w:eastAsia="仿宋_GB2312"/>
                <w:sz w:val="24"/>
              </w:rPr>
              <w:t>录入不动产数据库并与登记信息关联，实现登记信息集成化、电子化。</w:t>
            </w:r>
          </w:p>
          <w:p>
            <w:pPr>
              <w:pStyle w:val="null5"/>
              <w:ind w:firstLine="480"/>
              <w:jc w:val="both"/>
            </w:pPr>
            <w:r>
              <w:rPr>
                <w:rFonts w:ascii="仿宋_GB2312" w:hAnsi="仿宋_GB2312" w:cs="仿宋_GB2312" w:eastAsia="仿宋_GB2312"/>
                <w:sz w:val="24"/>
              </w:rPr>
              <w:t>（五）</w:t>
            </w:r>
            <w:r>
              <w:rPr>
                <w:rFonts w:ascii="仿宋_GB2312" w:hAnsi="仿宋_GB2312" w:cs="仿宋_GB2312" w:eastAsia="仿宋_GB2312"/>
                <w:sz w:val="24"/>
              </w:rPr>
              <w:t>数据</w:t>
            </w:r>
            <w:r>
              <w:rPr>
                <w:rFonts w:ascii="仿宋_GB2312" w:hAnsi="仿宋_GB2312" w:cs="仿宋_GB2312" w:eastAsia="仿宋_GB2312"/>
                <w:sz w:val="24"/>
              </w:rPr>
              <w:t>更新</w:t>
            </w:r>
            <w:r>
              <w:rPr>
                <w:rFonts w:ascii="仿宋_GB2312" w:hAnsi="仿宋_GB2312" w:cs="仿宋_GB2312" w:eastAsia="仿宋_GB2312"/>
                <w:sz w:val="24"/>
              </w:rPr>
              <w:t>汇交及不动产登记功能开发</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、数据更新汇交</w:t>
            </w:r>
          </w:p>
          <w:p>
            <w:pPr>
              <w:pStyle w:val="null5"/>
              <w:ind w:firstLine="480"/>
              <w:jc w:val="both"/>
            </w:pPr>
            <w:r>
              <w:rPr>
                <w:rFonts w:ascii="仿宋_GB2312" w:hAnsi="仿宋_GB2312" w:cs="仿宋_GB2312" w:eastAsia="仿宋_GB2312"/>
                <w:sz w:val="24"/>
              </w:rPr>
              <w:t>农经权不动产权籍数据库更新入库、承包经营权存量数据汇交。</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流程梳理、业务及系统衔接</w:t>
            </w:r>
          </w:p>
          <w:p>
            <w:pPr>
              <w:pStyle w:val="null5"/>
              <w:ind w:firstLine="480"/>
              <w:jc w:val="both"/>
            </w:pPr>
            <w:r>
              <w:rPr>
                <w:rFonts w:ascii="仿宋_GB2312" w:hAnsi="仿宋_GB2312" w:cs="仿宋_GB2312" w:eastAsia="仿宋_GB2312"/>
                <w:sz w:val="24"/>
              </w:rPr>
              <w:t>不动产登记系统与农牧部门农村牧区土地承包经营权系统对接联通、信息共享</w:t>
            </w:r>
            <w:r>
              <w:rPr>
                <w:rFonts w:ascii="仿宋_GB2312" w:hAnsi="仿宋_GB2312" w:cs="仿宋_GB2312" w:eastAsia="仿宋_GB2312"/>
                <w:sz w:val="24"/>
              </w:rPr>
              <w:t>。</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审查供应商2022年至投标截止之日任意一年年度经会计师事务所出具的财务审计报告或其基本开户银行出具的近一年内的银行资信证明。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投标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审查供应商提供的具有履行合同所必需的设备和专业技术能力的证明材料（供应商可提供相应的证明材料或声明函）。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具备行政主管部门颁发的有效期内的乙级或以上测绘资质（专业类别须包括地理信息系统工程）</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w:t>
            </w:r>
          </w:p>
        </w:tc>
        <w:tc>
          <w:tcPr>
            <w:tcW w:type="dxa" w:w="3115"/>
          </w:tcPr>
          <w:p>
            <w:pPr>
              <w:pStyle w:val="null5"/>
              <w:jc w:val="left"/>
            </w:pPr>
            <w:r>
              <w:rPr>
                <w:rFonts w:ascii="仿宋_GB2312" w:hAnsi="仿宋_GB2312" w:cs="仿宋_GB2312" w:eastAsia="仿宋_GB2312"/>
              </w:rPr>
              <w:t>供应商对项目需求认知清晰，对项目的重点、关键点分析精准得15分；对项目需求较为了解，对项目的重点、关键点分析准确得10分；对项目需求了解，对项目的重点、关键点分析基本合理得5分，不合理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根据供应商提供的技术方案进行评审，方案合理可行，满足采购人要求且有效实施的得15分；方案比较合理可行，能且能够实施的得10分；方案一般，实现效果存在差异的得5分；不合理或未提供不得分。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实施组织和进度计划</w:t>
            </w:r>
          </w:p>
        </w:tc>
        <w:tc>
          <w:tcPr>
            <w:tcW w:type="dxa" w:w="3115"/>
          </w:tcPr>
          <w:p>
            <w:pPr>
              <w:pStyle w:val="null5"/>
              <w:jc w:val="left"/>
            </w:pPr>
            <w:r>
              <w:rPr>
                <w:rFonts w:ascii="仿宋_GB2312" w:hAnsi="仿宋_GB2312" w:cs="仿宋_GB2312" w:eastAsia="仿宋_GB2312"/>
              </w:rPr>
              <w:t>根据供应商提供的项目实施组织情况和项目进度计划进行评审，项目实施组织情况和项目进度计划针对性强且内容完整，描述详细的得15分；项目实施组织情况和项目进度计划有一定针对性，描述不够详细的得10分；项目实施组织情况和项目进度计划针对性不强，描述不够不齐全的得5分；不合理或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质量管理及保密措施</w:t>
            </w:r>
          </w:p>
        </w:tc>
        <w:tc>
          <w:tcPr>
            <w:tcW w:type="dxa" w:w="3115"/>
          </w:tcPr>
          <w:p>
            <w:pPr>
              <w:pStyle w:val="null5"/>
              <w:jc w:val="left"/>
            </w:pPr>
            <w:r>
              <w:rPr>
                <w:rFonts w:ascii="仿宋_GB2312" w:hAnsi="仿宋_GB2312" w:cs="仿宋_GB2312" w:eastAsia="仿宋_GB2312"/>
              </w:rPr>
              <w:t>根据供应商提供的对本项目制定的质量管理制度及数据保密保证措施的完善程度及严谨性进行评审，质量管理制度及数据保密保证措施内容完善，具有良好严谨性的得10分；质量管理制度及数据保密保证措施内容内容比较完善，较严谨的得7分；质量管理制度及数据保密保证措施内容一般，不够严谨的得4分；不合理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供应商提供的售后服务方案（包括但不限于售后服务承诺、售后服务体系、服务人员、保障措施）进行评审，方案内容齐全，合理可行的得10分；方案内容齐全，比较合理可行的得7分；方案内容一般的得4分；不合理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2022年至投标截止之日，供应商每具有一项土地承包经营权数据整合业绩得1分，本项最高得4分。（供应商须提供中标通知书及合同扫描件）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项目管理其他人员</w:t>
            </w:r>
          </w:p>
        </w:tc>
        <w:tc>
          <w:tcPr>
            <w:tcW w:type="dxa" w:w="3115"/>
          </w:tcPr>
          <w:p>
            <w:pPr>
              <w:pStyle w:val="null5"/>
              <w:jc w:val="left"/>
            </w:pPr>
            <w:r>
              <w:rPr>
                <w:rFonts w:ascii="仿宋_GB2312" w:hAnsi="仿宋_GB2312" w:cs="仿宋_GB2312" w:eastAsia="仿宋_GB2312"/>
              </w:rPr>
              <w:t>1.供应商为本项目拟派的项目负责人具备信息系统项目管理师中级技术职称得1分，高级技术职称得2分，最高得2分。(响应文件须附证书扫描件) 2.供应商为本项目拟派的技术负责人具备测绘类中级技术职称得1分，高级技术职称得2分，最高得2分。(响应文件须附证书扫描件) 3.供应商为本项目拟派的其他团队人员具备信息系统项目管理师证书或软件设计师证书或测绘、地理信息工程、大数据等中级及以上技术职称，每拟派1人得1分，最高得6分。(响应文件须附证书扫描件) 注：以上所有人员必须在本单位工作，年龄不得超过65周岁，以供应商所属社保机构出具的2024年6月至投标截止至之日任意一个月或以上的社保缴费证明为准（须加盖缴费证明专用章）（新入职人员要求提供入职至投标截止日前的社保缴费证明及与聘用单位签订的有效的聘用劳动合同）；退休人员无需提供社保缴费证明，需提供与聘用单位签订的有效的聘用劳动合同及退休证明。（响应文件须附佐证材料扫描件）。 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软件著作权</w:t>
            </w:r>
          </w:p>
        </w:tc>
        <w:tc>
          <w:tcPr>
            <w:tcW w:type="dxa" w:w="3115"/>
          </w:tcPr>
          <w:p>
            <w:pPr>
              <w:pStyle w:val="null5"/>
              <w:jc w:val="left"/>
            </w:pPr>
            <w:r>
              <w:rPr>
                <w:rFonts w:ascii="仿宋_GB2312" w:hAnsi="仿宋_GB2312" w:cs="仿宋_GB2312" w:eastAsia="仿宋_GB2312"/>
              </w:rPr>
              <w:t>供应商具备不动产数据治理平台、不动产数据质量评价系统、不动产权籍调查管理云平台、不动产登记集成服务平台、不动产共享服务系统著作权证书，每提供一项在效期内的证书得1分，最高得5分。（响应文件中须提供相关证明材料）</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企业认证证书</w:t>
            </w:r>
          </w:p>
        </w:tc>
        <w:tc>
          <w:tcPr>
            <w:tcW w:type="dxa" w:w="3115"/>
          </w:tcPr>
          <w:p>
            <w:pPr>
              <w:pStyle w:val="null5"/>
              <w:jc w:val="left"/>
            </w:pPr>
            <w:r>
              <w:rPr>
                <w:rFonts w:ascii="仿宋_GB2312" w:hAnsi="仿宋_GB2312" w:cs="仿宋_GB2312" w:eastAsia="仿宋_GB2312"/>
              </w:rPr>
              <w:t>1.供应商具有有效的质量管理体系、环境管理体系、职业健康安全管理体系、信息安全管理体系认证证书，每提供一项得1分，最高得4分。（响应文件中须提供相关证明材料） 2.供应商在软件安全开发服务、信息系统安全集成服务方面具有有效的信息安全服务资质认证证书，每提供一项得1分，最高得2分。（响应文件中须提供相关证明材料） 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