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达拉特经济开发区驻企安全监管服务</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鄂尔多斯达拉特经济开发区管理委员会</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内蒙古超鑫项目管理有限责任公司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DQJGZCS-C-F-250002</w:t>
      </w:r>
    </w:p>
    <w:p>
      <w:pPr>
        <w:pStyle w:val="null5"/>
        <w:jc w:val="center"/>
      </w:pPr>
      <w:r>
        <w:rPr>
          <w:rFonts w:ascii="仿宋_GB2312" w:hAnsi="仿宋_GB2312" w:cs="仿宋_GB2312" w:eastAsia="仿宋_GB2312"/>
        </w:rPr>
        <w:t>2025年02月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内蒙古超鑫项目管理有限责任公司</w:t>
      </w:r>
      <w:r>
        <w:rPr>
          <w:rFonts w:ascii="仿宋_GB2312" w:hAnsi="仿宋_GB2312" w:cs="仿宋_GB2312" w:eastAsia="仿宋_GB2312"/>
        </w:rPr>
        <w:t xml:space="preserve"> 受 </w:t>
      </w:r>
      <w:r>
        <w:rPr>
          <w:rFonts w:ascii="仿宋_GB2312" w:hAnsi="仿宋_GB2312" w:cs="仿宋_GB2312" w:eastAsia="仿宋_GB2312"/>
        </w:rPr>
        <w:t>鄂尔多斯达拉特经济开发区管理委员会</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达拉特经济开发区驻企安全监管服务</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达拉特经济开发区驻企安全监管服务</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DQJGZCS-C-F-250002</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429002[2025]00004</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1,890,000.00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达拉特经济开发区驻企安全监管服务</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1,890,000.00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其他未列明行业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内蒙古超鑫项目管理有限责任公司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达拉特旗树林召镇树林召大街北侧原建筑公司院内一层西2号底商101室</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刘超</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13847773669</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鄂尔多斯达拉特经济开发区管理委员会</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达拉特旗三墒梁工业园区</w:t>
      </w:r>
    </w:p>
    <w:p>
      <w:pPr>
        <w:pStyle w:val="null5"/>
      </w:pPr>
      <w:r>
        <w:rPr>
          <w:rFonts w:ascii="仿宋_GB2312" w:hAnsi="仿宋_GB2312" w:cs="仿宋_GB2312" w:eastAsia="仿宋_GB2312"/>
        </w:rPr>
        <w:t xml:space="preserve"> 邮编： </w:t>
      </w:r>
      <w:r>
        <w:rPr>
          <w:rFonts w:ascii="仿宋_GB2312" w:hAnsi="仿宋_GB2312" w:cs="仿宋_GB2312" w:eastAsia="仿宋_GB2312"/>
        </w:rPr>
        <w:t>014300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0477-5187026</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甲方授权评标委员会（非招标采购，如谈判、磋商、协商、询价小组）按照采购文件规定的方式确定中标（成交）供应商。</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代理服务费收费标准：以中标金额为基准参考内工建协[2022]34号文件取费标准取费</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鄂尔多斯达拉特经济开发区管理委员会</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内蒙古超鑫项目管理有限责任公司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监督企业对各级部门排查发现的安全生产隐患按要求完成整改，监督企业严格落实安全生产主体责任，及时向监管部门汇报企业的安全生产状况。</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5"/>
              <w:jc w:val="left"/>
            </w:pPr>
            <w:r>
              <w:rPr>
                <w:rFonts w:ascii="仿宋_GB2312" w:hAnsi="仿宋_GB2312" w:cs="仿宋_GB2312" w:eastAsia="仿宋_GB2312"/>
              </w:rPr>
              <w:t>序号</w:t>
            </w:r>
          </w:p>
        </w:tc>
        <w:tc>
          <w:tcPr>
            <w:tcW w:type="dxa" w:w="2076"/>
          </w:tcPr>
          <w:p>
            <w:pPr>
              <w:pStyle w:val="null5"/>
              <w:jc w:val="left"/>
            </w:pPr>
            <w:r>
              <w:rPr>
                <w:rFonts w:ascii="仿宋_GB2312" w:hAnsi="仿宋_GB2312" w:cs="仿宋_GB2312" w:eastAsia="仿宋_GB2312"/>
              </w:rPr>
              <w:t>参数性质</w:t>
            </w:r>
          </w:p>
        </w:tc>
        <w:tc>
          <w:tcPr>
            <w:tcW w:type="dxa" w:w="2076"/>
          </w:tcPr>
          <w:p>
            <w:pPr>
              <w:pStyle w:val="null5"/>
              <w:jc w:val="left"/>
            </w:pPr>
            <w:r>
              <w:rPr>
                <w:rFonts w:ascii="仿宋_GB2312" w:hAnsi="仿宋_GB2312" w:cs="仿宋_GB2312" w:eastAsia="仿宋_GB2312"/>
              </w:rPr>
              <w:t>类型</w:t>
            </w:r>
          </w:p>
        </w:tc>
        <w:tc>
          <w:tcPr>
            <w:tcW w:type="dxa" w:w="2076"/>
          </w:tcPr>
          <w:p>
            <w:pPr>
              <w:pStyle w:val="null5"/>
              <w:jc w:val="left"/>
            </w:pPr>
            <w:r>
              <w:rPr>
                <w:rFonts w:ascii="仿宋_GB2312" w:hAnsi="仿宋_GB2312" w:cs="仿宋_GB2312" w:eastAsia="仿宋_GB2312"/>
              </w:rPr>
              <w:t>要求</w:t>
            </w:r>
          </w:p>
        </w:tc>
      </w:tr>
      <w:tr>
        <w:tc>
          <w:tcPr>
            <w:tcW w:type="dxa" w:w="2076"/>
          </w:tcPr>
          <w:p>
            <w:pPr>
              <w:pStyle w:val="null5"/>
              <w:jc w:val="left"/>
            </w:pPr>
            <w:r>
              <w:rPr>
                <w:rFonts w:ascii="仿宋_GB2312" w:hAnsi="仿宋_GB2312" w:cs="仿宋_GB2312" w:eastAsia="仿宋_GB2312"/>
              </w:rPr>
              <w:t>1</w:t>
            </w:r>
          </w:p>
        </w:tc>
        <w:tc>
          <w:tcPr>
            <w:tcW w:type="dxa" w:w="2076"/>
          </w:tcPr>
          <w:p/>
        </w:tc>
        <w:tc>
          <w:tcPr>
            <w:tcW w:type="dxa" w:w="2076"/>
          </w:tcPr>
          <w:p>
            <w:pPr>
              <w:pStyle w:val="null5"/>
              <w:jc w:val="left"/>
            </w:pPr>
            <w:r>
              <w:rPr>
                <w:rFonts w:ascii="仿宋_GB2312" w:hAnsi="仿宋_GB2312" w:cs="仿宋_GB2312" w:eastAsia="仿宋_GB2312"/>
              </w:rPr>
              <w:t>交货时间</w:t>
            </w:r>
          </w:p>
        </w:tc>
        <w:tc>
          <w:tcPr>
            <w:tcW w:type="dxa" w:w="2076"/>
          </w:tcPr>
          <w:p>
            <w:pPr>
              <w:pStyle w:val="null5"/>
              <w:jc w:val="left"/>
            </w:pPr>
            <w:r>
              <w:rPr>
                <w:rFonts w:ascii="仿宋_GB2312" w:hAnsi="仿宋_GB2312" w:cs="仿宋_GB2312" w:eastAsia="仿宋_GB2312"/>
              </w:rPr>
              <w:t>服务期3年，合同1年一签</w:t>
            </w:r>
          </w:p>
        </w:tc>
      </w:tr>
      <w:tr>
        <w:tc>
          <w:tcPr>
            <w:tcW w:type="dxa" w:w="2076"/>
          </w:tcPr>
          <w:p>
            <w:pPr>
              <w:pStyle w:val="null5"/>
              <w:jc w:val="left"/>
            </w:pPr>
            <w:r>
              <w:rPr>
                <w:rFonts w:ascii="仿宋_GB2312" w:hAnsi="仿宋_GB2312" w:cs="仿宋_GB2312" w:eastAsia="仿宋_GB2312"/>
              </w:rPr>
              <w:t>2</w:t>
            </w:r>
          </w:p>
        </w:tc>
        <w:tc>
          <w:tcPr>
            <w:tcW w:type="dxa" w:w="2076"/>
          </w:tcPr>
          <w:p/>
        </w:tc>
        <w:tc>
          <w:tcPr>
            <w:tcW w:type="dxa" w:w="2076"/>
          </w:tcPr>
          <w:p>
            <w:pPr>
              <w:pStyle w:val="null5"/>
              <w:jc w:val="left"/>
            </w:pPr>
            <w:r>
              <w:rPr>
                <w:rFonts w:ascii="仿宋_GB2312" w:hAnsi="仿宋_GB2312" w:cs="仿宋_GB2312" w:eastAsia="仿宋_GB2312"/>
              </w:rPr>
              <w:t>交货地点</w:t>
            </w:r>
          </w:p>
        </w:tc>
        <w:tc>
          <w:tcPr>
            <w:tcW w:type="dxa" w:w="2076"/>
          </w:tcPr>
          <w:p>
            <w:pPr>
              <w:pStyle w:val="null5"/>
              <w:jc w:val="left"/>
            </w:pPr>
            <w:r>
              <w:rPr>
                <w:rFonts w:ascii="仿宋_GB2312" w:hAnsi="仿宋_GB2312" w:cs="仿宋_GB2312" w:eastAsia="仿宋_GB2312"/>
              </w:rPr>
              <w:t>达拉特经济开发区</w:t>
            </w:r>
          </w:p>
        </w:tc>
      </w:tr>
      <w:tr>
        <w:tc>
          <w:tcPr>
            <w:tcW w:type="dxa" w:w="2076"/>
          </w:tcPr>
          <w:p>
            <w:pPr>
              <w:pStyle w:val="null5"/>
              <w:jc w:val="left"/>
            </w:pPr>
            <w:r>
              <w:rPr>
                <w:rFonts w:ascii="仿宋_GB2312" w:hAnsi="仿宋_GB2312" w:cs="仿宋_GB2312" w:eastAsia="仿宋_GB2312"/>
              </w:rPr>
              <w:t>3</w:t>
            </w:r>
          </w:p>
        </w:tc>
        <w:tc>
          <w:tcPr>
            <w:tcW w:type="dxa" w:w="2076"/>
          </w:tcPr>
          <w:p/>
        </w:tc>
        <w:tc>
          <w:tcPr>
            <w:tcW w:type="dxa" w:w="2076"/>
          </w:tcPr>
          <w:p>
            <w:pPr>
              <w:pStyle w:val="null5"/>
              <w:jc w:val="left"/>
            </w:pPr>
            <w:r>
              <w:rPr>
                <w:rFonts w:ascii="仿宋_GB2312" w:hAnsi="仿宋_GB2312" w:cs="仿宋_GB2312" w:eastAsia="仿宋_GB2312"/>
              </w:rPr>
              <w:t>合同支付方式</w:t>
            </w:r>
          </w:p>
        </w:tc>
        <w:tc>
          <w:tcPr>
            <w:tcW w:type="dxa" w:w="2076"/>
          </w:tcPr>
          <w:p>
            <w:pPr>
              <w:pStyle w:val="null5"/>
              <w:jc w:val="left"/>
            </w:pPr>
            <w:r>
              <w:rPr>
                <w:rFonts w:ascii="仿宋_GB2312" w:hAnsi="仿宋_GB2312" w:cs="仿宋_GB2312" w:eastAsia="仿宋_GB2312"/>
              </w:rPr>
              <w:t>1、达到服务标准，按月支付，达到付款条件起30日，支付合同总金额的8.33%</w:t>
            </w:r>
          </w:p>
          <w:p>
            <w:pPr>
              <w:pStyle w:val="null5"/>
              <w:jc w:val="left"/>
            </w:pPr>
            <w:r>
              <w:rPr>
                <w:rFonts w:ascii="仿宋_GB2312" w:hAnsi="仿宋_GB2312" w:cs="仿宋_GB2312" w:eastAsia="仿宋_GB2312"/>
              </w:rPr>
              <w:t>2、达到服务标准，按月支付，达到付款条件起30日，支付合同总金额的8.33%</w:t>
            </w:r>
          </w:p>
          <w:p>
            <w:pPr>
              <w:pStyle w:val="null5"/>
              <w:jc w:val="left"/>
            </w:pPr>
            <w:r>
              <w:rPr>
                <w:rFonts w:ascii="仿宋_GB2312" w:hAnsi="仿宋_GB2312" w:cs="仿宋_GB2312" w:eastAsia="仿宋_GB2312"/>
              </w:rPr>
              <w:t>3、达到服务标准，按月支付，达到付款条件起30日，支付合同总金额的8.33%</w:t>
            </w:r>
          </w:p>
          <w:p>
            <w:pPr>
              <w:pStyle w:val="null5"/>
              <w:jc w:val="left"/>
            </w:pPr>
            <w:r>
              <w:rPr>
                <w:rFonts w:ascii="仿宋_GB2312" w:hAnsi="仿宋_GB2312" w:cs="仿宋_GB2312" w:eastAsia="仿宋_GB2312"/>
              </w:rPr>
              <w:t>4、达到服务标准，按月支付，达到付款条件起30日，支付合同总金额的8.33%</w:t>
            </w:r>
          </w:p>
          <w:p>
            <w:pPr>
              <w:pStyle w:val="null5"/>
              <w:jc w:val="left"/>
            </w:pPr>
            <w:r>
              <w:rPr>
                <w:rFonts w:ascii="仿宋_GB2312" w:hAnsi="仿宋_GB2312" w:cs="仿宋_GB2312" w:eastAsia="仿宋_GB2312"/>
              </w:rPr>
              <w:t>5、达到服务标准，按月支付，达到付款条件起30日，支付合同总金额的8.33%</w:t>
            </w:r>
          </w:p>
          <w:p>
            <w:pPr>
              <w:pStyle w:val="null5"/>
              <w:jc w:val="left"/>
            </w:pPr>
            <w:r>
              <w:rPr>
                <w:rFonts w:ascii="仿宋_GB2312" w:hAnsi="仿宋_GB2312" w:cs="仿宋_GB2312" w:eastAsia="仿宋_GB2312"/>
              </w:rPr>
              <w:t>6、达到服务标准，按月支付，达到付款条件起30日，支付合同总金额的8.33%</w:t>
            </w:r>
          </w:p>
          <w:p>
            <w:pPr>
              <w:pStyle w:val="null5"/>
              <w:jc w:val="left"/>
            </w:pPr>
            <w:r>
              <w:rPr>
                <w:rFonts w:ascii="仿宋_GB2312" w:hAnsi="仿宋_GB2312" w:cs="仿宋_GB2312" w:eastAsia="仿宋_GB2312"/>
              </w:rPr>
              <w:t>7、达到服务标准，按月支付，达到付款条件起30日，支付合同总金额的8.33%</w:t>
            </w:r>
          </w:p>
          <w:p>
            <w:pPr>
              <w:pStyle w:val="null5"/>
              <w:jc w:val="left"/>
            </w:pPr>
            <w:r>
              <w:rPr>
                <w:rFonts w:ascii="仿宋_GB2312" w:hAnsi="仿宋_GB2312" w:cs="仿宋_GB2312" w:eastAsia="仿宋_GB2312"/>
              </w:rPr>
              <w:t>8、达到服务标准，按月支付，达到付款条件起30日，支付合同总金额的8.33%</w:t>
            </w:r>
          </w:p>
          <w:p>
            <w:pPr>
              <w:pStyle w:val="null5"/>
              <w:jc w:val="left"/>
            </w:pPr>
            <w:r>
              <w:rPr>
                <w:rFonts w:ascii="仿宋_GB2312" w:hAnsi="仿宋_GB2312" w:cs="仿宋_GB2312" w:eastAsia="仿宋_GB2312"/>
              </w:rPr>
              <w:t>9、达到服务标准，按月支付，达到付款条件起30日，支付合同总金额的8.33%</w:t>
            </w:r>
          </w:p>
          <w:p>
            <w:pPr>
              <w:pStyle w:val="null5"/>
              <w:jc w:val="left"/>
            </w:pPr>
            <w:r>
              <w:rPr>
                <w:rFonts w:ascii="仿宋_GB2312" w:hAnsi="仿宋_GB2312" w:cs="仿宋_GB2312" w:eastAsia="仿宋_GB2312"/>
              </w:rPr>
              <w:t>10、达到服务标准，按月支付，达到付款条件起30日，支付合同总金额的8.33%</w:t>
            </w:r>
          </w:p>
          <w:p>
            <w:pPr>
              <w:pStyle w:val="null5"/>
              <w:jc w:val="left"/>
            </w:pPr>
            <w:r>
              <w:rPr>
                <w:rFonts w:ascii="仿宋_GB2312" w:hAnsi="仿宋_GB2312" w:cs="仿宋_GB2312" w:eastAsia="仿宋_GB2312"/>
              </w:rPr>
              <w:t>11、达到服务标准，按月支付，达到付款条件起30日，支付合同总金额的8.33%</w:t>
            </w:r>
          </w:p>
          <w:p>
            <w:pPr>
              <w:pStyle w:val="null5"/>
              <w:jc w:val="left"/>
            </w:pPr>
            <w:r>
              <w:rPr>
                <w:rFonts w:ascii="仿宋_GB2312" w:hAnsi="仿宋_GB2312" w:cs="仿宋_GB2312" w:eastAsia="仿宋_GB2312"/>
              </w:rPr>
              <w:t>12、达到服务标准，按月支付，达到付款条件起30日，支付合同总金额的8.37%</w:t>
            </w:r>
          </w:p>
        </w:tc>
      </w:tr>
      <w:tr>
        <w:tc>
          <w:tcPr>
            <w:tcW w:type="dxa" w:w="2076"/>
          </w:tcPr>
          <w:p>
            <w:pPr>
              <w:pStyle w:val="null5"/>
              <w:jc w:val="left"/>
            </w:pPr>
            <w:r>
              <w:rPr>
                <w:rFonts w:ascii="仿宋_GB2312" w:hAnsi="仿宋_GB2312" w:cs="仿宋_GB2312" w:eastAsia="仿宋_GB2312"/>
              </w:rPr>
              <w:t>4</w:t>
            </w:r>
          </w:p>
        </w:tc>
        <w:tc>
          <w:tcPr>
            <w:tcW w:type="dxa" w:w="2076"/>
          </w:tcPr>
          <w:p/>
        </w:tc>
        <w:tc>
          <w:tcPr>
            <w:tcW w:type="dxa" w:w="2076"/>
          </w:tcPr>
          <w:p>
            <w:pPr>
              <w:pStyle w:val="null5"/>
              <w:jc w:val="left"/>
            </w:pPr>
            <w:r>
              <w:rPr>
                <w:rFonts w:ascii="仿宋_GB2312" w:hAnsi="仿宋_GB2312" w:cs="仿宋_GB2312" w:eastAsia="仿宋_GB2312"/>
              </w:rPr>
              <w:t>履约保证金</w:t>
            </w:r>
          </w:p>
        </w:tc>
        <w:tc>
          <w:tcPr>
            <w:tcW w:type="dxa" w:w="2076"/>
          </w:tcPr>
          <w:p>
            <w:pPr>
              <w:pStyle w:val="null5"/>
              <w:jc w:val="left"/>
            </w:pPr>
            <w:r>
              <w:rPr>
                <w:rFonts w:ascii="仿宋_GB2312" w:hAnsi="仿宋_GB2312" w:cs="仿宋_GB2312" w:eastAsia="仿宋_GB2312"/>
              </w:rPr>
              <w:t>需要缴纳履约保证金：不缴纳</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标的名称：达拉特经济开发区驻企安全监管服务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1、服务周期：招标服务期3年，合同每年一签，由采购人考核供应商服务绩效，并根据考核结果确定是否续签。</w:t>
            </w:r>
          </w:p>
          <w:p>
            <w:pPr>
              <w:pStyle w:val="null5"/>
              <w:jc w:val="left"/>
            </w:pPr>
            <w:r>
              <w:rPr>
                <w:rFonts w:ascii="仿宋_GB2312" w:hAnsi="仿宋_GB2312" w:cs="仿宋_GB2312" w:eastAsia="仿宋_GB2312"/>
              </w:rPr>
              <w:t>2、服务内容及要求：服务内容：购买安全监管服务人员协助开发区应急办开展园区内113家企业的安全生产监督管理工作。（其中35家化工企业中涉及两重点一重大的化工企业各派驻一名驻企监管人员开展常态化驻企监管服务）。</w:t>
            </w:r>
          </w:p>
          <w:p>
            <w:pPr>
              <w:pStyle w:val="null5"/>
              <w:jc w:val="left"/>
            </w:pPr>
            <w:r>
              <w:rPr>
                <w:rFonts w:ascii="仿宋_GB2312" w:hAnsi="仿宋_GB2312" w:cs="仿宋_GB2312" w:eastAsia="仿宋_GB2312"/>
              </w:rPr>
              <w:t>服务要求：（1）人员要求： 1.政治合格，热爱安全生产工作，品德端正，身体健康，工作勤恳，坚持原则，具有强烈的安全意识和工作责任心; 2.掌握本地区安全监管重点,熟悉年度重点工作任务和专项整治工作任务; 熟悉安全生产法律法规和标准规范,熟悉危险化学品领域安全管理制度、熟悉工艺流程、操作规程等;</w:t>
            </w:r>
          </w:p>
          <w:p>
            <w:pPr>
              <w:pStyle w:val="null5"/>
              <w:jc w:val="left"/>
            </w:pPr>
            <w:r>
              <w:rPr>
                <w:rFonts w:ascii="仿宋_GB2312" w:hAnsi="仿宋_GB2312" w:cs="仿宋_GB2312" w:eastAsia="仿宋_GB2312"/>
              </w:rPr>
              <w:t xml:space="preserve">3.具有国民教育序列大专及以上，化学类、化工类、安全工程类专业。不限专业需具备的条件：（1）具有生产一线、基层应急管理、安全生产岗位三年以上工作经验。（需提供加盖公章相关工作证明）；（2）具有注册安全工程师证。  </w:t>
            </w:r>
          </w:p>
          <w:p>
            <w:pPr>
              <w:pStyle w:val="null5"/>
              <w:jc w:val="left"/>
            </w:pPr>
            <w:r>
              <w:rPr>
                <w:rFonts w:ascii="仿宋_GB2312" w:hAnsi="仿宋_GB2312" w:cs="仿宋_GB2312" w:eastAsia="仿宋_GB2312"/>
              </w:rPr>
              <w:t xml:space="preserve"> 4.年龄要求：（1）国民教育大专及以上学历年龄不超过35周岁；（2）具有生产一线、基层应急管理、安全生产岗位三年以上工作经验；具有注册安全工程师证以及研究生学历的年龄放宽至40周岁。</w:t>
            </w:r>
          </w:p>
          <w:p>
            <w:pPr>
              <w:pStyle w:val="null5"/>
              <w:jc w:val="left"/>
            </w:pPr>
            <w:r>
              <w:rPr>
                <w:rFonts w:ascii="仿宋_GB2312" w:hAnsi="仿宋_GB2312" w:cs="仿宋_GB2312" w:eastAsia="仿宋_GB2312"/>
              </w:rPr>
              <w:t>5. 具有较强的组织协调能力，能够积极主动和有效解决各类安全生产问题。 （2）工作任务：1、监管服务人员要督促企业严格落实安全生产法律法规有关规定和国家、自治区及我市有关文件要求;监督企业对各级部门排查发现的安全生产隐患按要求完成整改;2、监督企业特种作业的过程管控；监督企业严格落实安全生产主体责任;3、及时向园区应急管理部门汇报企业的安全生产状况。4、落实园区应急管理部门安排的其他工作。</w:t>
            </w:r>
          </w:p>
          <w:p>
            <w:pPr>
              <w:pStyle w:val="null5"/>
              <w:jc w:val="left"/>
            </w:pPr>
            <w:r>
              <w:rPr>
                <w:rFonts w:ascii="仿宋_GB2312" w:hAnsi="仿宋_GB2312" w:cs="仿宋_GB2312" w:eastAsia="仿宋_GB2312"/>
              </w:rPr>
              <w:t>（三）工作要求： 1.驻企人员要按时参加企业安全生产工作会、安全例会等安全生产会议，并对企业阶段性安全生产工作提出建议 2.驻企工作人员每周工作6天，每天工作8小时。3.监管服务人员要树牢责任意识，工作中发现的隐患，要及时反馈企业主要负责人，与企业共同研究措施、制定方案，切实提高隐患整改效率和质量。要积极协调专业技术力量为企业送技术、送服务，帮助企业提升本质安全水平。 4.监管服务人员要合理安排工作计划，每日填写工作日志，每月形成工作总结报送园区应急管理部门。 5.监管服务人员发现隐患，要及时建立台账，督促企业抓好整改，整改台账按周报送园区应急管理部门。发现重大问题、重大事故隐患要立即报送。 6.监管人员要严格执行中央八项规定及其实施细则，杜绝形式主义和官僚主义，不得扰乱企业正常生产经营秩序，做到驻企不添乱、监督有法度。要提高廉洁自律意识，严守“亲”“清”政商关系，不给企业增加任何额外负担，严禁出现借驻企监督“吃拿卡要”、谋取私利等违纪违规行为，若驻企人员出现违纪违规行为，移交相关部门处理。</w:t>
            </w:r>
          </w:p>
          <w:p>
            <w:pPr>
              <w:pStyle w:val="null5"/>
              <w:jc w:val="left"/>
            </w:pPr>
            <w:r>
              <w:rPr>
                <w:rFonts w:ascii="仿宋_GB2312" w:hAnsi="仿宋_GB2312" w:cs="仿宋_GB2312" w:eastAsia="仿宋_GB2312"/>
              </w:rPr>
              <w:t>（四）其他要求</w:t>
            </w:r>
          </w:p>
          <w:p>
            <w:pPr>
              <w:pStyle w:val="null5"/>
              <w:jc w:val="left"/>
            </w:pPr>
            <w:r>
              <w:rPr>
                <w:rFonts w:ascii="仿宋_GB2312" w:hAnsi="仿宋_GB2312" w:cs="仿宋_GB2312" w:eastAsia="仿宋_GB2312"/>
              </w:rPr>
              <w:t>1、签订服务合同后一周内服务人员到岗工作。2、驻企人员原则上每半年轮换一次，重点保障时段、</w:t>
            </w:r>
            <w:r>
              <w:br/>
            </w:r>
            <w:r>
              <w:rPr>
                <w:rFonts w:ascii="仿宋_GB2312" w:hAnsi="仿宋_GB2312" w:cs="仿宋_GB2312" w:eastAsia="仿宋_GB2312"/>
              </w:rPr>
              <w:t xml:space="preserve"> 重要延续性工作，可视情况调整轮换时间。 3、购买服务人员不能胜任安全监管工作的供应商一周内调整到位。</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审查投标人2023年度经会计师事务所出具的财务审计报告或其基本开户银行出具的近一年内的银行资信证明。</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1.提供递交响应文件截止之日前一年内(至少一个月)的良好缴纳税收的相关凭据。(以税务机关提供的纳税凭据或银行入账单为准，响应文件须附扫描件)2.提供递交响应文件截止之日前一年内(至少一个月)缴纳社会保险的凭证。(以专用收据或社会保险缴纳清单为准响应文件须附扫描件)注:其他组织和自然人也需要提供缴纳税收的凭据金额缴纳社保的凭据。依法免税或不需要缴纳社会保障资金的供应商，应提供相应文件证明其依法免税或不需要缴纳社会保障资金。</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技术部分65.00分</w:t>
            </w:r>
          </w:p>
          <w:p>
            <w:pPr>
              <w:pStyle w:val="null5"/>
              <w:jc w:val="left"/>
            </w:pPr>
            <w:r>
              <w:rPr>
                <w:rFonts w:ascii="仿宋_GB2312" w:hAnsi="仿宋_GB2312" w:cs="仿宋_GB2312" w:eastAsia="仿宋_GB2312"/>
              </w:rPr>
              <w:t>商务部分5.00分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项目实施方案</w:t>
            </w:r>
          </w:p>
        </w:tc>
        <w:tc>
          <w:tcPr>
            <w:tcW w:type="dxa" w:w="3115"/>
          </w:tcPr>
          <w:p>
            <w:pPr>
              <w:pStyle w:val="null5"/>
              <w:jc w:val="left"/>
            </w:pPr>
            <w:r>
              <w:rPr>
                <w:rFonts w:ascii="仿宋_GB2312" w:hAnsi="仿宋_GB2312" w:cs="仿宋_GB2312" w:eastAsia="仿宋_GB2312"/>
              </w:rPr>
              <w:t>项目工作目标、工作思路、工作方案及完成工作任务的方法步骤科学、可行；对服务内容有全面深入的了解，对完成工作任务有创新工作思路得 20分；项目工作目标、工作思路、工作方案及完成工作任务的方法步骤现实、可行，对作业区域现状和作业特点有较为深入的了解得14分；有项目工作目标、工作思路、工作方案及完成工作任务的方法步骤，对作业区域现状和作业特点有一定的了解得8分；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项目技术重点、难点分析及应对措施</w:t>
            </w:r>
          </w:p>
        </w:tc>
        <w:tc>
          <w:tcPr>
            <w:tcW w:type="dxa" w:w="3115"/>
          </w:tcPr>
          <w:p>
            <w:pPr>
              <w:pStyle w:val="null5"/>
              <w:jc w:val="left"/>
            </w:pPr>
            <w:r>
              <w:rPr>
                <w:rFonts w:ascii="仿宋_GB2312" w:hAnsi="仿宋_GB2312" w:cs="仿宋_GB2312" w:eastAsia="仿宋_GB2312"/>
              </w:rPr>
              <w:t>项目重点、难点分析全面、合理，提出合理化建议方案，实施措施切实可行的，得20分；有项目重点、难点分析，提出建议方案，实施措施可行的，得13分；有项目重点、难点分析，提出建议方案，实施措施一般的，得6分；不提供不得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服务质量保障方案</w:t>
            </w:r>
          </w:p>
        </w:tc>
        <w:tc>
          <w:tcPr>
            <w:tcW w:type="dxa" w:w="3115"/>
          </w:tcPr>
          <w:p>
            <w:pPr>
              <w:pStyle w:val="null5"/>
              <w:jc w:val="left"/>
            </w:pPr>
            <w:r>
              <w:rPr>
                <w:rFonts w:ascii="仿宋_GB2312" w:hAnsi="仿宋_GB2312" w:cs="仿宋_GB2312" w:eastAsia="仿宋_GB2312"/>
              </w:rPr>
              <w:t>供应商提供服务质量保障方案中质量管理目标、质量管理计划、质量管理机构、质量管理职责、质量管理措施等，服务质量保障方案合理详细、职责明确，针对性强的，得10分；服务质量保障方案基本合理可行、基本完善的，得6分；服务质量保障方案简单，未明确针对本项目的，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应急事件处理方案</w:t>
            </w:r>
          </w:p>
        </w:tc>
        <w:tc>
          <w:tcPr>
            <w:tcW w:type="dxa" w:w="3115"/>
          </w:tcPr>
          <w:p>
            <w:pPr>
              <w:pStyle w:val="null5"/>
              <w:jc w:val="left"/>
            </w:pPr>
            <w:r>
              <w:rPr>
                <w:rFonts w:ascii="仿宋_GB2312" w:hAnsi="仿宋_GB2312" w:cs="仿宋_GB2312" w:eastAsia="仿宋_GB2312"/>
              </w:rPr>
              <w:t>应急处置方案及合理化建议内容完整、可行，针对性强，能完全满足项目实施要求的，得10分；应急处置方案及合理化建议内容较具体可行，针对性一般，能基本满足项目实施要求的，得6分；应急处置方案及合理化建议内容简单、不够完善，没有针对性的，得2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培训和考核制度</w:t>
            </w:r>
          </w:p>
        </w:tc>
        <w:tc>
          <w:tcPr>
            <w:tcW w:type="dxa" w:w="3115"/>
          </w:tcPr>
          <w:p>
            <w:pPr>
              <w:pStyle w:val="null5"/>
              <w:jc w:val="left"/>
            </w:pPr>
            <w:r>
              <w:rPr>
                <w:rFonts w:ascii="仿宋_GB2312" w:hAnsi="仿宋_GB2312" w:cs="仿宋_GB2312" w:eastAsia="仿宋_GB2312"/>
              </w:rPr>
              <w:t>供应商提供的培训和考核制度有培训的目标、内容和考核措施。培训和考核制度内容完整、可行，针对性强，能完全满足项目实施要求的，得5分；培训和考核制度较具体可行，针对性一般，能基本满足项目实施要求的，得3分；培训和考核制度内容简单不够完善，没有针对性的，得1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业绩</w:t>
            </w:r>
          </w:p>
        </w:tc>
        <w:tc>
          <w:tcPr>
            <w:tcW w:type="dxa" w:w="3115"/>
          </w:tcPr>
          <w:p>
            <w:pPr>
              <w:pStyle w:val="null5"/>
              <w:jc w:val="left"/>
            </w:pPr>
            <w:r>
              <w:rPr>
                <w:rFonts w:ascii="仿宋_GB2312" w:hAnsi="仿宋_GB2312" w:cs="仿宋_GB2312" w:eastAsia="仿宋_GB2312"/>
              </w:rPr>
              <w:t>供应商近三年(2022年1月1日至投标截止 时间)以来承揽过的类似项目业绩，有一项得2.5分，最多得5分;(注:响应文件中需提供合同原件扫描件，不提供不得分;以合同签订日期为准。)</w:t>
            </w:r>
          </w:p>
        </w:tc>
        <w:tc>
          <w:tcPr>
            <w:tcW w:type="dxa" w:w="1038"/>
          </w:tcPr>
          <w:p>
            <w:pPr>
              <w:pStyle w:val="null5"/>
              <w:jc w:val="right"/>
            </w:pPr>
            <w:r>
              <w:rPr>
                <w:rFonts w:ascii="仿宋_GB2312" w:hAnsi="仿宋_GB2312" w:cs="仿宋_GB2312" w:eastAsia="仿宋_GB2312"/>
              </w:rPr>
              <w:t>5.00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资格符合分册：</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详见附件：投标人（供应商）应提交的相关证明</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详见附件：技术偏离表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详见附件：其他材料</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