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val="0"/>
          <w:sz w:val="40"/>
          <w:szCs w:val="28"/>
        </w:rPr>
      </w:pPr>
      <w:bookmarkStart w:id="0" w:name="OLE_LINK8"/>
      <w:r>
        <w:rPr>
          <w:rFonts w:hint="eastAsia" w:asciiTheme="majorEastAsia" w:hAnsiTheme="majorEastAsia" w:eastAsiaTheme="majorEastAsia" w:cstheme="majorEastAsia"/>
          <w:b/>
          <w:bCs w:val="0"/>
          <w:sz w:val="40"/>
          <w:szCs w:val="28"/>
        </w:rPr>
        <w:t>鄂尔多斯达拉特经济开发区应急管理办公室</w:t>
      </w:r>
    </w:p>
    <w:p>
      <w:pPr>
        <w:jc w:val="center"/>
        <w:rPr>
          <w:rFonts w:hint="eastAsia" w:asciiTheme="majorEastAsia" w:hAnsiTheme="majorEastAsia" w:eastAsiaTheme="majorEastAsia" w:cstheme="majorEastAsia"/>
          <w:b/>
          <w:bCs w:val="0"/>
          <w:sz w:val="28"/>
          <w:szCs w:val="28"/>
        </w:rPr>
      </w:pPr>
      <w:r>
        <w:rPr>
          <w:rFonts w:hint="eastAsia" w:asciiTheme="majorEastAsia" w:hAnsiTheme="majorEastAsia" w:eastAsiaTheme="majorEastAsia" w:cstheme="majorEastAsia"/>
          <w:b/>
          <w:bCs w:val="0"/>
          <w:sz w:val="40"/>
          <w:szCs w:val="28"/>
        </w:rPr>
        <w:t>智慧平台运营运维服务考核方案</w:t>
      </w:r>
    </w:p>
    <w:p/>
    <w:p>
      <w:pPr>
        <w:pStyle w:val="11"/>
        <w:spacing w:line="560" w:lineRule="exact"/>
        <w:ind w:firstLine="560" w:firstLineChars="200"/>
        <w:rPr>
          <w:rFonts w:hint="eastAsia" w:asciiTheme="minorEastAsia" w:hAnsiTheme="minorEastAsia" w:eastAsiaTheme="minorEastAsia" w:cstheme="minorEastAsia"/>
          <w:color w:val="0000FF"/>
          <w:sz w:val="28"/>
          <w:szCs w:val="28"/>
        </w:rPr>
      </w:pPr>
      <w:r>
        <w:rPr>
          <w:rFonts w:hint="eastAsia" w:asciiTheme="minorEastAsia" w:hAnsiTheme="minorEastAsia" w:eastAsiaTheme="minorEastAsia" w:cstheme="minorEastAsia"/>
          <w:sz w:val="28"/>
          <w:szCs w:val="28"/>
        </w:rPr>
        <w:t>为更好的履行</w:t>
      </w:r>
      <w:r>
        <w:rPr>
          <w:rFonts w:hint="eastAsia" w:asciiTheme="minorEastAsia" w:hAnsiTheme="minorEastAsia" w:eastAsiaTheme="minorEastAsia" w:cstheme="minorEastAsia"/>
          <w:sz w:val="28"/>
          <w:szCs w:val="28"/>
          <w:lang w:val="zh-CN"/>
        </w:rPr>
        <w:t>“</w:t>
      </w:r>
      <w:r>
        <w:rPr>
          <w:rFonts w:hint="eastAsia" w:asciiTheme="minorEastAsia" w:hAnsiTheme="minorEastAsia" w:eastAsiaTheme="minorEastAsia" w:cstheme="minorEastAsia"/>
          <w:sz w:val="28"/>
          <w:szCs w:val="28"/>
        </w:rPr>
        <w:t>鄂尔多斯达拉特经济开发</w:t>
      </w:r>
      <w:bookmarkStart w:id="8" w:name="_GoBack"/>
      <w:bookmarkEnd w:id="8"/>
      <w:r>
        <w:rPr>
          <w:rFonts w:hint="eastAsia" w:asciiTheme="minorEastAsia" w:hAnsiTheme="minorEastAsia" w:eastAsiaTheme="minorEastAsia" w:cstheme="minorEastAsia"/>
          <w:sz w:val="28"/>
          <w:szCs w:val="28"/>
        </w:rPr>
        <w:t>区达拉特产业园重大安全风险防控及智慧园区平台国产化升级改造项目”中相关要求，在合同（包1合同书）服务期内，采购方有权对供货方所派出的工作人员进行日常监督、管理，并且采购方定期对供应商的服务效果进行评价打分。</w:t>
      </w:r>
    </w:p>
    <w:p>
      <w:pPr>
        <w:pStyle w:val="11"/>
        <w:spacing w:line="560" w:lineRule="exact"/>
        <w:ind w:firstLine="562" w:firstLineChars="200"/>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一、考核小组</w:t>
      </w:r>
    </w:p>
    <w:p>
      <w:pPr>
        <w:pStyle w:val="11"/>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成立运营运维考核小组，应急管理办公室主任担任考核组组长，分管智慧平台工作的副主任担任副组长，各相关科室负责人为考核小组成员，考核小组负责对运营运维单位进行日常考核。</w:t>
      </w:r>
    </w:p>
    <w:p>
      <w:pPr>
        <w:pStyle w:val="11"/>
        <w:spacing w:line="560" w:lineRule="exact"/>
        <w:ind w:firstLine="562" w:firstLineChars="200"/>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二、考核方式</w:t>
      </w:r>
    </w:p>
    <w:p>
      <w:pPr>
        <w:pStyle w:val="11"/>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考核小组对运维单位每季度不定期线下就运维工作开展情况进行检查、考核，并对考核结果进行记录。</w:t>
      </w:r>
    </w:p>
    <w:p>
      <w:pPr>
        <w:pStyle w:val="11"/>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每季度考核小组根据评分明细表对运维单位的各项服务内容进行评价打分，汇总并得出最终得分。</w:t>
      </w:r>
    </w:p>
    <w:p>
      <w:pPr>
        <w:pStyle w:val="11"/>
        <w:spacing w:line="560" w:lineRule="exact"/>
        <w:ind w:firstLine="562" w:firstLineChars="200"/>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三、考核频次</w:t>
      </w:r>
    </w:p>
    <w:p>
      <w:pPr>
        <w:pStyle w:val="11"/>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每季度1次，全年累计4次考核。</w:t>
      </w:r>
    </w:p>
    <w:p>
      <w:pPr>
        <w:spacing w:line="560" w:lineRule="exact"/>
        <w:ind w:left="420" w:leftChars="200" w:firstLine="141" w:firstLineChars="50"/>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四、考核标准</w:t>
      </w:r>
    </w:p>
    <w:p>
      <w:pPr>
        <w:pStyle w:val="11"/>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根据得分情况将考核结果划分为三个级别:优秀＞90分、90分≥良好≥85分、不合格＜85。</w:t>
      </w:r>
    </w:p>
    <w:p>
      <w:pPr>
        <w:pStyle w:val="2"/>
        <w:numPr>
          <w:numId w:val="0"/>
        </w:numPr>
        <w:ind w:leftChars="0"/>
        <w:rPr>
          <w:rFonts w:hint="eastAsia" w:asciiTheme="minorEastAsia" w:hAnsiTheme="minorEastAsia" w:eastAsiaTheme="minorEastAsia" w:cstheme="minorEastAsia"/>
          <w:sz w:val="28"/>
          <w:szCs w:val="28"/>
        </w:rPr>
      </w:pPr>
    </w:p>
    <w:p>
      <w:pPr>
        <w:rPr>
          <w:rFonts w:hint="eastAsia" w:asciiTheme="minorEastAsia" w:hAnsiTheme="minorEastAsia" w:eastAsiaTheme="minorEastAsia" w:cstheme="minorEastAsia"/>
          <w:sz w:val="28"/>
          <w:szCs w:val="28"/>
        </w:rPr>
      </w:pPr>
    </w:p>
    <w:p>
      <w:pPr>
        <w:pStyle w:val="2"/>
        <w:numPr>
          <w:numId w:val="0"/>
        </w:numPr>
        <w:ind w:leftChars="0"/>
        <w:rPr>
          <w:rFonts w:hint="eastAsia"/>
        </w:rPr>
      </w:pPr>
    </w:p>
    <w:tbl>
      <w:tblPr>
        <w:tblStyle w:val="13"/>
        <w:tblW w:w="8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2"/>
        <w:gridCol w:w="2273"/>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622"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ind w:firstLine="840" w:firstLineChars="300"/>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季度考核分数</w:t>
            </w:r>
          </w:p>
        </w:tc>
        <w:tc>
          <w:tcPr>
            <w:tcW w:w="2273"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ind w:firstLine="280" w:firstLineChars="100"/>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考核级别</w:t>
            </w:r>
          </w:p>
        </w:tc>
        <w:tc>
          <w:tcPr>
            <w:tcW w:w="2744"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ind w:firstLine="280" w:firstLineChars="100"/>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季度费用支付比例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622"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ind w:firstLine="560" w:firstLineChars="200"/>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90（含）以上</w:t>
            </w:r>
          </w:p>
        </w:tc>
        <w:tc>
          <w:tcPr>
            <w:tcW w:w="2273"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jc w:val="center"/>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优秀</w:t>
            </w:r>
          </w:p>
        </w:tc>
        <w:tc>
          <w:tcPr>
            <w:tcW w:w="2744" w:type="dxa"/>
            <w:vMerge w:val="restart"/>
            <w:tcBorders>
              <w:top w:val="single" w:color="auto" w:sz="4" w:space="0"/>
              <w:left w:val="single" w:color="auto" w:sz="4" w:space="0"/>
              <w:right w:val="single" w:color="auto" w:sz="4" w:space="0"/>
            </w:tcBorders>
            <w:shd w:val="clear" w:color="auto" w:fill="auto"/>
            <w:vAlign w:val="center"/>
          </w:tcPr>
          <w:p>
            <w:pPr>
              <w:widowControl/>
              <w:spacing w:line="560" w:lineRule="exact"/>
              <w:jc w:val="center"/>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622"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ind w:firstLine="560" w:firstLineChars="200"/>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85（含）至90分（含）</w:t>
            </w:r>
          </w:p>
        </w:tc>
        <w:tc>
          <w:tcPr>
            <w:tcW w:w="2273"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jc w:val="center"/>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合格</w:t>
            </w:r>
          </w:p>
        </w:tc>
        <w:tc>
          <w:tcPr>
            <w:tcW w:w="2744" w:type="dxa"/>
            <w:vMerge w:val="continue"/>
            <w:tcBorders>
              <w:left w:val="single" w:color="auto" w:sz="4" w:space="0"/>
              <w:bottom w:val="single" w:color="auto" w:sz="4" w:space="0"/>
              <w:right w:val="single" w:color="auto" w:sz="4" w:space="0"/>
            </w:tcBorders>
            <w:shd w:val="clear" w:color="auto" w:fill="auto"/>
          </w:tcPr>
          <w:p>
            <w:pPr>
              <w:widowControl/>
              <w:spacing w:line="560" w:lineRule="exact"/>
              <w:jc w:val="center"/>
              <w:textAlignment w:val="center"/>
              <w:rPr>
                <w:rFonts w:ascii="方正仿宋_GB2312" w:hAnsi="方正仿宋_GB2312" w:eastAsia="方正仿宋_GB2312" w:cs="方正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ind w:firstLine="560" w:firstLineChars="200"/>
              <w:jc w:val="center"/>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85分（不含）以下</w:t>
            </w:r>
          </w:p>
        </w:tc>
        <w:tc>
          <w:tcPr>
            <w:tcW w:w="22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不合格</w:t>
            </w:r>
          </w:p>
        </w:tc>
        <w:tc>
          <w:tcPr>
            <w:tcW w:w="2744" w:type="dxa"/>
            <w:tcBorders>
              <w:top w:val="single" w:color="auto" w:sz="4" w:space="0"/>
              <w:left w:val="single" w:color="auto" w:sz="4" w:space="0"/>
              <w:bottom w:val="single" w:color="auto" w:sz="4" w:space="0"/>
              <w:right w:val="single" w:color="auto" w:sz="4" w:space="0"/>
            </w:tcBorders>
            <w:shd w:val="clear" w:color="auto" w:fill="auto"/>
          </w:tcPr>
          <w:p>
            <w:pPr>
              <w:widowControl/>
              <w:spacing w:line="560" w:lineRule="exact"/>
              <w:jc w:val="center"/>
              <w:textAlignment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每少一分，扣本年度运维费用的1%。</w:t>
            </w:r>
          </w:p>
        </w:tc>
      </w:tr>
    </w:tbl>
    <w:p>
      <w:pPr>
        <w:pStyle w:val="11"/>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供应商运维服务季度考核不合格，采购方有权扣除相应比例的服务费用,并提出改善意见,或要求供应商更换相关运维人员,若连续2个季度考核结果均为不合格，则采购方有权将服务费用扣除比例由1%增加至2%。（因运营工作出现失误造成不良影响的，由采购方进行评估扣款）</w:t>
      </w:r>
    </w:p>
    <w:p>
      <w:pPr>
        <w:pStyle w:val="11"/>
        <w:spacing w:line="560" w:lineRule="exact"/>
        <w:ind w:firstLine="480" w:firstLineChars="200"/>
        <w:rPr>
          <w:rFonts w:ascii="宋体" w:hAnsi="宋体" w:cs="宋体"/>
          <w:sz w:val="24"/>
        </w:rPr>
        <w:sectPr>
          <w:pgSz w:w="11906" w:h="16838"/>
          <w:pgMar w:top="1440" w:right="1803" w:bottom="1440" w:left="1803" w:header="851" w:footer="992" w:gutter="0"/>
          <w:pgBorders>
            <w:top w:val="none" w:sz="0" w:space="0"/>
            <w:left w:val="none" w:sz="0" w:space="0"/>
            <w:bottom w:val="none" w:sz="0" w:space="0"/>
            <w:right w:val="none" w:sz="0" w:space="0"/>
          </w:pgBorders>
          <w:cols w:space="720" w:num="1"/>
          <w:docGrid w:type="lines" w:linePitch="325" w:charSpace="0"/>
        </w:sectPr>
      </w:pPr>
    </w:p>
    <w:p>
      <w:pPr>
        <w:pStyle w:val="11"/>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sz w:val="28"/>
          <w:szCs w:val="28"/>
        </w:rPr>
        <w:t>附件：智慧监管平台运营维护考核表</w:t>
      </w:r>
    </w:p>
    <w:p>
      <w:pPr>
        <w:spacing w:afterLines="100"/>
        <w:jc w:val="center"/>
        <w:rPr>
          <w:rFonts w:ascii="宋体" w:hAnsi="宋体" w:cs="宋体"/>
          <w:sz w:val="28"/>
          <w:szCs w:val="22"/>
        </w:rPr>
      </w:pPr>
      <w:r>
        <w:rPr>
          <w:rFonts w:hint="eastAsia" w:asciiTheme="majorEastAsia" w:hAnsiTheme="majorEastAsia" w:eastAsiaTheme="majorEastAsia" w:cstheme="majorEastAsia"/>
          <w:sz w:val="44"/>
          <w:szCs w:val="21"/>
        </w:rPr>
        <w:t>智慧监管平台运营维护考核表</w:t>
      </w:r>
    </w:p>
    <w:p>
      <w:pPr>
        <w:ind w:firstLine="280" w:firstLineChars="100"/>
        <w:jc w:val="left"/>
        <w:rPr>
          <w:rFonts w:ascii="宋体" w:hAnsi="宋体" w:cs="宋体"/>
          <w:sz w:val="28"/>
          <w:szCs w:val="22"/>
        </w:rPr>
      </w:pPr>
      <w:r>
        <w:rPr>
          <w:rFonts w:hint="eastAsia" w:ascii="宋体" w:hAnsi="宋体" w:cs="宋体"/>
          <w:sz w:val="28"/>
          <w:szCs w:val="22"/>
        </w:rPr>
        <w:t>考核单位名称：                                                            考核时间：</w:t>
      </w:r>
    </w:p>
    <w:p/>
    <w:tbl>
      <w:tblPr>
        <w:tblStyle w:val="12"/>
        <w:tblW w:w="13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2"/>
        <w:gridCol w:w="3012"/>
        <w:gridCol w:w="7366"/>
        <w:gridCol w:w="1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1642" w:type="dxa"/>
            <w:noWrap/>
            <w:vAlign w:val="center"/>
          </w:tcPr>
          <w:p>
            <w:pPr>
              <w:jc w:val="center"/>
              <w:rPr>
                <w:rFonts w:hint="eastAsia" w:asciiTheme="majorEastAsia" w:hAnsiTheme="majorEastAsia" w:eastAsiaTheme="majorEastAsia" w:cstheme="majorEastAsia"/>
                <w:b/>
                <w:bCs/>
              </w:rPr>
            </w:pPr>
            <w:r>
              <w:rPr>
                <w:rFonts w:hint="eastAsia" w:asciiTheme="majorEastAsia" w:hAnsiTheme="majorEastAsia" w:eastAsiaTheme="majorEastAsia" w:cstheme="majorEastAsia"/>
                <w:b/>
                <w:bCs/>
              </w:rPr>
              <w:t>项目</w:t>
            </w:r>
          </w:p>
        </w:tc>
        <w:tc>
          <w:tcPr>
            <w:tcW w:w="3012" w:type="dxa"/>
            <w:noWrap/>
            <w:vAlign w:val="center"/>
          </w:tcPr>
          <w:p>
            <w:pPr>
              <w:jc w:val="center"/>
              <w:rPr>
                <w:rFonts w:hint="eastAsia" w:asciiTheme="majorEastAsia" w:hAnsiTheme="majorEastAsia" w:eastAsiaTheme="majorEastAsia" w:cstheme="majorEastAsia"/>
                <w:b/>
                <w:bCs/>
              </w:rPr>
            </w:pPr>
            <w:r>
              <w:rPr>
                <w:rFonts w:hint="eastAsia" w:asciiTheme="majorEastAsia" w:hAnsiTheme="majorEastAsia" w:eastAsiaTheme="majorEastAsia" w:cstheme="majorEastAsia"/>
                <w:b/>
                <w:bCs/>
              </w:rPr>
              <w:t>内容</w:t>
            </w:r>
          </w:p>
        </w:tc>
        <w:tc>
          <w:tcPr>
            <w:tcW w:w="7366" w:type="dxa"/>
            <w:noWrap/>
            <w:vAlign w:val="center"/>
          </w:tcPr>
          <w:p>
            <w:pPr>
              <w:jc w:val="center"/>
              <w:rPr>
                <w:rFonts w:hint="eastAsia" w:asciiTheme="majorEastAsia" w:hAnsiTheme="majorEastAsia" w:eastAsiaTheme="majorEastAsia" w:cstheme="majorEastAsia"/>
                <w:b/>
                <w:bCs/>
              </w:rPr>
            </w:pPr>
            <w:r>
              <w:rPr>
                <w:rFonts w:hint="eastAsia" w:asciiTheme="majorEastAsia" w:hAnsiTheme="majorEastAsia" w:eastAsiaTheme="majorEastAsia" w:cstheme="majorEastAsia"/>
                <w:b/>
                <w:bCs/>
              </w:rPr>
              <w:t>考核细则</w:t>
            </w:r>
          </w:p>
        </w:tc>
        <w:tc>
          <w:tcPr>
            <w:tcW w:w="1391" w:type="dxa"/>
            <w:noWrap/>
            <w:vAlign w:val="center"/>
          </w:tcPr>
          <w:p>
            <w:pPr>
              <w:jc w:val="center"/>
              <w:rPr>
                <w:rFonts w:hint="eastAsia" w:asciiTheme="majorEastAsia" w:hAnsiTheme="majorEastAsia" w:eastAsiaTheme="majorEastAsia" w:cstheme="majorEastAsia"/>
                <w:b/>
                <w:bCs/>
              </w:rPr>
            </w:pPr>
            <w:r>
              <w:rPr>
                <w:rFonts w:hint="eastAsia" w:asciiTheme="majorEastAsia" w:hAnsiTheme="majorEastAsia" w:eastAsiaTheme="majorEastAsia" w:cstheme="majorEastAsia"/>
                <w:b/>
                <w:bCs/>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642" w:type="dxa"/>
            <w:vMerge w:val="restart"/>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指挥中心</w:t>
            </w:r>
          </w:p>
        </w:tc>
        <w:tc>
          <w:tcPr>
            <w:tcW w:w="3012" w:type="dxa"/>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人员管理</w:t>
            </w:r>
          </w:p>
        </w:tc>
        <w:tc>
          <w:tcPr>
            <w:tcW w:w="7366"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未落实人员的培训、绩效考核、以及人员出现缺勤睡岗等其他行为。每次扣1分。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操作技能</w:t>
            </w:r>
          </w:p>
        </w:tc>
        <w:tc>
          <w:tcPr>
            <w:tcW w:w="7366"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因为安全、环保等各个模块运营不全面、不彻底或运营人员业务不熟练而导致采购方各个模块相关工作被动的。每次扣1分。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台账制度</w:t>
            </w:r>
          </w:p>
        </w:tc>
        <w:tc>
          <w:tcPr>
            <w:tcW w:w="7366"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未建立完善的平台运行管理制度，包括平台运行工作制度、日常值守制度、交接班制度等，运营团队未严格落实执行。每次扣1分。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系统维护</w:t>
            </w:r>
          </w:p>
        </w:tc>
        <w:tc>
          <w:tcPr>
            <w:tcW w:w="7366"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供货方业务范围内的系统软件、硬件等设备、设施出现故障时间超过1h，供货方处理不及时。每次扣2分。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信息录入</w:t>
            </w:r>
          </w:p>
        </w:tc>
        <w:tc>
          <w:tcPr>
            <w:tcW w:w="7366" w:type="dxa"/>
            <w:shd w:val="clear" w:color="auto" w:fill="auto"/>
            <w:noWrap/>
            <w:vAlign w:val="center"/>
          </w:tcPr>
          <w:p>
            <w:pPr>
              <w:rPr>
                <w:rFonts w:hint="eastAsia" w:asciiTheme="minorEastAsia" w:hAnsiTheme="minorEastAsia" w:eastAsiaTheme="minorEastAsia" w:cstheme="minorEastAsia"/>
              </w:rPr>
            </w:pPr>
            <w:bookmarkStart w:id="1" w:name="OLE_LINK2"/>
            <w:bookmarkStart w:id="2" w:name="OLE_LINK3"/>
            <w:r>
              <w:rPr>
                <w:rFonts w:hint="eastAsia" w:asciiTheme="minorEastAsia" w:hAnsiTheme="minorEastAsia" w:eastAsiaTheme="minorEastAsia" w:cstheme="minorEastAsia"/>
              </w:rPr>
              <w:t>智慧平台各模块信息</w:t>
            </w:r>
            <w:bookmarkStart w:id="3" w:name="OLE_LINK1"/>
            <w:r>
              <w:rPr>
                <w:rFonts w:hint="eastAsia" w:asciiTheme="minorEastAsia" w:hAnsiTheme="minorEastAsia" w:eastAsiaTheme="minorEastAsia" w:cstheme="minorEastAsia"/>
              </w:rPr>
              <w:t>(包括:生产、环保、安全应急、能耗、物流等所有模块)</w:t>
            </w:r>
            <w:bookmarkEnd w:id="1"/>
            <w:bookmarkEnd w:id="2"/>
            <w:bookmarkEnd w:id="3"/>
            <w:r>
              <w:rPr>
                <w:rFonts w:hint="eastAsia" w:asciiTheme="minorEastAsia" w:hAnsiTheme="minorEastAsia" w:eastAsiaTheme="minorEastAsia" w:cstheme="minorEastAsia"/>
              </w:rPr>
              <w:t>更新不及时、维护不全面，信息录入率&lt;90%，每次扣2分；智慧平台信息出现错误、准确率&lt;90%，或导致应急处置不当、监管决策失误的。每次扣2分。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人员接待</w:t>
            </w:r>
          </w:p>
        </w:tc>
        <w:tc>
          <w:tcPr>
            <w:tcW w:w="7366"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智慧平台运维运营时，接待参观考察组、上级部门人员,准备不足。每次扣1分。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工作汇报</w:t>
            </w:r>
          </w:p>
        </w:tc>
        <w:tc>
          <w:tcPr>
            <w:tcW w:w="7366"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日报、周报、月报、巡检报告等工作总结未按时上报，每次扣1分，连续两次不落实扣3分；或提供工作总结报告存在敷衍了事现象。每次扣1分。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交通监控</w:t>
            </w:r>
          </w:p>
        </w:tc>
        <w:tc>
          <w:tcPr>
            <w:tcW w:w="7366"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危化品车辆进入园区后，未按照规定路线进行行驶，或出现违规停车、排放危险化学品等行为，未及时发现进行提醒的现象。每次扣1分。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人员配置</w:t>
            </w:r>
          </w:p>
        </w:tc>
        <w:tc>
          <w:tcPr>
            <w:tcW w:w="7366"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未按照合同、运营方案进行人员配置超出1个月。每少一人扣2分。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其他工作</w:t>
            </w:r>
          </w:p>
        </w:tc>
        <w:tc>
          <w:tcPr>
            <w:tcW w:w="7366" w:type="dxa"/>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上级部门安排的工作相关工作，未落实。每次扣1分。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642" w:type="dxa"/>
            <w:vMerge w:val="restart"/>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异常、突发</w:t>
            </w:r>
          </w:p>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事件处理</w:t>
            </w:r>
          </w:p>
        </w:tc>
        <w:tc>
          <w:tcPr>
            <w:tcW w:w="3012" w:type="dxa"/>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应急响应</w:t>
            </w:r>
          </w:p>
        </w:tc>
        <w:tc>
          <w:tcPr>
            <w:tcW w:w="7366"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安全、环保等突发应急事件汇报不及时（超过事故发生5分钟）或信息有误，造成事态扩大。每次扣8分。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报警处理</w:t>
            </w:r>
          </w:p>
        </w:tc>
        <w:tc>
          <w:tcPr>
            <w:tcW w:w="7366"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安全、环保等各模块数据报警未按要求反馈发送、上报，进行闭环处置。每次扣2分。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信息调取</w:t>
            </w:r>
          </w:p>
        </w:tc>
        <w:tc>
          <w:tcPr>
            <w:tcW w:w="7366"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应急处置时处置程序不当，信息调取不全、不到位。每次扣2分。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数据异常</w:t>
            </w:r>
          </w:p>
        </w:tc>
        <w:tc>
          <w:tcPr>
            <w:tcW w:w="7366"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智慧平台</w:t>
            </w:r>
            <w:bookmarkStart w:id="4" w:name="OLE_LINK4"/>
            <w:bookmarkStart w:id="5" w:name="OLE_LINK5"/>
            <w:r>
              <w:rPr>
                <w:rFonts w:hint="eastAsia" w:asciiTheme="minorEastAsia" w:hAnsiTheme="minorEastAsia" w:eastAsiaTheme="minorEastAsia" w:cstheme="minorEastAsia"/>
                <w:color w:val="auto"/>
                <w:kern w:val="2"/>
              </w:rPr>
              <w:t>各模块(包括:生产、环保、安全、能耗、物流等所有模块)</w:t>
            </w:r>
            <w:bookmarkEnd w:id="4"/>
            <w:bookmarkEnd w:id="5"/>
            <w:r>
              <w:rPr>
                <w:rFonts w:hint="eastAsia" w:asciiTheme="minorEastAsia" w:hAnsiTheme="minorEastAsia" w:eastAsiaTheme="minorEastAsia" w:cstheme="minorEastAsia"/>
                <w:color w:val="auto"/>
                <w:kern w:val="2"/>
              </w:rPr>
              <w:t>数据掉线未发现、未记录、未跟踪、未督促相关人员整改。每次扣2分。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值班值守</w:t>
            </w:r>
          </w:p>
        </w:tc>
        <w:tc>
          <w:tcPr>
            <w:tcW w:w="7366"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指挥中心应急值守人员离岗，电话不畅通。每次扣1分。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漏洞维护</w:t>
            </w:r>
          </w:p>
        </w:tc>
        <w:tc>
          <w:tcPr>
            <w:tcW w:w="7366"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平台网络安全进行检查，扫描修复安全漏洞。被上级部门检查发现系统漏洞，每次扣3分。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系统检查</w:t>
            </w:r>
          </w:p>
        </w:tc>
        <w:tc>
          <w:tcPr>
            <w:tcW w:w="7366"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第三方系统异常未及时发现反馈。每次扣1分。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监控相关</w:t>
            </w:r>
          </w:p>
        </w:tc>
        <w:tc>
          <w:tcPr>
            <w:tcW w:w="7366"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盲区范围以外监控不到位、导致园区出现监控死角，对园区造成不良影响或造成刑事案件、安全生产事故的发生。每起扣5分。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1642" w:type="dxa"/>
            <w:vMerge w:val="restart"/>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auto"/>
                <w:kern w:val="2"/>
              </w:rPr>
              <w:t>基础设施运维</w:t>
            </w:r>
          </w:p>
          <w:p>
            <w:pPr>
              <w:jc w:val="center"/>
              <w:rPr>
                <w:rFonts w:hint="eastAsia" w:asciiTheme="minorEastAsia" w:hAnsiTheme="minorEastAsia" w:eastAsiaTheme="minorEastAsia" w:cstheme="minorEastAsia"/>
              </w:rPr>
            </w:pPr>
          </w:p>
        </w:tc>
        <w:tc>
          <w:tcPr>
            <w:tcW w:w="3012" w:type="dxa"/>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巡检点检</w:t>
            </w:r>
          </w:p>
        </w:tc>
        <w:tc>
          <w:tcPr>
            <w:tcW w:w="7366"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未严格按照巡检方案巡检，发现一项不符合要求扣1分，发现硬件问题未督促运维方整改。每次扣1分。硬件出现问题未及时反馈维保单位，24小时内不能修复的未及时上报相关领导，延误上报。每次扣1分。</w:t>
            </w:r>
          </w:p>
        </w:tc>
        <w:tc>
          <w:tcPr>
            <w:tcW w:w="1391" w:type="dxa"/>
            <w:noWrap/>
            <w:vAlign w:val="center"/>
          </w:tcPr>
          <w:p>
            <w:pPr>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资产核查</w:t>
            </w:r>
          </w:p>
        </w:tc>
        <w:tc>
          <w:tcPr>
            <w:tcW w:w="7366"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bookmarkStart w:id="6" w:name="OLE_LINK7"/>
            <w:bookmarkStart w:id="7" w:name="OLE_LINK6"/>
            <w:r>
              <w:rPr>
                <w:rFonts w:hint="eastAsia" w:asciiTheme="minorEastAsia" w:hAnsiTheme="minorEastAsia" w:eastAsiaTheme="minorEastAsia" w:cstheme="minorEastAsia"/>
                <w:color w:val="auto"/>
                <w:kern w:val="2"/>
              </w:rPr>
              <w:t>由于管理不善导致软件、硬件等资产发生遗失；由于保密工作落实不到位造成信息泄露，每次扣1分。</w:t>
            </w:r>
            <w:bookmarkEnd w:id="6"/>
            <w:bookmarkEnd w:id="7"/>
          </w:p>
        </w:tc>
        <w:tc>
          <w:tcPr>
            <w:tcW w:w="1391" w:type="dxa"/>
            <w:noWrap/>
            <w:vAlign w:val="center"/>
          </w:tcPr>
          <w:p>
            <w:pPr>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642" w:type="dxa"/>
            <w:vMerge w:val="continue"/>
            <w:shd w:val="clear" w:color="auto" w:fill="auto"/>
            <w:noWrap/>
            <w:vAlign w:val="center"/>
          </w:tcPr>
          <w:p>
            <w:pPr>
              <w:jc w:val="center"/>
              <w:rPr>
                <w:rFonts w:hint="eastAsia" w:asciiTheme="minorEastAsia" w:hAnsiTheme="minorEastAsia" w:eastAsiaTheme="minorEastAsia" w:cstheme="minorEastAsia"/>
              </w:rPr>
            </w:pPr>
          </w:p>
        </w:tc>
        <w:tc>
          <w:tcPr>
            <w:tcW w:w="3012" w:type="dxa"/>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平台运营管理</w:t>
            </w:r>
          </w:p>
        </w:tc>
        <w:tc>
          <w:tcPr>
            <w:tcW w:w="7366"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企业咨询相关问题未及时予以处理，或收到相关人员电话、媒体等手段举报。每次扣1分。</w:t>
            </w:r>
          </w:p>
        </w:tc>
        <w:tc>
          <w:tcPr>
            <w:tcW w:w="1391" w:type="dxa"/>
            <w:noWrap/>
            <w:vAlign w:val="center"/>
          </w:tcPr>
          <w:p>
            <w:pPr>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1642" w:type="dxa"/>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资料管理</w:t>
            </w:r>
          </w:p>
        </w:tc>
        <w:tc>
          <w:tcPr>
            <w:tcW w:w="3012" w:type="dxa"/>
            <w:shd w:val="clear" w:color="auto" w:fill="auto"/>
            <w:noWrap/>
            <w:vAlign w:val="center"/>
          </w:tcPr>
          <w:p>
            <w:pPr>
              <w:pStyle w:val="18"/>
              <w:adjustRightInd w:val="0"/>
              <w:snapToGrid w:val="0"/>
              <w:spacing w:line="240" w:lineRule="auto"/>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资料记录管理</w:t>
            </w:r>
          </w:p>
        </w:tc>
        <w:tc>
          <w:tcPr>
            <w:tcW w:w="7366" w:type="dxa"/>
            <w:shd w:val="clear" w:color="auto" w:fill="auto"/>
            <w:noWrap/>
            <w:vAlign w:val="center"/>
          </w:tcPr>
          <w:p>
            <w:pPr>
              <w:pStyle w:val="18"/>
              <w:adjustRightInd w:val="0"/>
              <w:snapToGrid w:val="0"/>
              <w:spacing w:line="240" w:lineRule="auto"/>
              <w:jc w:val="left"/>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涉及到智慧平台各模块(包括:生产、环保、安全、能耗、物流等所有模块)运营运维工作未进行台账记录，或记录不全。每项扣1分。</w:t>
            </w:r>
          </w:p>
        </w:tc>
        <w:tc>
          <w:tcPr>
            <w:tcW w:w="1391" w:type="dxa"/>
            <w:noWrap/>
            <w:vAlign w:val="center"/>
          </w:tcPr>
          <w:p>
            <w:pPr>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642" w:type="dxa"/>
            <w:vMerge w:val="restart"/>
            <w:shd w:val="clear" w:color="auto" w:fill="auto"/>
            <w:noWrap/>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加分项目</w:t>
            </w:r>
          </w:p>
        </w:tc>
        <w:tc>
          <w:tcPr>
            <w:tcW w:w="10378" w:type="dxa"/>
            <w:gridSpan w:val="2"/>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发现安全、环保事故的隐患，及时反馈并协助阻止事故发生，每次加3分。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642" w:type="dxa"/>
            <w:vMerge w:val="continue"/>
            <w:shd w:val="clear" w:color="auto" w:fill="auto"/>
            <w:noWrap/>
            <w:vAlign w:val="center"/>
          </w:tcPr>
          <w:p>
            <w:pPr>
              <w:rPr>
                <w:rFonts w:hint="eastAsia" w:asciiTheme="minorEastAsia" w:hAnsiTheme="minorEastAsia" w:eastAsiaTheme="minorEastAsia" w:cstheme="minorEastAsia"/>
              </w:rPr>
            </w:pPr>
          </w:p>
        </w:tc>
        <w:tc>
          <w:tcPr>
            <w:tcW w:w="10378" w:type="dxa"/>
            <w:gridSpan w:val="2"/>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配合赢得市级、省级、国家级荣誉，每次加2分、5分、10分。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642" w:type="dxa"/>
            <w:vMerge w:val="continue"/>
            <w:shd w:val="clear" w:color="auto" w:fill="auto"/>
            <w:noWrap/>
            <w:vAlign w:val="center"/>
          </w:tcPr>
          <w:p>
            <w:pPr>
              <w:rPr>
                <w:rFonts w:hint="eastAsia" w:asciiTheme="minorEastAsia" w:hAnsiTheme="minorEastAsia" w:eastAsiaTheme="minorEastAsia" w:cstheme="minorEastAsia"/>
              </w:rPr>
            </w:pPr>
          </w:p>
        </w:tc>
        <w:tc>
          <w:tcPr>
            <w:tcW w:w="10378" w:type="dxa"/>
            <w:gridSpan w:val="2"/>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为业务科室提供成熟的管理建议并得到采纳的，每次加3分。</w:t>
            </w:r>
          </w:p>
        </w:tc>
        <w:tc>
          <w:tcPr>
            <w:tcW w:w="139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642" w:type="dxa"/>
            <w:vMerge w:val="continue"/>
            <w:shd w:val="clear" w:color="auto" w:fill="auto"/>
            <w:noWrap/>
            <w:vAlign w:val="center"/>
          </w:tcPr>
          <w:p>
            <w:pPr>
              <w:rPr>
                <w:rFonts w:hint="eastAsia" w:asciiTheme="minorEastAsia" w:hAnsiTheme="minorEastAsia" w:eastAsiaTheme="minorEastAsia" w:cstheme="minorEastAsia"/>
              </w:rPr>
            </w:pPr>
          </w:p>
        </w:tc>
        <w:tc>
          <w:tcPr>
            <w:tcW w:w="10378" w:type="dxa"/>
            <w:gridSpan w:val="2"/>
            <w:shd w:val="clear" w:color="auto" w:fill="auto"/>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对智能化管控平台提出优化建议和解决方案，提高工作效率。通过技术手段节省了园区管理方面的时间和人力，提高工作效率，每次加3分。</w:t>
            </w:r>
          </w:p>
        </w:tc>
        <w:tc>
          <w:tcPr>
            <w:tcW w:w="1391" w:type="dxa"/>
            <w:noWrap/>
            <w:vAlign w:val="center"/>
          </w:tcPr>
          <w:p/>
        </w:tc>
      </w:tr>
    </w:tbl>
    <w:p>
      <w:pPr>
        <w:ind w:firstLine="210" w:firstLineChars="100"/>
      </w:pPr>
    </w:p>
    <w:p>
      <w:pPr>
        <w:ind w:firstLine="220" w:firstLineChars="100"/>
        <w:rPr>
          <w:rFonts w:hint="eastAsia" w:asciiTheme="minorEastAsia" w:hAnsiTheme="minorEastAsia" w:eastAsiaTheme="minorEastAsia" w:cstheme="minorEastAsia"/>
          <w:sz w:val="22"/>
        </w:rPr>
        <w:sectPr>
          <w:pgSz w:w="16840" w:h="11900" w:orient="landscape"/>
          <w:pgMar w:top="1774" w:right="1468" w:bottom="1788" w:left="1468" w:header="1040" w:footer="3" w:gutter="0"/>
          <w:pgBorders>
            <w:top w:val="none" w:sz="0" w:space="0"/>
            <w:left w:val="none" w:sz="0" w:space="0"/>
            <w:bottom w:val="none" w:sz="0" w:space="0"/>
            <w:right w:val="none" w:sz="0" w:space="0"/>
          </w:pgBorders>
          <w:cols w:space="720" w:num="1"/>
          <w:docGrid w:linePitch="360" w:charSpace="0"/>
        </w:sectPr>
      </w:pPr>
      <w:r>
        <w:rPr>
          <w:rFonts w:hint="eastAsia" w:asciiTheme="minorEastAsia" w:hAnsiTheme="minorEastAsia" w:eastAsiaTheme="minorEastAsia" w:cstheme="minorEastAsia"/>
          <w:sz w:val="22"/>
        </w:rPr>
        <w:t>考核组长签字：</w:t>
      </w:r>
    </w:p>
    <w:bookmarkEnd w:id="0"/>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2312">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幼圆">
    <w:panose1 w:val="0201050906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01298"/>
    <w:multiLevelType w:val="multilevel"/>
    <w:tmpl w:val="8E901298"/>
    <w:lvl w:ilvl="0" w:tentative="0">
      <w:start w:val="1"/>
      <w:numFmt w:val="decimal"/>
      <w:suff w:val="nothing"/>
      <w:lvlText w:val="%1．"/>
      <w:lvlJc w:val="left"/>
      <w:pPr>
        <w:ind w:left="0" w:firstLine="400"/>
      </w:pPr>
      <w:rPr>
        <w:rFonts w:hint="default"/>
      </w:rPr>
    </w:lvl>
    <w:lvl w:ilvl="1" w:tentative="0">
      <w:start w:val="1"/>
      <w:numFmt w:val="decimal"/>
      <w:lvlText w:val="(%2)"/>
      <w:lvlJc w:val="left"/>
      <w:pPr>
        <w:tabs>
          <w:tab w:val="left" w:pos="840"/>
        </w:tabs>
        <w:ind w:left="1240" w:hanging="420"/>
      </w:pPr>
      <w:rPr>
        <w:rFonts w:hint="default"/>
      </w:rPr>
    </w:lvl>
    <w:lvl w:ilvl="2" w:tentative="0">
      <w:start w:val="1"/>
      <w:numFmt w:val="decimalEnclosedCircleChinese"/>
      <w:lvlText w:val="%3"/>
      <w:lvlJc w:val="left"/>
      <w:pPr>
        <w:tabs>
          <w:tab w:val="left" w:pos="1260"/>
        </w:tabs>
        <w:ind w:left="1660" w:hanging="420"/>
      </w:pPr>
      <w:rPr>
        <w:rFonts w:hint="default"/>
      </w:rPr>
    </w:lvl>
    <w:lvl w:ilvl="3" w:tentative="0">
      <w:start w:val="1"/>
      <w:numFmt w:val="decimal"/>
      <w:lvlText w:val="%4)"/>
      <w:lvlJc w:val="left"/>
      <w:pPr>
        <w:tabs>
          <w:tab w:val="left" w:pos="1680"/>
        </w:tabs>
        <w:ind w:left="2080" w:hanging="420"/>
      </w:pPr>
      <w:rPr>
        <w:rFonts w:hint="default"/>
      </w:rPr>
    </w:lvl>
    <w:lvl w:ilvl="4" w:tentative="0">
      <w:start w:val="1"/>
      <w:numFmt w:val="lowerLetter"/>
      <w:pStyle w:val="6"/>
      <w:lvlText w:val="%5."/>
      <w:lvlJc w:val="left"/>
      <w:pPr>
        <w:tabs>
          <w:tab w:val="left" w:pos="2100"/>
        </w:tabs>
        <w:ind w:left="2500" w:hanging="420"/>
      </w:pPr>
      <w:rPr>
        <w:rFonts w:hint="default"/>
      </w:rPr>
    </w:lvl>
    <w:lvl w:ilvl="5" w:tentative="0">
      <w:start w:val="1"/>
      <w:numFmt w:val="lowerLetter"/>
      <w:lvlText w:val="%6)"/>
      <w:lvlJc w:val="left"/>
      <w:pPr>
        <w:tabs>
          <w:tab w:val="left" w:pos="2520"/>
        </w:tabs>
        <w:ind w:left="2920" w:hanging="420"/>
      </w:pPr>
      <w:rPr>
        <w:rFonts w:hint="default"/>
      </w:rPr>
    </w:lvl>
    <w:lvl w:ilvl="6" w:tentative="0">
      <w:start w:val="1"/>
      <w:numFmt w:val="lowerRoman"/>
      <w:lvlText w:val="%7."/>
      <w:lvlJc w:val="left"/>
      <w:pPr>
        <w:tabs>
          <w:tab w:val="left" w:pos="2940"/>
        </w:tabs>
        <w:ind w:left="3340" w:hanging="420"/>
      </w:pPr>
      <w:rPr>
        <w:rFonts w:hint="default"/>
      </w:rPr>
    </w:lvl>
    <w:lvl w:ilvl="7" w:tentative="0">
      <w:start w:val="1"/>
      <w:numFmt w:val="lowerRoman"/>
      <w:lvlText w:val="%8)"/>
      <w:lvlJc w:val="left"/>
      <w:pPr>
        <w:tabs>
          <w:tab w:val="left" w:pos="3360"/>
        </w:tabs>
        <w:ind w:left="3760" w:hanging="420"/>
      </w:pPr>
      <w:rPr>
        <w:rFonts w:hint="default"/>
      </w:rPr>
    </w:lvl>
    <w:lvl w:ilvl="8" w:tentative="0">
      <w:start w:val="1"/>
      <w:numFmt w:val="lowerLetter"/>
      <w:lvlText w:val="%9."/>
      <w:lvlJc w:val="left"/>
      <w:pPr>
        <w:tabs>
          <w:tab w:val="left" w:pos="3780"/>
        </w:tabs>
        <w:ind w:left="4180" w:hanging="420"/>
      </w:pPr>
      <w:rPr>
        <w:rFonts w:hint="default"/>
      </w:rPr>
    </w:lvl>
  </w:abstractNum>
  <w:abstractNum w:abstractNumId="1">
    <w:nsid w:val="5371DBD4"/>
    <w:multiLevelType w:val="multilevel"/>
    <w:tmpl w:val="5371DBD4"/>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575" w:hanging="575"/>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M0YjJjZDdmNGJjOGFkN2M3ODI2ZGJlYjNmM2M2YmIifQ=="/>
  </w:docVars>
  <w:rsids>
    <w:rsidRoot w:val="00A92C43"/>
    <w:rsid w:val="000D41C7"/>
    <w:rsid w:val="0014718D"/>
    <w:rsid w:val="0015083E"/>
    <w:rsid w:val="00185C82"/>
    <w:rsid w:val="00235C98"/>
    <w:rsid w:val="002E67F3"/>
    <w:rsid w:val="00323C57"/>
    <w:rsid w:val="00323E21"/>
    <w:rsid w:val="00324C0D"/>
    <w:rsid w:val="0036422F"/>
    <w:rsid w:val="003B5E07"/>
    <w:rsid w:val="00411D67"/>
    <w:rsid w:val="00517EA3"/>
    <w:rsid w:val="005A63F6"/>
    <w:rsid w:val="00650E94"/>
    <w:rsid w:val="00732133"/>
    <w:rsid w:val="00775357"/>
    <w:rsid w:val="007769FF"/>
    <w:rsid w:val="007E4B99"/>
    <w:rsid w:val="00805B8F"/>
    <w:rsid w:val="00811B98"/>
    <w:rsid w:val="00841A4C"/>
    <w:rsid w:val="008F7305"/>
    <w:rsid w:val="00931478"/>
    <w:rsid w:val="009D5E95"/>
    <w:rsid w:val="00A06487"/>
    <w:rsid w:val="00A24B3B"/>
    <w:rsid w:val="00A92C43"/>
    <w:rsid w:val="00AA63EB"/>
    <w:rsid w:val="00B1322B"/>
    <w:rsid w:val="00B75702"/>
    <w:rsid w:val="00BD6385"/>
    <w:rsid w:val="00D356D9"/>
    <w:rsid w:val="00D6591D"/>
    <w:rsid w:val="00E21A87"/>
    <w:rsid w:val="00E722DB"/>
    <w:rsid w:val="00E904AB"/>
    <w:rsid w:val="00E953FE"/>
    <w:rsid w:val="00EA2F28"/>
    <w:rsid w:val="00EB4228"/>
    <w:rsid w:val="00F16A40"/>
    <w:rsid w:val="00FB5FEB"/>
    <w:rsid w:val="01F14123"/>
    <w:rsid w:val="04F45324"/>
    <w:rsid w:val="07C445C6"/>
    <w:rsid w:val="09A43F8E"/>
    <w:rsid w:val="0D975D53"/>
    <w:rsid w:val="0E1B5B17"/>
    <w:rsid w:val="0F3C273A"/>
    <w:rsid w:val="13C61F27"/>
    <w:rsid w:val="148C5B51"/>
    <w:rsid w:val="18F062F7"/>
    <w:rsid w:val="19000B10"/>
    <w:rsid w:val="1B180252"/>
    <w:rsid w:val="1D542101"/>
    <w:rsid w:val="1DDF37CB"/>
    <w:rsid w:val="26657A78"/>
    <w:rsid w:val="27BC40CB"/>
    <w:rsid w:val="30AE5029"/>
    <w:rsid w:val="34CC7014"/>
    <w:rsid w:val="35C00E9A"/>
    <w:rsid w:val="362B296D"/>
    <w:rsid w:val="3BB021A5"/>
    <w:rsid w:val="3D382B00"/>
    <w:rsid w:val="3F655716"/>
    <w:rsid w:val="42F11BFD"/>
    <w:rsid w:val="44D42CD1"/>
    <w:rsid w:val="452901C3"/>
    <w:rsid w:val="473D2970"/>
    <w:rsid w:val="54D875D9"/>
    <w:rsid w:val="55367DEE"/>
    <w:rsid w:val="57F052C8"/>
    <w:rsid w:val="57F9141E"/>
    <w:rsid w:val="598514BA"/>
    <w:rsid w:val="59F74B87"/>
    <w:rsid w:val="5C9F0002"/>
    <w:rsid w:val="629D7E7C"/>
    <w:rsid w:val="62AA3BC1"/>
    <w:rsid w:val="65FF0693"/>
    <w:rsid w:val="67B5623D"/>
    <w:rsid w:val="69A55E61"/>
    <w:rsid w:val="6CE8345F"/>
    <w:rsid w:val="70423FD9"/>
    <w:rsid w:val="708906B1"/>
    <w:rsid w:val="70FA13D2"/>
    <w:rsid w:val="72606E27"/>
    <w:rsid w:val="76742AFE"/>
    <w:rsid w:val="76956DAA"/>
    <w:rsid w:val="78A02A5A"/>
    <w:rsid w:val="7A4361ED"/>
    <w:rsid w:val="7B4830CB"/>
    <w:rsid w:val="7BE17A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5"/>
    <w:qFormat/>
    <w:uiPriority w:val="0"/>
    <w:pPr>
      <w:keepNext/>
      <w:keepLines/>
      <w:numPr>
        <w:ilvl w:val="0"/>
        <w:numId w:val="1"/>
      </w:numPr>
      <w:spacing w:line="360" w:lineRule="auto"/>
      <w:outlineLvl w:val="0"/>
    </w:pPr>
    <w:rPr>
      <w:b/>
      <w:bCs/>
      <w:kern w:val="44"/>
      <w:sz w:val="30"/>
      <w:szCs w:val="30"/>
    </w:rPr>
  </w:style>
  <w:style w:type="paragraph" w:styleId="3">
    <w:name w:val="heading 2"/>
    <w:basedOn w:val="1"/>
    <w:next w:val="1"/>
    <w:link w:val="17"/>
    <w:semiHidden/>
    <w:unhideWhenUsed/>
    <w:qFormat/>
    <w:uiPriority w:val="0"/>
    <w:pPr>
      <w:keepNext/>
      <w:keepLines/>
      <w:numPr>
        <w:ilvl w:val="1"/>
        <w:numId w:val="1"/>
      </w:numPr>
      <w:spacing w:line="360" w:lineRule="auto"/>
      <w:outlineLvl w:val="1"/>
    </w:pPr>
    <w:rPr>
      <w:rFonts w:ascii="Arial" w:hAnsi="Arial"/>
      <w:b/>
      <w:sz w:val="30"/>
    </w:rPr>
  </w:style>
  <w:style w:type="paragraph" w:styleId="4">
    <w:name w:val="heading 3"/>
    <w:basedOn w:val="1"/>
    <w:next w:val="1"/>
    <w:semiHidden/>
    <w:unhideWhenUsed/>
    <w:qFormat/>
    <w:uiPriority w:val="0"/>
    <w:pPr>
      <w:keepNext/>
      <w:keepLines/>
      <w:numPr>
        <w:ilvl w:val="2"/>
        <w:numId w:val="1"/>
      </w:numPr>
      <w:spacing w:line="360" w:lineRule="auto"/>
      <w:outlineLvl w:val="2"/>
    </w:pPr>
    <w:rPr>
      <w:sz w:val="30"/>
    </w:rPr>
  </w:style>
  <w:style w:type="paragraph" w:styleId="5">
    <w:name w:val="heading 4"/>
    <w:basedOn w:val="1"/>
    <w:next w:val="1"/>
    <w:semiHidden/>
    <w:unhideWhenUsed/>
    <w:qFormat/>
    <w:uiPriority w:val="0"/>
    <w:pPr>
      <w:keepNext/>
      <w:keepLines/>
      <w:numPr>
        <w:ilvl w:val="3"/>
        <w:numId w:val="1"/>
      </w:numPr>
      <w:spacing w:line="360" w:lineRule="auto"/>
      <w:ind w:left="0" w:firstLine="0"/>
      <w:outlineLvl w:val="3"/>
    </w:pPr>
    <w:rPr>
      <w:rFonts w:ascii="Arial" w:hAnsi="Arial"/>
      <w:sz w:val="30"/>
    </w:rPr>
  </w:style>
  <w:style w:type="paragraph" w:styleId="6">
    <w:name w:val="heading 5"/>
    <w:basedOn w:val="1"/>
    <w:next w:val="1"/>
    <w:link w:val="16"/>
    <w:semiHidden/>
    <w:unhideWhenUsed/>
    <w:qFormat/>
    <w:uiPriority w:val="0"/>
    <w:pPr>
      <w:keepNext/>
      <w:keepLines/>
      <w:numPr>
        <w:ilvl w:val="4"/>
        <w:numId w:val="2"/>
      </w:numPr>
      <w:tabs>
        <w:tab w:val="left" w:pos="0"/>
        <w:tab w:val="left" w:pos="420"/>
        <w:tab w:val="clear" w:pos="2100"/>
      </w:tabs>
      <w:spacing w:line="360" w:lineRule="auto"/>
      <w:ind w:left="0" w:firstLine="0"/>
      <w:outlineLvl w:val="4"/>
    </w:pPr>
    <w:rPr>
      <w:rFonts w:ascii="宋体" w:hAnsi="宋体"/>
      <w:sz w:val="24"/>
      <w:szCs w:val="22"/>
    </w:rPr>
  </w:style>
  <w:style w:type="paragraph" w:styleId="7">
    <w:name w:val="heading 6"/>
    <w:basedOn w:val="1"/>
    <w:next w:val="1"/>
    <w:semiHidden/>
    <w:unhideWhenUsed/>
    <w:qFormat/>
    <w:uiPriority w:val="0"/>
    <w:pPr>
      <w:keepNext/>
      <w:keepLines/>
      <w:numPr>
        <w:ilvl w:val="5"/>
        <w:numId w:val="1"/>
      </w:numPr>
      <w:spacing w:line="317" w:lineRule="auto"/>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line="317" w:lineRule="auto"/>
      <w:outlineLvl w:val="6"/>
    </w:pPr>
    <w:rPr>
      <w:b/>
      <w:sz w:val="24"/>
    </w:rPr>
  </w:style>
  <w:style w:type="paragraph" w:styleId="9">
    <w:name w:val="heading 8"/>
    <w:basedOn w:val="1"/>
    <w:next w:val="1"/>
    <w:semiHidden/>
    <w:unhideWhenUsed/>
    <w:qFormat/>
    <w:uiPriority w:val="0"/>
    <w:pPr>
      <w:keepNext/>
      <w:keepLines/>
      <w:numPr>
        <w:ilvl w:val="7"/>
        <w:numId w:val="1"/>
      </w:numPr>
      <w:spacing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line="317" w:lineRule="auto"/>
      <w:outlineLvl w:val="8"/>
    </w:pPr>
    <w:rPr>
      <w:rFonts w:ascii="Arial" w:hAnsi="Arial" w:eastAsia="黑体"/>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1">
    <w:name w:val="Body Text"/>
    <w:basedOn w:val="1"/>
    <w:next w:val="1"/>
    <w:qFormat/>
    <w:uiPriority w:val="0"/>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标题 1 Char"/>
    <w:link w:val="2"/>
    <w:qFormat/>
    <w:uiPriority w:val="0"/>
    <w:rPr>
      <w:rFonts w:ascii="Times New Roman" w:hAnsi="Times New Roman" w:eastAsia="仿宋" w:cs="Times New Roman"/>
      <w:b/>
      <w:bCs/>
      <w:kern w:val="44"/>
      <w:sz w:val="30"/>
      <w:szCs w:val="30"/>
    </w:rPr>
  </w:style>
  <w:style w:type="character" w:customStyle="1" w:styleId="16">
    <w:name w:val="标题 5 Char"/>
    <w:link w:val="6"/>
    <w:qFormat/>
    <w:uiPriority w:val="0"/>
    <w:rPr>
      <w:rFonts w:ascii="宋体" w:hAnsi="宋体" w:eastAsia="宋体" w:cs="Times New Roman"/>
      <w:b/>
      <w:sz w:val="24"/>
      <w:szCs w:val="22"/>
    </w:rPr>
  </w:style>
  <w:style w:type="character" w:customStyle="1" w:styleId="17">
    <w:name w:val="标题 2 Char"/>
    <w:link w:val="3"/>
    <w:qFormat/>
    <w:uiPriority w:val="0"/>
    <w:rPr>
      <w:rFonts w:ascii="Arial" w:hAnsi="Arial" w:eastAsia="仿宋"/>
      <w:b/>
      <w:sz w:val="30"/>
    </w:rPr>
  </w:style>
  <w:style w:type="paragraph" w:customStyle="1" w:styleId="18">
    <w:name w:val="样式1"/>
    <w:basedOn w:val="1"/>
    <w:qFormat/>
    <w:uiPriority w:val="0"/>
    <w:pPr>
      <w:widowControl/>
      <w:spacing w:line="580" w:lineRule="exact"/>
      <w:jc w:val="center"/>
      <w:textAlignment w:val="center"/>
    </w:pPr>
    <w:rPr>
      <w:rFonts w:hint="eastAsia" w:eastAsia="方正仿宋简体"/>
      <w:color w:val="000000"/>
      <w:kern w:val="0"/>
    </w:rPr>
  </w:style>
  <w:style w:type="paragraph" w:styleId="19">
    <w:name w:val="List Paragraph"/>
    <w:basedOn w:val="1"/>
    <w:autoRedefine/>
    <w:qFormat/>
    <w:uiPriority w:val="1"/>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1973</Words>
  <Characters>1996</Characters>
  <Lines>15</Lines>
  <Paragraphs>4</Paragraphs>
  <TotalTime>185</TotalTime>
  <ScaleCrop>false</ScaleCrop>
  <LinksUpToDate>false</LinksUpToDate>
  <CharactersWithSpaces>2056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2023-06-15T09:51:00Z</dcterms:created>
  <dc:creator>86159</dc:creator>
  <cp:lastModifiedBy>亮" "</cp:lastModifiedBy>
  <dcterms:modified xsi:type="dcterms:W3CDTF">2025-03-29T09:15:20Z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1C386BB32A4A49C3B964A6637819FACD_13</vt:lpwstr>
  </property>
  <property fmtid="{D5CDD505-2E9C-101B-9397-08002B2CF9AE}" pid="4" name="KSOTemplateDocerSaveRecord">
    <vt:lpwstr>eyJoZGlkIjoiYzZmNGQ4YmE2ZjIzMDQ0MjE5MjUzODFjNjI4MjA5YmEiLCJ1c2VySWQiOiIzNzQ3NzcwNTAifQ==</vt:lpwstr>
  </property>
</Properties>
</file>