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0"/>
          <w:szCs w:val="28"/>
        </w:rPr>
      </w:pPr>
      <w:r>
        <w:rPr>
          <w:rFonts w:hint="eastAsia" w:asciiTheme="majorEastAsia" w:hAnsiTheme="majorEastAsia" w:eastAsiaTheme="majorEastAsia" w:cstheme="majorEastAsia"/>
          <w:b/>
          <w:bCs/>
          <w:sz w:val="40"/>
          <w:szCs w:val="28"/>
        </w:rPr>
        <w:t>鄂尔多斯达拉特经济开发区应急管理办公室</w:t>
      </w:r>
    </w:p>
    <w:p>
      <w:pPr>
        <w:jc w:val="center"/>
        <w:rPr>
          <w:rFonts w:hint="eastAsia" w:asciiTheme="majorEastAsia" w:hAnsiTheme="majorEastAsia" w:eastAsiaTheme="majorEastAsia" w:cstheme="majorEastAsia"/>
          <w:b/>
          <w:bCs/>
          <w:spacing w:val="-20"/>
          <w:sz w:val="28"/>
          <w:szCs w:val="28"/>
        </w:rPr>
      </w:pPr>
      <w:r>
        <w:rPr>
          <w:rFonts w:hint="eastAsia" w:asciiTheme="majorEastAsia" w:hAnsiTheme="majorEastAsia" w:eastAsiaTheme="majorEastAsia" w:cstheme="majorEastAsia"/>
          <w:b/>
          <w:bCs/>
          <w:spacing w:val="-20"/>
          <w:sz w:val="40"/>
          <w:szCs w:val="28"/>
        </w:rPr>
        <w:t>园区封闭化、交通管理运维服务考核方案</w:t>
      </w:r>
    </w:p>
    <w:p/>
    <w:p>
      <w:pPr>
        <w:pStyle w:val="11"/>
        <w:spacing w:line="560" w:lineRule="exact"/>
        <w:ind w:firstLine="560" w:firstLineChars="200"/>
        <w:rPr>
          <w:rFonts w:ascii="方正仿宋_GB2312" w:hAnsi="方正仿宋_GB2312" w:eastAsia="方正仿宋_GB2312" w:cs="方正仿宋_GB2312"/>
          <w:color w:val="0000FF"/>
          <w:sz w:val="28"/>
          <w:szCs w:val="28"/>
        </w:rPr>
      </w:pPr>
      <w:r>
        <w:rPr>
          <w:rFonts w:hint="eastAsia" w:asciiTheme="minorEastAsia" w:hAnsiTheme="minorEastAsia" w:eastAsiaTheme="minorEastAsia" w:cstheme="minorEastAsia"/>
          <w:sz w:val="28"/>
          <w:szCs w:val="28"/>
        </w:rPr>
        <w:t>为更好的履行</w:t>
      </w:r>
      <w:r>
        <w:rPr>
          <w:rFonts w:hint="eastAsia" w:asciiTheme="minorEastAsia" w:hAnsiTheme="minorEastAsia" w:eastAsiaTheme="minorEastAsia" w:cstheme="minorEastAsia"/>
          <w:sz w:val="28"/>
          <w:szCs w:val="28"/>
          <w:lang w:val="zh-CN"/>
        </w:rPr>
        <w:t>“</w:t>
      </w:r>
      <w:r>
        <w:rPr>
          <w:rFonts w:hint="eastAsia" w:asciiTheme="minorEastAsia" w:hAnsiTheme="minorEastAsia" w:eastAsiaTheme="minorEastAsia" w:cstheme="minorEastAsia"/>
          <w:sz w:val="28"/>
          <w:szCs w:val="28"/>
        </w:rPr>
        <w:t>鄂尔多斯达拉特经济开发区达拉特产业园重大安全风险防控项目”中相关要求，在合同（包</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合同书）服务期内，采购方有权对供货方所派出的工作人员进行日常监督、管理，并且采购方定期对供应商的服务效果进行评价打分。</w:t>
      </w:r>
    </w:p>
    <w:p>
      <w:pPr>
        <w:pStyle w:val="11"/>
        <w:spacing w:line="560" w:lineRule="exact"/>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一、考核小组</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成立运营运维考核小组，应急管理办公室主任担任考核组组长，分管智慧平台工作的副主任担任副组长，各相关科室负责人为考核小组成员，考核小组负责对运营运维单位进行日常考核。</w:t>
      </w:r>
    </w:p>
    <w:p>
      <w:pPr>
        <w:pStyle w:val="11"/>
        <w:spacing w:line="560" w:lineRule="exact"/>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二、考核方式</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考核小组对运维单位每季度不定期线下就运维工作开展情况进行检查、考核，并对考核结果进行记录。</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每季度考核小组根据评分明细表对运维单位的各项服务内容进行评价打分，汇总并得出最终得分。</w:t>
      </w:r>
    </w:p>
    <w:p>
      <w:pPr>
        <w:pStyle w:val="11"/>
        <w:numPr>
          <w:ilvl w:val="0"/>
          <w:numId w:val="3"/>
        </w:numPr>
        <w:spacing w:line="560" w:lineRule="exact"/>
        <w:ind w:firstLine="562"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b/>
          <w:bCs/>
          <w:sz w:val="28"/>
          <w:szCs w:val="28"/>
        </w:rPr>
        <w:t>考核频次</w:t>
      </w:r>
    </w:p>
    <w:p>
      <w:pPr>
        <w:pStyle w:val="11"/>
        <w:numPr>
          <w:ilvl w:val="0"/>
          <w:numId w:val="0"/>
        </w:numPr>
        <w:spacing w:line="560" w:lineRule="exact"/>
        <w:ind w:firstLine="56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z w:val="28"/>
          <w:szCs w:val="28"/>
        </w:rPr>
        <w:t>每季度1次，全年累计4次考核。</w:t>
      </w:r>
    </w:p>
    <w:p>
      <w:pPr>
        <w:spacing w:line="560" w:lineRule="exact"/>
        <w:ind w:left="420" w:leftChars="200" w:firstLine="141" w:firstLineChars="50"/>
        <w:rPr>
          <w:rFonts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四、考核标准</w:t>
      </w:r>
    </w:p>
    <w:p>
      <w:pPr>
        <w:adjustRightInd w:val="0"/>
        <w:snapToGrid w:val="0"/>
        <w:spacing w:line="56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根据得分情况将考核结果划分为三个级别:优秀＞90分、90分≥良好≥85分、不合格＜85。</w:t>
      </w:r>
    </w:p>
    <w:p>
      <w:pPr>
        <w:bidi w:val="0"/>
        <w:rPr>
          <w:rFonts w:hint="eastAsia"/>
        </w:rPr>
      </w:pPr>
    </w:p>
    <w:p>
      <w:pPr>
        <w:rPr>
          <w:rFonts w:hint="eastAsia" w:asciiTheme="minorEastAsia" w:hAnsiTheme="minorEastAsia" w:eastAsiaTheme="minorEastAsia" w:cstheme="minorEastAsia"/>
          <w:sz w:val="28"/>
          <w:szCs w:val="28"/>
        </w:rPr>
      </w:pPr>
    </w:p>
    <w:p>
      <w:pPr>
        <w:bidi w:val="0"/>
        <w:rPr>
          <w:rFonts w:hint="eastAsia"/>
        </w:rPr>
      </w:pPr>
    </w:p>
    <w:p>
      <w:pPr>
        <w:pStyle w:val="2"/>
        <w:numPr>
          <w:numId w:val="0"/>
        </w:numPr>
        <w:ind w:leftChars="0"/>
        <w:rPr>
          <w:rFonts w:hint="eastAsia"/>
        </w:rPr>
      </w:pPr>
      <w:bookmarkStart w:id="0" w:name="_GoBack"/>
      <w:bookmarkEnd w:id="0"/>
    </w:p>
    <w:p>
      <w:pPr>
        <w:bidi w:val="0"/>
        <w:rPr>
          <w:rFonts w:hint="eastAsia"/>
        </w:rPr>
      </w:pPr>
    </w:p>
    <w:tbl>
      <w:tblPr>
        <w:tblStyle w:val="13"/>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2"/>
        <w:gridCol w:w="2273"/>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840" w:firstLineChars="3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季度考核分数</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280" w:firstLineChars="1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考核级别</w:t>
            </w:r>
          </w:p>
        </w:tc>
        <w:tc>
          <w:tcPr>
            <w:tcW w:w="2744"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280" w:firstLineChars="1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季度费用支付比例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560" w:firstLineChars="2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90（含）以上</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优秀</w:t>
            </w:r>
          </w:p>
        </w:tc>
        <w:tc>
          <w:tcPr>
            <w:tcW w:w="2744" w:type="dxa"/>
            <w:vMerge w:val="restart"/>
            <w:tcBorders>
              <w:top w:val="single" w:color="auto" w:sz="4" w:space="0"/>
              <w:left w:val="single" w:color="auto" w:sz="4" w:space="0"/>
              <w:right w:val="single" w:color="auto" w:sz="4" w:space="0"/>
            </w:tcBorders>
            <w:shd w:val="clear" w:color="auto" w:fill="auto"/>
            <w:vAlign w:val="center"/>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560" w:firstLineChars="2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85（含）至90分（含）</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合格</w:t>
            </w:r>
          </w:p>
        </w:tc>
        <w:tc>
          <w:tcPr>
            <w:tcW w:w="2744" w:type="dxa"/>
            <w:vMerge w:val="continue"/>
            <w:tcBorders>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ascii="方正仿宋_GB2312" w:hAnsi="方正仿宋_GB2312" w:eastAsia="方正仿宋_GB2312" w:cs="方正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ind w:firstLine="560" w:firstLineChars="200"/>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85分（不含）以下</w:t>
            </w:r>
          </w:p>
        </w:tc>
        <w:tc>
          <w:tcPr>
            <w:tcW w:w="22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不合格</w:t>
            </w:r>
          </w:p>
        </w:tc>
        <w:tc>
          <w:tcPr>
            <w:tcW w:w="2744"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每少一分，扣年度运维费用的1%。</w:t>
            </w:r>
          </w:p>
        </w:tc>
      </w:tr>
    </w:tbl>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运维服务季度考核不合格，采购方有权扣除相应比例的服务费用,并提出改善意见,或要求供应商更换相关运维人员,若连续2个季度考核结果均为不合格，则采购方有权将服务费用扣除比例由1%增加至2%。（因运营工作出现失误造成不良影响的，由采购方进行评估扣款）</w:t>
      </w:r>
    </w:p>
    <w:p>
      <w:pPr>
        <w:pStyle w:val="11"/>
        <w:spacing w:line="560" w:lineRule="exact"/>
        <w:ind w:firstLine="482" w:firstLineChars="200"/>
        <w:rPr>
          <w:rFonts w:ascii="宋体" w:hAnsi="宋体" w:cs="宋体"/>
          <w:b/>
          <w:bCs/>
          <w:sz w:val="24"/>
        </w:rPr>
      </w:pPr>
    </w:p>
    <w:p>
      <w:pPr>
        <w:pStyle w:val="11"/>
        <w:spacing w:line="360" w:lineRule="auto"/>
        <w:rPr>
          <w:rFonts w:ascii="宋体" w:hAnsi="宋体" w:cs="宋体"/>
          <w:sz w:val="24"/>
        </w:rPr>
        <w:sectPr>
          <w:pgSz w:w="11906" w:h="16838"/>
          <w:pgMar w:top="1440" w:right="1803" w:bottom="1440" w:left="1803" w:header="851" w:footer="992" w:gutter="0"/>
          <w:cols w:space="720" w:num="1"/>
          <w:docGrid w:type="lines" w:linePitch="325" w:charSpace="0"/>
        </w:sectPr>
      </w:pPr>
    </w:p>
    <w:p>
      <w:pPr>
        <w:pStyle w:val="11"/>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附件：园区封闭化、交通运营运维考核表</w:t>
      </w:r>
    </w:p>
    <w:p>
      <w:pPr>
        <w:spacing w:afterLines="100"/>
        <w:jc w:val="center"/>
        <w:rPr>
          <w:rFonts w:hint="eastAsia" w:asciiTheme="majorEastAsia" w:hAnsiTheme="majorEastAsia" w:eastAsiaTheme="majorEastAsia" w:cstheme="majorEastAsia"/>
          <w:sz w:val="28"/>
          <w:szCs w:val="22"/>
        </w:rPr>
      </w:pPr>
      <w:r>
        <w:rPr>
          <w:rFonts w:hint="eastAsia" w:asciiTheme="majorEastAsia" w:hAnsiTheme="majorEastAsia" w:eastAsiaTheme="majorEastAsia" w:cstheme="majorEastAsia"/>
          <w:sz w:val="48"/>
          <w:szCs w:val="22"/>
        </w:rPr>
        <w:t>园区封闭化、交通等运营运维考核表</w:t>
      </w:r>
    </w:p>
    <w:p>
      <w:pPr>
        <w:ind w:firstLine="280" w:firstLineChars="100"/>
        <w:jc w:val="left"/>
        <w:rPr>
          <w:rFonts w:ascii="宋体" w:hAnsi="宋体" w:cs="宋体"/>
          <w:b w:val="0"/>
          <w:bCs w:val="0"/>
          <w:sz w:val="28"/>
          <w:szCs w:val="22"/>
        </w:rPr>
      </w:pPr>
      <w:r>
        <w:rPr>
          <w:rFonts w:hint="eastAsia" w:asciiTheme="majorEastAsia" w:hAnsiTheme="majorEastAsia" w:eastAsiaTheme="majorEastAsia" w:cstheme="majorEastAsia"/>
          <w:b w:val="0"/>
          <w:bCs w:val="0"/>
          <w:sz w:val="28"/>
          <w:szCs w:val="22"/>
        </w:rPr>
        <w:t>考核单位名称：                                                           考核时间：</w:t>
      </w:r>
    </w:p>
    <w:p/>
    <w:tbl>
      <w:tblPr>
        <w:tblStyle w:val="12"/>
        <w:tblW w:w="13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2710"/>
        <w:gridCol w:w="7773"/>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537" w:type="dxa"/>
            <w:noWrap/>
            <w:vAlign w:val="center"/>
          </w:tcPr>
          <w:p>
            <w:pPr>
              <w:jc w:val="center"/>
              <w:rPr>
                <w:b/>
                <w:bCs/>
                <w:sz w:val="24"/>
                <w:szCs w:val="24"/>
              </w:rPr>
            </w:pPr>
            <w:r>
              <w:rPr>
                <w:rFonts w:hint="eastAsia"/>
                <w:b/>
                <w:bCs/>
                <w:sz w:val="24"/>
                <w:szCs w:val="24"/>
              </w:rPr>
              <w:t>项目</w:t>
            </w:r>
          </w:p>
        </w:tc>
        <w:tc>
          <w:tcPr>
            <w:tcW w:w="2710" w:type="dxa"/>
            <w:noWrap/>
            <w:vAlign w:val="center"/>
          </w:tcPr>
          <w:p>
            <w:pPr>
              <w:jc w:val="center"/>
              <w:rPr>
                <w:b/>
                <w:bCs/>
                <w:sz w:val="24"/>
                <w:szCs w:val="24"/>
              </w:rPr>
            </w:pPr>
            <w:r>
              <w:rPr>
                <w:rFonts w:hint="eastAsia"/>
                <w:b/>
                <w:bCs/>
                <w:sz w:val="24"/>
                <w:szCs w:val="24"/>
              </w:rPr>
              <w:t>内容</w:t>
            </w:r>
          </w:p>
        </w:tc>
        <w:tc>
          <w:tcPr>
            <w:tcW w:w="7773" w:type="dxa"/>
            <w:noWrap/>
            <w:vAlign w:val="center"/>
          </w:tcPr>
          <w:p>
            <w:pPr>
              <w:jc w:val="center"/>
              <w:rPr>
                <w:b/>
                <w:bCs/>
                <w:sz w:val="24"/>
                <w:szCs w:val="24"/>
              </w:rPr>
            </w:pPr>
            <w:r>
              <w:rPr>
                <w:rFonts w:hint="eastAsia"/>
                <w:b/>
                <w:bCs/>
                <w:sz w:val="24"/>
                <w:szCs w:val="24"/>
              </w:rPr>
              <w:t>考核细则</w:t>
            </w:r>
          </w:p>
        </w:tc>
        <w:tc>
          <w:tcPr>
            <w:tcW w:w="1391" w:type="dxa"/>
            <w:noWrap/>
            <w:vAlign w:val="center"/>
          </w:tcPr>
          <w:p>
            <w:pPr>
              <w:jc w:val="center"/>
              <w:rPr>
                <w:b/>
                <w:bCs/>
                <w:sz w:val="24"/>
                <w:szCs w:val="24"/>
              </w:rPr>
            </w:pPr>
            <w:r>
              <w:rPr>
                <w:rFonts w:hint="eastAsia"/>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537"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安全管理</w:t>
            </w:r>
          </w:p>
        </w:tc>
        <w:tc>
          <w:tcPr>
            <w:tcW w:w="2710"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出入管理</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未严格执行出入预约、登记审核制度，外来车辆未进行仔细审核，导致不符合规定的车辆进入园区，每次扣2分。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进入园区危化品车辆存在安全隐患，未进行车辆和人员的检查，给园区安全生产造成影响，每次扣2分。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进入园区的危化品车辆及其他异常车辆的行驶轨迹、视频，无法有效调取，导致调查、取证出现障碍，每次扣1分。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noWrap/>
            <w:vAlign w:val="center"/>
          </w:tcPr>
          <w:p>
            <w:pPr>
              <w:jc w:val="center"/>
              <w:rPr>
                <w:rFonts w:hint="eastAsia" w:asciiTheme="minorEastAsia" w:hAnsiTheme="minorEastAsia" w:eastAsiaTheme="minorEastAsia" w:cstheme="minorEastAsia"/>
              </w:rPr>
            </w:pP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封闭道闸由于运营、管理不善，造成交通拥堵、交通不畅，拥堵时间超过10min；或受到他人关于园区交通出入管理不畅的举报电话，每次扣1分。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未经过上级部门批准、审核，私自放行危化品车辆、工程施工、特种设备机动车辆等其他动力车辆，系统无记录等行为，每次扣2分。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其他影响到园区车辆出入的因素，造成恶劣影响后果的情形，每次扣2分。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硬件管理</w:t>
            </w: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道闸、分流导向带、岗亭、封闭化围栏等封闭化管理设施损坏，长时间搁置超过15天，未进行报备，未进行维护修理，影响到园区车辆的出入或园区形象。每次扣1分。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p>
        </w:tc>
        <w:tc>
          <w:tcPr>
            <w:tcW w:w="7773"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电子眼、红绿灯、人行道行人指示信号等交通设备出现故障，导致园区管理出现不畅。每次扣1分。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p>
        </w:tc>
        <w:tc>
          <w:tcPr>
            <w:tcW w:w="7773"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园区交通出现异常，十字路口交通出现混乱，时间超过1h，或造成交通事故等异常状况，损坏园区形象、影响安全生产。每次扣2分。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系统故障处理不及时，软硬件设备未及时修复，信息更新不及时等其他硬件的相关问题。每次扣2分。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企业数采仪、硬盘录像机、大范围速扫等合同范围内相关的硬件设施出现故障超过7天，不向上级单位报备、设备维护不及时，导致数据传输等出现故障</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巡逻和监控</w:t>
            </w: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安保人员未有效落实巡逻相关规定，未进行巡逻记录</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突发事件处置</w:t>
            </w: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道闸路口的危化品等车辆出现跑、冒、滴、漏等异常情况，未及时进行管理和上报</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突发事件处置不当，视情节严重程度进行</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537"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人员管理和培训</w:t>
            </w:r>
          </w:p>
        </w:tc>
        <w:tc>
          <w:tcPr>
            <w:tcW w:w="2710"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管理制度</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未建立运行管理制度</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运营工作制度、日常值守制度、交接班制度等，或运营团队未严格落实执行</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道闸安保人员、维护人员、巡逻人员行为不规范，不文明礼貌；或与他人出现争吵、推搡、打架斗殴等事件</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pStyle w:val="20"/>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道闸安保人员年龄须在50周岁及以下，年龄不符合者。每次扣1分。</w:t>
            </w:r>
          </w:p>
        </w:tc>
        <w:tc>
          <w:tcPr>
            <w:tcW w:w="1391" w:type="dxa"/>
            <w:noWrap/>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noWrap/>
            <w:vAlign w:val="center"/>
          </w:tcPr>
          <w:p>
            <w:pPr>
              <w:jc w:val="center"/>
              <w:rPr>
                <w:rFonts w:hint="eastAsia" w:asciiTheme="minorEastAsia" w:hAnsiTheme="minorEastAsia" w:eastAsiaTheme="minorEastAsia" w:cstheme="minorEastAsia"/>
              </w:rPr>
            </w:pPr>
          </w:p>
        </w:tc>
        <w:tc>
          <w:tcPr>
            <w:tcW w:w="7773" w:type="dxa"/>
            <w:shd w:val="clear" w:color="auto" w:fill="auto"/>
            <w:noWrap/>
            <w:vAlign w:val="center"/>
          </w:tcPr>
          <w:p>
            <w:pPr>
              <w:pStyle w:val="20"/>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道闸安保人员、维护人员、巡逻人员</w:t>
            </w:r>
            <w:r>
              <w:rPr>
                <w:rFonts w:hint="eastAsia" w:asciiTheme="minorEastAsia" w:hAnsiTheme="minorEastAsia" w:eastAsiaTheme="minorEastAsia" w:cstheme="minorEastAsia"/>
                <w:kern w:val="2"/>
                <w:sz w:val="21"/>
                <w:szCs w:val="21"/>
                <w:lang w:val="en-US" w:eastAsia="zh-CN" w:bidi="ar-SA"/>
              </w:rPr>
              <w:t>应按要求统一着装，</w:t>
            </w:r>
            <w:r>
              <w:rPr>
                <w:rFonts w:hint="eastAsia" w:asciiTheme="minorEastAsia" w:hAnsiTheme="minorEastAsia" w:eastAsiaTheme="minorEastAsia" w:cstheme="minorEastAsia"/>
              </w:rPr>
              <w:t>未按照规定要求着装</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w:t>
            </w: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rPr>
              <w:t>分。</w:t>
            </w:r>
            <w:r>
              <w:rPr>
                <w:rFonts w:hint="eastAsia" w:asciiTheme="minorEastAsia" w:hAnsiTheme="minorEastAsia" w:eastAsiaTheme="minorEastAsia" w:cstheme="minorEastAsia"/>
                <w:kern w:val="2"/>
                <w:sz w:val="21"/>
                <w:szCs w:val="21"/>
                <w:lang w:val="en-US" w:eastAsia="zh-CN" w:bidi="ar-SA"/>
              </w:rPr>
              <w:t xml:space="preserve">   </w:t>
            </w:r>
            <w:r>
              <w:rPr>
                <w:rFonts w:hint="eastAsia" w:asciiTheme="minorEastAsia" w:hAnsiTheme="minorEastAsia" w:eastAsiaTheme="minorEastAsia" w:cstheme="minorEastAsia"/>
                <w:sz w:val="24"/>
                <w:szCs w:val="24"/>
              </w:rPr>
              <w:t xml:space="preserve">            </w:t>
            </w:r>
          </w:p>
        </w:tc>
        <w:tc>
          <w:tcPr>
            <w:tcW w:w="1391" w:type="dxa"/>
            <w:noWrap/>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应急值守</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未落实人员的绩效考核制度、工作人员出现缺勤、脱岗等其他行为</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培训考核</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未定期对道闸安保人员、维护人员、巡逻人员等其他人员进行培训和考核，人员业务水平、应急管理能力不能达到园区封闭化管理要求，或培训了未进行台账记录</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人员配置</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未按照合同、运营方案进行人员配置超出15天</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每少一人扣2分。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537"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资料管理</w:t>
            </w:r>
          </w:p>
        </w:tc>
        <w:tc>
          <w:tcPr>
            <w:tcW w:w="2710" w:type="dxa"/>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工作汇报总结</w:t>
            </w: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工作汇报未按时上报，每次扣2分。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restart"/>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资料记录管理</w:t>
            </w:r>
          </w:p>
        </w:tc>
        <w:tc>
          <w:tcPr>
            <w:tcW w:w="7773" w:type="dxa"/>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日报、周报、月报、巡检报告等工作总结未按时上报，每次扣1分，连续两次不落实扣3分；或提供工作总结报告存在敷衍了事现象，每次扣1分。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37" w:type="dxa"/>
            <w:vMerge w:val="continue"/>
            <w:noWrap/>
            <w:vAlign w:val="center"/>
          </w:tcPr>
          <w:p>
            <w:pPr>
              <w:jc w:val="center"/>
              <w:rPr>
                <w:rFonts w:hint="eastAsia" w:asciiTheme="minorEastAsia" w:hAnsiTheme="minorEastAsia" w:eastAsiaTheme="minorEastAsia" w:cstheme="minorEastAsia"/>
              </w:rPr>
            </w:pPr>
          </w:p>
        </w:tc>
        <w:tc>
          <w:tcPr>
            <w:tcW w:w="2710" w:type="dxa"/>
            <w:vMerge w:val="continue"/>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p>
        </w:tc>
        <w:tc>
          <w:tcPr>
            <w:tcW w:w="7773"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对各项管理记录、巡查记录等资料未进行妥善保存，未备查。</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537"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内外部管理</w:t>
            </w:r>
          </w:p>
        </w:tc>
        <w:tc>
          <w:tcPr>
            <w:tcW w:w="2710"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内部管理</w:t>
            </w:r>
          </w:p>
        </w:tc>
        <w:tc>
          <w:tcPr>
            <w:tcW w:w="7773"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内部不协调或存在矛盾，各项工作不能顺利进行，或者影响到园区封闭化管理，或安全生产。每次扣1分。</w:t>
            </w:r>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537"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2710"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对外管理</w:t>
            </w:r>
          </w:p>
        </w:tc>
        <w:tc>
          <w:tcPr>
            <w:tcW w:w="7773"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未完成上级部门安排的任务，或者工作，或其他相关的工作未有效的落实和执行。每次扣2分</w:t>
            </w:r>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537" w:type="dxa"/>
            <w:vMerge w:val="restart"/>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加分项目</w:t>
            </w:r>
          </w:p>
        </w:tc>
        <w:tc>
          <w:tcPr>
            <w:tcW w:w="10483" w:type="dxa"/>
            <w:gridSpan w:val="2"/>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发现安全、环保事故的隐患，及时反馈并协助阻止事故发生，每次加3分。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537" w:type="dxa"/>
            <w:vMerge w:val="continue"/>
            <w:noWrap/>
            <w:vAlign w:val="center"/>
          </w:tcPr>
          <w:p>
            <w:pPr>
              <w:rPr>
                <w:rFonts w:hint="eastAsia" w:asciiTheme="minorEastAsia" w:hAnsiTheme="minorEastAsia" w:eastAsiaTheme="minorEastAsia" w:cstheme="minorEastAsia"/>
              </w:rPr>
            </w:pPr>
          </w:p>
        </w:tc>
        <w:tc>
          <w:tcPr>
            <w:tcW w:w="10483" w:type="dxa"/>
            <w:gridSpan w:val="2"/>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配合赢得市级、省级、国家级荣誉，每次加2分、5分、10分。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37" w:type="dxa"/>
            <w:vMerge w:val="continue"/>
            <w:noWrap/>
            <w:vAlign w:val="center"/>
          </w:tcPr>
          <w:p>
            <w:pPr>
              <w:rPr>
                <w:rFonts w:hint="eastAsia" w:asciiTheme="minorEastAsia" w:hAnsiTheme="minorEastAsia" w:eastAsiaTheme="minorEastAsia" w:cstheme="minorEastAsia"/>
              </w:rPr>
            </w:pPr>
          </w:p>
        </w:tc>
        <w:tc>
          <w:tcPr>
            <w:tcW w:w="10483" w:type="dxa"/>
            <w:gridSpan w:val="2"/>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为业务科室提供成熟的管理建议并得到采纳的，每次加3分。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537" w:type="dxa"/>
            <w:vMerge w:val="continue"/>
            <w:noWrap/>
            <w:vAlign w:val="center"/>
          </w:tcPr>
          <w:p>
            <w:pPr>
              <w:rPr>
                <w:rFonts w:hint="eastAsia" w:asciiTheme="minorEastAsia" w:hAnsiTheme="minorEastAsia" w:eastAsiaTheme="minorEastAsia" w:cstheme="minorEastAsia"/>
              </w:rPr>
            </w:pPr>
          </w:p>
        </w:tc>
        <w:tc>
          <w:tcPr>
            <w:tcW w:w="10483" w:type="dxa"/>
            <w:gridSpan w:val="2"/>
            <w:shd w:val="clear" w:color="auto" w:fill="auto"/>
            <w:noWrap/>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rPr>
              <w:t>对园区封闭化、交通等管理提出优化建议和解决方案，提高工作效率。通过技术手段节省了园区封闭化管理方面的时间和人力，提高工作效率，每次加3分。</w:t>
            </w:r>
          </w:p>
        </w:tc>
        <w:tc>
          <w:tcPr>
            <w:tcW w:w="1391" w:type="dxa"/>
            <w:shd w:val="clear" w:color="auto" w:fill="auto"/>
            <w:noWrap/>
            <w:vAlign w:val="center"/>
          </w:tcPr>
          <w:p>
            <w:pPr>
              <w:rPr>
                <w:rFonts w:ascii="Times New Roman" w:hAnsi="Times New Roman" w:eastAsia="宋体" w:cs="Times New Roman"/>
                <w:kern w:val="2"/>
                <w:sz w:val="21"/>
                <w:szCs w:val="21"/>
                <w:lang w:val="en-US" w:eastAsia="zh-CN" w:bidi="ar-SA"/>
              </w:rPr>
            </w:pPr>
          </w:p>
        </w:tc>
      </w:tr>
    </w:tbl>
    <w:p>
      <w:pPr>
        <w:rPr>
          <w:rFonts w:hint="eastAsia" w:ascii="黑体" w:hAnsi="黑体" w:eastAsia="黑体"/>
          <w:sz w:val="22"/>
          <w:lang w:eastAsia="zh-CN"/>
        </w:rPr>
      </w:pPr>
    </w:p>
    <w:p>
      <w:pPr>
        <w:ind w:firstLine="220" w:firstLineChars="100"/>
        <w:rPr>
          <w:rFonts w:hint="eastAsia" w:ascii="黑体" w:hAnsi="黑体" w:eastAsia="黑体"/>
          <w:sz w:val="22"/>
        </w:rPr>
      </w:pPr>
      <w:r>
        <w:rPr>
          <w:rFonts w:hint="eastAsia" w:ascii="黑体" w:hAnsi="黑体" w:eastAsia="黑体"/>
          <w:sz w:val="22"/>
        </w:rPr>
        <w:t>考核组长签字：</w:t>
      </w:r>
    </w:p>
    <w:p>
      <w:pPr>
        <w:pStyle w:val="2"/>
        <w:sectPr>
          <w:pgSz w:w="16840" w:h="11900" w:orient="landscape"/>
          <w:pgMar w:top="1774" w:right="1468" w:bottom="1788" w:left="1468" w:header="1040" w:footer="3" w:gutter="0"/>
          <w:cols w:space="720" w:num="1"/>
          <w:docGrid w:linePitch="360"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01298"/>
    <w:multiLevelType w:val="multilevel"/>
    <w:tmpl w:val="8E901298"/>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hanging="420"/>
      </w:pPr>
      <w:rPr>
        <w:rFonts w:hint="default"/>
      </w:rPr>
    </w:lvl>
    <w:lvl w:ilvl="2" w:tentative="0">
      <w:start w:val="1"/>
      <w:numFmt w:val="decimalEnclosedCircleChinese"/>
      <w:lvlText w:val="%3"/>
      <w:lvlJc w:val="left"/>
      <w:pPr>
        <w:tabs>
          <w:tab w:val="left" w:pos="1260"/>
        </w:tabs>
        <w:ind w:left="1660" w:hanging="420"/>
      </w:pPr>
      <w:rPr>
        <w:rFonts w:hint="default"/>
      </w:rPr>
    </w:lvl>
    <w:lvl w:ilvl="3" w:tentative="0">
      <w:start w:val="1"/>
      <w:numFmt w:val="decimal"/>
      <w:lvlText w:val="%4)"/>
      <w:lvlJc w:val="left"/>
      <w:pPr>
        <w:tabs>
          <w:tab w:val="left" w:pos="1680"/>
        </w:tabs>
        <w:ind w:left="2080" w:hanging="420"/>
      </w:pPr>
      <w:rPr>
        <w:rFonts w:hint="default"/>
      </w:rPr>
    </w:lvl>
    <w:lvl w:ilvl="4" w:tentative="0">
      <w:start w:val="1"/>
      <w:numFmt w:val="lowerLetter"/>
      <w:pStyle w:val="6"/>
      <w:lvlText w:val="%5."/>
      <w:lvlJc w:val="left"/>
      <w:pPr>
        <w:tabs>
          <w:tab w:val="left" w:pos="2100"/>
        </w:tabs>
        <w:ind w:left="2500" w:hanging="420"/>
      </w:pPr>
      <w:rPr>
        <w:rFonts w:hint="default"/>
      </w:rPr>
    </w:lvl>
    <w:lvl w:ilvl="5" w:tentative="0">
      <w:start w:val="1"/>
      <w:numFmt w:val="lowerLetter"/>
      <w:lvlText w:val="%6)"/>
      <w:lvlJc w:val="left"/>
      <w:pPr>
        <w:tabs>
          <w:tab w:val="left" w:pos="2520"/>
        </w:tabs>
        <w:ind w:left="2920" w:hanging="420"/>
      </w:pPr>
      <w:rPr>
        <w:rFonts w:hint="default"/>
      </w:rPr>
    </w:lvl>
    <w:lvl w:ilvl="6" w:tentative="0">
      <w:start w:val="1"/>
      <w:numFmt w:val="lowerRoman"/>
      <w:lvlText w:val="%7."/>
      <w:lvlJc w:val="left"/>
      <w:pPr>
        <w:tabs>
          <w:tab w:val="left" w:pos="2940"/>
        </w:tabs>
        <w:ind w:left="3340" w:hanging="420"/>
      </w:pPr>
      <w:rPr>
        <w:rFonts w:hint="default"/>
      </w:rPr>
    </w:lvl>
    <w:lvl w:ilvl="7" w:tentative="0">
      <w:start w:val="1"/>
      <w:numFmt w:val="lowerRoman"/>
      <w:lvlText w:val="%8)"/>
      <w:lvlJc w:val="left"/>
      <w:pPr>
        <w:tabs>
          <w:tab w:val="left" w:pos="3360"/>
        </w:tabs>
        <w:ind w:left="3760" w:hanging="420"/>
      </w:pPr>
      <w:rPr>
        <w:rFonts w:hint="default"/>
      </w:rPr>
    </w:lvl>
    <w:lvl w:ilvl="8" w:tentative="0">
      <w:start w:val="1"/>
      <w:numFmt w:val="lowerLetter"/>
      <w:lvlText w:val="%9."/>
      <w:lvlJc w:val="left"/>
      <w:pPr>
        <w:tabs>
          <w:tab w:val="left" w:pos="3780"/>
        </w:tabs>
        <w:ind w:left="4180" w:hanging="420"/>
      </w:pPr>
      <w:rPr>
        <w:rFonts w:hint="default"/>
      </w:rPr>
    </w:lvl>
  </w:abstractNum>
  <w:abstractNum w:abstractNumId="1">
    <w:nsid w:val="B2E3ACBB"/>
    <w:multiLevelType w:val="singleLevel"/>
    <w:tmpl w:val="B2E3ACBB"/>
    <w:lvl w:ilvl="0" w:tentative="0">
      <w:start w:val="3"/>
      <w:numFmt w:val="chineseCounting"/>
      <w:suff w:val="nothing"/>
      <w:lvlText w:val="%1、"/>
      <w:lvlJc w:val="left"/>
      <w:rPr>
        <w:rFonts w:hint="eastAsia"/>
      </w:rPr>
    </w:lvl>
  </w:abstractNum>
  <w:abstractNum w:abstractNumId="2">
    <w:nsid w:val="5371DBD4"/>
    <w:multiLevelType w:val="multilevel"/>
    <w:tmpl w:val="5371DBD4"/>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M0YjJjZDdmNGJjOGFkN2M3ODI2ZGJlYjNmM2M2YmIifQ=="/>
  </w:docVars>
  <w:rsids>
    <w:rsidRoot w:val="00A92C43"/>
    <w:rsid w:val="000A1BD5"/>
    <w:rsid w:val="000D41C7"/>
    <w:rsid w:val="0015083E"/>
    <w:rsid w:val="00256D20"/>
    <w:rsid w:val="00380579"/>
    <w:rsid w:val="003B563C"/>
    <w:rsid w:val="00466CF9"/>
    <w:rsid w:val="00483B7B"/>
    <w:rsid w:val="00557E6A"/>
    <w:rsid w:val="0059620A"/>
    <w:rsid w:val="005A63F6"/>
    <w:rsid w:val="00613421"/>
    <w:rsid w:val="006834C6"/>
    <w:rsid w:val="00687EA4"/>
    <w:rsid w:val="00711F40"/>
    <w:rsid w:val="007231D8"/>
    <w:rsid w:val="0077250E"/>
    <w:rsid w:val="007D1537"/>
    <w:rsid w:val="008D71A5"/>
    <w:rsid w:val="008E5D74"/>
    <w:rsid w:val="008F7305"/>
    <w:rsid w:val="0090741F"/>
    <w:rsid w:val="009A2180"/>
    <w:rsid w:val="00A06487"/>
    <w:rsid w:val="00A61EB3"/>
    <w:rsid w:val="00A63B00"/>
    <w:rsid w:val="00A92C43"/>
    <w:rsid w:val="00B21FD9"/>
    <w:rsid w:val="00B75702"/>
    <w:rsid w:val="00BD2EC5"/>
    <w:rsid w:val="00C57882"/>
    <w:rsid w:val="00CF571A"/>
    <w:rsid w:val="00D10B94"/>
    <w:rsid w:val="00D265C6"/>
    <w:rsid w:val="00D47E08"/>
    <w:rsid w:val="00D51E96"/>
    <w:rsid w:val="00E02DEF"/>
    <w:rsid w:val="00E32633"/>
    <w:rsid w:val="00F541DB"/>
    <w:rsid w:val="00FA324A"/>
    <w:rsid w:val="01F14123"/>
    <w:rsid w:val="04F45324"/>
    <w:rsid w:val="07C445C6"/>
    <w:rsid w:val="08383EC3"/>
    <w:rsid w:val="0D975D53"/>
    <w:rsid w:val="0E1B5B17"/>
    <w:rsid w:val="0F3C273A"/>
    <w:rsid w:val="13C61F27"/>
    <w:rsid w:val="148C5B51"/>
    <w:rsid w:val="18F062F7"/>
    <w:rsid w:val="19000B10"/>
    <w:rsid w:val="1B180252"/>
    <w:rsid w:val="1D542101"/>
    <w:rsid w:val="1DDF37CB"/>
    <w:rsid w:val="26657A78"/>
    <w:rsid w:val="27BC40CB"/>
    <w:rsid w:val="2CDD7C84"/>
    <w:rsid w:val="2CEB4365"/>
    <w:rsid w:val="30AE5029"/>
    <w:rsid w:val="32504EE7"/>
    <w:rsid w:val="34CC7014"/>
    <w:rsid w:val="362B296D"/>
    <w:rsid w:val="3BB021A5"/>
    <w:rsid w:val="3D382B00"/>
    <w:rsid w:val="3F655716"/>
    <w:rsid w:val="42F11BFD"/>
    <w:rsid w:val="4477248C"/>
    <w:rsid w:val="44D42CD1"/>
    <w:rsid w:val="452901C3"/>
    <w:rsid w:val="473D2970"/>
    <w:rsid w:val="57F052C8"/>
    <w:rsid w:val="57F9141E"/>
    <w:rsid w:val="598514BA"/>
    <w:rsid w:val="5C9F0002"/>
    <w:rsid w:val="629D7E7C"/>
    <w:rsid w:val="62AA3BC1"/>
    <w:rsid w:val="65FF0693"/>
    <w:rsid w:val="67B5623D"/>
    <w:rsid w:val="69A55E61"/>
    <w:rsid w:val="70423FD9"/>
    <w:rsid w:val="708906B1"/>
    <w:rsid w:val="70FA13D2"/>
    <w:rsid w:val="72606E27"/>
    <w:rsid w:val="72FC7CF7"/>
    <w:rsid w:val="76956DAA"/>
    <w:rsid w:val="78A02A5A"/>
    <w:rsid w:val="7B4830CB"/>
    <w:rsid w:val="7BE17A96"/>
    <w:rsid w:val="7C1D22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0"/>
    <w:pPr>
      <w:keepNext/>
      <w:keepLines/>
      <w:numPr>
        <w:ilvl w:val="0"/>
        <w:numId w:val="1"/>
      </w:numPr>
      <w:spacing w:line="360" w:lineRule="auto"/>
      <w:outlineLvl w:val="0"/>
    </w:pPr>
    <w:rPr>
      <w:b/>
      <w:bCs/>
      <w:kern w:val="44"/>
      <w:sz w:val="30"/>
      <w:szCs w:val="30"/>
    </w:rPr>
  </w:style>
  <w:style w:type="paragraph" w:styleId="3">
    <w:name w:val="heading 2"/>
    <w:basedOn w:val="1"/>
    <w:next w:val="1"/>
    <w:link w:val="17"/>
    <w:semiHidden/>
    <w:unhideWhenUsed/>
    <w:qFormat/>
    <w:uiPriority w:val="0"/>
    <w:pPr>
      <w:keepNext/>
      <w:keepLines/>
      <w:numPr>
        <w:ilvl w:val="1"/>
        <w:numId w:val="1"/>
      </w:numPr>
      <w:spacing w:line="360" w:lineRule="auto"/>
      <w:outlineLvl w:val="1"/>
    </w:pPr>
    <w:rPr>
      <w:rFonts w:ascii="Arial" w:hAnsi="Arial"/>
      <w:b/>
      <w:sz w:val="30"/>
    </w:rPr>
  </w:style>
  <w:style w:type="paragraph" w:styleId="4">
    <w:name w:val="heading 3"/>
    <w:basedOn w:val="1"/>
    <w:next w:val="1"/>
    <w:semiHidden/>
    <w:unhideWhenUsed/>
    <w:qFormat/>
    <w:uiPriority w:val="0"/>
    <w:pPr>
      <w:keepNext/>
      <w:keepLines/>
      <w:numPr>
        <w:ilvl w:val="2"/>
        <w:numId w:val="1"/>
      </w:numPr>
      <w:spacing w:line="360" w:lineRule="auto"/>
      <w:outlineLvl w:val="2"/>
    </w:pPr>
    <w:rPr>
      <w:sz w:val="30"/>
    </w:rPr>
  </w:style>
  <w:style w:type="paragraph" w:styleId="5">
    <w:name w:val="heading 4"/>
    <w:basedOn w:val="1"/>
    <w:next w:val="1"/>
    <w:semiHidden/>
    <w:unhideWhenUsed/>
    <w:qFormat/>
    <w:uiPriority w:val="0"/>
    <w:pPr>
      <w:keepNext/>
      <w:keepLines/>
      <w:numPr>
        <w:ilvl w:val="3"/>
        <w:numId w:val="1"/>
      </w:numPr>
      <w:spacing w:line="360" w:lineRule="auto"/>
      <w:ind w:left="0" w:firstLine="0"/>
      <w:outlineLvl w:val="3"/>
    </w:pPr>
    <w:rPr>
      <w:rFonts w:ascii="Arial" w:hAnsi="Arial"/>
      <w:sz w:val="30"/>
    </w:rPr>
  </w:style>
  <w:style w:type="paragraph" w:styleId="6">
    <w:name w:val="heading 5"/>
    <w:basedOn w:val="1"/>
    <w:next w:val="1"/>
    <w:link w:val="16"/>
    <w:semiHidden/>
    <w:unhideWhenUsed/>
    <w:qFormat/>
    <w:uiPriority w:val="0"/>
    <w:pPr>
      <w:keepNext/>
      <w:keepLines/>
      <w:numPr>
        <w:ilvl w:val="4"/>
        <w:numId w:val="2"/>
      </w:numPr>
      <w:tabs>
        <w:tab w:val="left" w:pos="0"/>
        <w:tab w:val="left" w:pos="420"/>
        <w:tab w:val="clear" w:pos="2100"/>
      </w:tabs>
      <w:spacing w:line="360" w:lineRule="auto"/>
      <w:ind w:left="0" w:firstLine="0"/>
      <w:outlineLvl w:val="4"/>
    </w:pPr>
    <w:rPr>
      <w:rFonts w:ascii="宋体" w:hAnsi="宋体"/>
      <w:sz w:val="24"/>
      <w:szCs w:val="22"/>
    </w:rPr>
  </w:style>
  <w:style w:type="paragraph" w:styleId="7">
    <w:name w:val="heading 6"/>
    <w:basedOn w:val="1"/>
    <w:next w:val="1"/>
    <w:semiHidden/>
    <w:unhideWhenUsed/>
    <w:qFormat/>
    <w:uiPriority w:val="0"/>
    <w:pPr>
      <w:keepNext/>
      <w:keepLines/>
      <w:numPr>
        <w:ilvl w:val="5"/>
        <w:numId w:val="1"/>
      </w:numPr>
      <w:spacing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line="317" w:lineRule="auto"/>
      <w:outlineLvl w:val="8"/>
    </w:pPr>
    <w:rPr>
      <w:rFonts w:ascii="Arial" w:hAnsi="Arial" w:eastAsia="黑体"/>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qFormat/>
    <w:uiPriority w:val="0"/>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link w:val="2"/>
    <w:qFormat/>
    <w:uiPriority w:val="0"/>
    <w:rPr>
      <w:rFonts w:ascii="Times New Roman" w:hAnsi="Times New Roman" w:eastAsia="仿宋" w:cs="Times New Roman"/>
      <w:b/>
      <w:bCs/>
      <w:kern w:val="44"/>
      <w:sz w:val="30"/>
      <w:szCs w:val="30"/>
    </w:rPr>
  </w:style>
  <w:style w:type="character" w:customStyle="1" w:styleId="16">
    <w:name w:val="标题 5 Char"/>
    <w:link w:val="6"/>
    <w:qFormat/>
    <w:uiPriority w:val="0"/>
    <w:rPr>
      <w:rFonts w:ascii="宋体" w:hAnsi="宋体" w:eastAsia="宋体" w:cs="Times New Roman"/>
      <w:b/>
      <w:sz w:val="24"/>
      <w:szCs w:val="22"/>
    </w:rPr>
  </w:style>
  <w:style w:type="character" w:customStyle="1" w:styleId="17">
    <w:name w:val="标题 2 Char"/>
    <w:link w:val="3"/>
    <w:qFormat/>
    <w:uiPriority w:val="0"/>
    <w:rPr>
      <w:rFonts w:ascii="Arial" w:hAnsi="Arial" w:eastAsia="仿宋"/>
      <w:b/>
      <w:sz w:val="30"/>
    </w:rPr>
  </w:style>
  <w:style w:type="paragraph" w:customStyle="1" w:styleId="18">
    <w:name w:val="样式1"/>
    <w:basedOn w:val="1"/>
    <w:qFormat/>
    <w:uiPriority w:val="0"/>
    <w:pPr>
      <w:widowControl/>
      <w:spacing w:line="580" w:lineRule="exact"/>
      <w:jc w:val="center"/>
      <w:textAlignment w:val="center"/>
    </w:pPr>
    <w:rPr>
      <w:rFonts w:hint="eastAsia" w:eastAsia="方正仿宋简体"/>
      <w:color w:val="000000"/>
      <w:kern w:val="0"/>
    </w:rPr>
  </w:style>
  <w:style w:type="paragraph" w:styleId="19">
    <w:name w:val="List Paragraph"/>
    <w:basedOn w:val="1"/>
    <w:autoRedefine/>
    <w:qFormat/>
    <w:uiPriority w:val="1"/>
    <w:pPr>
      <w:ind w:firstLine="420" w:firstLineChars="200"/>
    </w:pPr>
    <w:rPr>
      <w:szCs w:val="24"/>
    </w:rPr>
  </w:style>
  <w:style w:type="paragraph" w:customStyle="1" w:styleId="20">
    <w:name w:val="正文_2"/>
    <w:qFormat/>
    <w:uiPriority w:val="0"/>
    <w:pPr>
      <w:widowControl w:val="0"/>
      <w:spacing w:line="360" w:lineRule="auto"/>
      <w:ind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2087</Words>
  <Characters>2110</Characters>
  <Lines>16</Lines>
  <Paragraphs>4</Paragraphs>
  <TotalTime>30</TotalTime>
  <ScaleCrop>false</ScaleCrop>
  <LinksUpToDate>false</LinksUpToDate>
  <CharactersWithSpaces>2184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2023-06-15T09:51:00Z</dcterms:created>
  <dc:creator>86159</dc:creator>
  <cp:lastModifiedBy>亮" "</cp:lastModifiedBy>
  <cp:lastPrinted>2025-02-07T07:14:00Z</cp:lastPrinted>
  <dcterms:modified xsi:type="dcterms:W3CDTF">2025-03-29T09:30:57Z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44672C01DCFF4E36B2A47D6F86626752_13</vt:lpwstr>
  </property>
  <property fmtid="{D5CDD505-2E9C-101B-9397-08002B2CF9AE}" pid="4" name="KSOTemplateDocerSaveRecord">
    <vt:lpwstr>eyJoZGlkIjoiYzZmNGQ4YmE2ZjIzMDQ0MjE5MjUzODFjNjI4MjA5YmEiLCJ1c2VySWQiOiIzNzQ3NzcwNTAifQ==</vt:lpwstr>
  </property>
</Properties>
</file>