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8FE5B">
      <w:pPr>
        <w:widowControl w:val="0"/>
        <w:wordWrap/>
        <w:adjustRightInd/>
        <w:snapToGrid/>
        <w:spacing w:line="360" w:lineRule="auto"/>
        <w:jc w:val="center"/>
        <w:textAlignment w:val="auto"/>
        <w:rPr>
          <w:rFonts w:hint="eastAsia" w:ascii="宋体" w:hAnsi="宋体" w:eastAsia="宋体" w:cs="宋体"/>
          <w:b/>
          <w:bCs/>
          <w:sz w:val="36"/>
          <w:szCs w:val="36"/>
          <w:lang w:val="en-US" w:eastAsia="zh-CN"/>
        </w:rPr>
      </w:pPr>
      <w:r>
        <w:rPr>
          <w:rFonts w:hint="eastAsia" w:ascii="宋体" w:hAnsi="宋体" w:cs="宋体"/>
          <w:b/>
          <w:bCs/>
          <w:sz w:val="32"/>
          <w:szCs w:val="32"/>
          <w:lang w:val="en-US" w:eastAsia="zh-CN"/>
        </w:rPr>
        <w:t>阳光社区腾飞小区新建居民活动室和映碧里及翠微里小区闲置车棚提升改造项目</w:t>
      </w:r>
      <w:r>
        <w:rPr>
          <w:rFonts w:hint="eastAsia" w:ascii="宋体" w:hAnsi="宋体" w:eastAsia="宋体" w:cs="宋体"/>
          <w:b/>
          <w:bCs/>
          <w:sz w:val="32"/>
          <w:szCs w:val="32"/>
          <w:lang w:val="en-US" w:eastAsia="zh-CN"/>
        </w:rPr>
        <w:t>招标</w:t>
      </w:r>
      <w:r>
        <w:rPr>
          <w:rFonts w:hint="eastAsia" w:ascii="宋体" w:hAnsi="宋体" w:cs="宋体"/>
          <w:b/>
          <w:bCs/>
          <w:sz w:val="32"/>
          <w:szCs w:val="32"/>
          <w:lang w:val="en-US" w:eastAsia="zh-CN"/>
        </w:rPr>
        <w:t>清单</w:t>
      </w:r>
      <w:r>
        <w:rPr>
          <w:rFonts w:hint="eastAsia" w:ascii="宋体" w:hAnsi="宋体" w:eastAsia="宋体" w:cs="宋体"/>
          <w:b/>
          <w:bCs/>
          <w:sz w:val="32"/>
          <w:szCs w:val="32"/>
          <w:lang w:val="en-US" w:eastAsia="zh-CN"/>
        </w:rPr>
        <w:t>编制说明</w:t>
      </w:r>
    </w:p>
    <w:p w14:paraId="11D3B737">
      <w:pPr>
        <w:numPr>
          <w:ilvl w:val="0"/>
          <w:numId w:val="0"/>
        </w:numPr>
        <w:spacing w:line="360" w:lineRule="auto"/>
        <w:rPr>
          <w:rFonts w:hint="eastAsia" w:ascii="宋体" w:hAnsi="宋体" w:cs="宋体"/>
          <w:b/>
          <w:bCs/>
          <w:sz w:val="24"/>
          <w:szCs w:val="24"/>
          <w:lang w:val="en-US" w:eastAsia="zh-CN"/>
        </w:rPr>
      </w:pPr>
      <w:r>
        <w:rPr>
          <w:rFonts w:hint="eastAsia" w:ascii="宋体" w:hAnsi="宋体" w:cs="宋体"/>
          <w:b/>
          <w:bCs/>
          <w:sz w:val="24"/>
          <w:szCs w:val="24"/>
          <w:lang w:val="en-US" w:eastAsia="zh-CN"/>
        </w:rPr>
        <w:t>一、工程概况</w:t>
      </w:r>
    </w:p>
    <w:p w14:paraId="08B53436">
      <w:pPr>
        <w:widowControl w:val="0"/>
        <w:numPr>
          <w:ilvl w:val="0"/>
          <w:numId w:val="1"/>
        </w:numPr>
        <w:wordWrap/>
        <w:adjustRightInd/>
        <w:snapToGrid/>
        <w:spacing w:line="360" w:lineRule="auto"/>
        <w:ind w:left="425" w:leftChars="0" w:hanging="425"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工程名称：</w:t>
      </w:r>
      <w:r>
        <w:rPr>
          <w:rFonts w:hint="eastAsia" w:ascii="宋体" w:hAnsi="宋体" w:cs="宋体"/>
          <w:b w:val="0"/>
          <w:bCs w:val="0"/>
          <w:sz w:val="24"/>
          <w:szCs w:val="24"/>
          <w:lang w:val="en-US" w:eastAsia="zh-CN"/>
        </w:rPr>
        <w:t>阳光社区腾飞小区新建居民活动室和映碧里及翠微里小区闲置车棚提升改造项目</w:t>
      </w:r>
    </w:p>
    <w:p w14:paraId="49AFB307">
      <w:pPr>
        <w:widowControl w:val="0"/>
        <w:numPr>
          <w:ilvl w:val="0"/>
          <w:numId w:val="1"/>
        </w:numPr>
        <w:wordWrap/>
        <w:adjustRightInd/>
        <w:snapToGrid/>
        <w:spacing w:line="360" w:lineRule="auto"/>
        <w:ind w:left="425" w:leftChars="0" w:hanging="425"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工程地点：</w:t>
      </w:r>
      <w:r>
        <w:rPr>
          <w:rFonts w:hint="eastAsia" w:ascii="宋体" w:hAnsi="宋体" w:cs="宋体"/>
          <w:b w:val="0"/>
          <w:bCs w:val="0"/>
          <w:sz w:val="24"/>
          <w:szCs w:val="24"/>
          <w:lang w:val="en-US" w:eastAsia="zh-CN"/>
        </w:rPr>
        <w:t>准格尔旗薛家湾镇</w:t>
      </w:r>
      <w:r>
        <w:rPr>
          <w:rFonts w:hint="eastAsia" w:ascii="宋体" w:hAnsi="宋体" w:eastAsia="宋体" w:cs="宋体"/>
          <w:b w:val="0"/>
          <w:bCs w:val="0"/>
          <w:sz w:val="24"/>
          <w:szCs w:val="24"/>
          <w:lang w:val="en-US" w:eastAsia="zh-CN"/>
        </w:rPr>
        <w:t xml:space="preserve"> </w:t>
      </w:r>
    </w:p>
    <w:p w14:paraId="290DB76D">
      <w:pPr>
        <w:numPr>
          <w:ilvl w:val="0"/>
          <w:numId w:val="0"/>
        </w:numPr>
        <w:spacing w:line="360" w:lineRule="auto"/>
        <w:rPr>
          <w:rFonts w:hint="eastAsia" w:ascii="宋体" w:hAnsi="宋体" w:cs="宋体"/>
          <w:b/>
          <w:bCs/>
          <w:sz w:val="24"/>
          <w:szCs w:val="24"/>
          <w:lang w:val="en-US" w:eastAsia="zh-CN"/>
        </w:rPr>
      </w:pPr>
      <w:r>
        <w:rPr>
          <w:rFonts w:hint="eastAsia" w:ascii="宋体" w:hAnsi="宋体" w:cs="宋体"/>
          <w:b/>
          <w:bCs/>
          <w:sz w:val="24"/>
          <w:szCs w:val="24"/>
          <w:lang w:val="en-US" w:eastAsia="zh-CN"/>
        </w:rPr>
        <w:t>二、编制范围</w:t>
      </w:r>
    </w:p>
    <w:p w14:paraId="0F41E95C">
      <w:pPr>
        <w:widowControl w:val="0"/>
        <w:numPr>
          <w:ilvl w:val="0"/>
          <w:numId w:val="0"/>
        </w:numPr>
        <w:wordWrap/>
        <w:adjustRightInd/>
        <w:snapToGrid/>
        <w:spacing w:line="360" w:lineRule="auto"/>
        <w:ind w:leftChars="0" w:firstLine="480" w:firstLineChars="200"/>
        <w:jc w:val="left"/>
        <w:textAlignment w:val="auto"/>
        <w:rPr>
          <w:rFonts w:hint="default" w:ascii="宋体" w:hAnsi="宋体" w:eastAsia="宋体" w:cs="Times New Roman"/>
          <w:sz w:val="24"/>
          <w:szCs w:val="24"/>
          <w:lang w:val="en-US" w:eastAsia="zh-CN"/>
        </w:rPr>
      </w:pPr>
      <w:r>
        <w:rPr>
          <w:rFonts w:hint="eastAsia" w:ascii="宋体" w:hAnsi="宋体" w:cs="Times New Roman"/>
          <w:sz w:val="24"/>
          <w:szCs w:val="24"/>
          <w:lang w:val="en-US" w:eastAsia="zh-CN"/>
        </w:rPr>
        <w:t>新建阳光社区腾飞小区居民活动室土方、建筑装饰、电气安装、采暖及通风、给排水管道、室外管道安装及土方、室外硬化道路工程；改造及新建翠微里小区闲置车棚原有车棚拆除、土方、建筑装饰、电气安装、采暖、给排水管道、室外管道安装及土方、室外硬化道路工程；改造及新建映碧里小区闲置车棚原有车棚拆除、土方、建筑装饰、电气安装、采暖、给排水管道、室外管道安装及土方、室外硬化道路工程等。</w:t>
      </w:r>
    </w:p>
    <w:p w14:paraId="2A68F677">
      <w:pPr>
        <w:numPr>
          <w:ilvl w:val="0"/>
          <w:numId w:val="0"/>
        </w:numPr>
        <w:spacing w:line="360" w:lineRule="auto"/>
        <w:rPr>
          <w:rFonts w:hint="default" w:ascii="宋体" w:hAnsi="宋体" w:cs="宋体"/>
          <w:b/>
          <w:bCs/>
          <w:sz w:val="24"/>
          <w:szCs w:val="24"/>
          <w:lang w:val="en-US" w:eastAsia="zh-CN"/>
        </w:rPr>
      </w:pPr>
      <w:r>
        <w:rPr>
          <w:rFonts w:hint="eastAsia" w:ascii="宋体" w:hAnsi="宋体" w:cs="宋体"/>
          <w:b/>
          <w:bCs/>
          <w:sz w:val="24"/>
          <w:szCs w:val="24"/>
          <w:lang w:val="en-US" w:eastAsia="zh-CN"/>
        </w:rPr>
        <w:t>三、编制依据</w:t>
      </w:r>
    </w:p>
    <w:p w14:paraId="196F2827">
      <w:pPr>
        <w:numPr>
          <w:ilvl w:val="0"/>
          <w:numId w:val="2"/>
        </w:numPr>
        <w:spacing w:line="360" w:lineRule="auto"/>
        <w:ind w:leftChars="0"/>
        <w:rPr>
          <w:rFonts w:hint="eastAsia"/>
          <w:b w:val="0"/>
          <w:bCs w:val="0"/>
          <w:sz w:val="24"/>
          <w:szCs w:val="24"/>
          <w:lang w:val="en-US" w:eastAsia="zh-CN"/>
        </w:rPr>
      </w:pPr>
      <w:r>
        <w:rPr>
          <w:rFonts w:hint="eastAsia" w:ascii="宋体" w:hAnsi="宋体" w:eastAsia="宋体" w:cs="宋体"/>
          <w:b w:val="0"/>
          <w:bCs w:val="0"/>
          <w:sz w:val="24"/>
          <w:szCs w:val="24"/>
          <w:lang w:val="en-US" w:eastAsia="zh-CN"/>
        </w:rPr>
        <w:t>计价规范</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rPr>
        <w:t>工程量清单依据2013年《建设工程工程量</w:t>
      </w:r>
      <w:r>
        <w:rPr>
          <w:rFonts w:hint="eastAsia" w:ascii="宋体" w:hAnsi="宋体" w:cs="宋体"/>
          <w:b w:val="0"/>
          <w:bCs w:val="0"/>
          <w:sz w:val="24"/>
          <w:szCs w:val="24"/>
          <w:lang w:val="en-US" w:eastAsia="zh-CN"/>
        </w:rPr>
        <w:t>清单计</w:t>
      </w:r>
      <w:r>
        <w:rPr>
          <w:rFonts w:hint="eastAsia" w:ascii="宋体" w:hAnsi="宋体" w:eastAsia="宋体" w:cs="宋体"/>
          <w:b w:val="0"/>
          <w:bCs w:val="0"/>
          <w:sz w:val="24"/>
          <w:szCs w:val="24"/>
        </w:rPr>
        <w:t>价规范》GB50500-2013编制</w:t>
      </w:r>
      <w:r>
        <w:rPr>
          <w:rFonts w:hint="eastAsia" w:ascii="宋体" w:hAnsi="宋体" w:eastAsia="宋体" w:cs="宋体"/>
          <w:b w:val="0"/>
          <w:bCs w:val="0"/>
          <w:sz w:val="24"/>
          <w:szCs w:val="24"/>
          <w:lang w:eastAsia="zh-CN"/>
        </w:rPr>
        <w:t>；</w:t>
      </w:r>
    </w:p>
    <w:p w14:paraId="171BFDE5">
      <w:pPr>
        <w:numPr>
          <w:ilvl w:val="0"/>
          <w:numId w:val="2"/>
        </w:numPr>
        <w:spacing w:line="360" w:lineRule="auto"/>
        <w:ind w:leftChars="0"/>
        <w:rPr>
          <w:rFonts w:hint="eastAsia"/>
          <w:b w:val="0"/>
          <w:bCs w:val="0"/>
          <w:sz w:val="24"/>
          <w:szCs w:val="24"/>
          <w:lang w:val="en-US" w:eastAsia="zh-CN"/>
        </w:rPr>
      </w:pPr>
      <w:r>
        <w:rPr>
          <w:rFonts w:hint="eastAsia"/>
          <w:b w:val="0"/>
          <w:bCs w:val="0"/>
          <w:sz w:val="24"/>
          <w:szCs w:val="24"/>
          <w:lang w:val="en-US" w:eastAsia="zh-CN"/>
        </w:rPr>
        <w:t>定额执行：2017年《内蒙古自治区房屋建筑与装饰工程预算定额》《内蒙古自治区通用安装工程预算定额》《内蒙古自治区市政工程预算定额》；2021年《内蒙古自治区房屋修缮工程预算定额》及配套的费用定额。</w:t>
      </w:r>
    </w:p>
    <w:p w14:paraId="2A228F4F">
      <w:pPr>
        <w:numPr>
          <w:ilvl w:val="0"/>
          <w:numId w:val="2"/>
        </w:numPr>
        <w:spacing w:line="360" w:lineRule="auto"/>
        <w:ind w:leftChars="0"/>
        <w:rPr>
          <w:rFonts w:hint="eastAsia"/>
          <w:b w:val="0"/>
          <w:bCs w:val="0"/>
          <w:sz w:val="24"/>
          <w:szCs w:val="24"/>
          <w:lang w:val="en-US" w:eastAsia="zh-CN"/>
        </w:rPr>
      </w:pPr>
      <w:r>
        <w:rPr>
          <w:rFonts w:hint="eastAsia" w:ascii="宋体" w:hAnsi="宋体" w:cs="宋体"/>
          <w:b w:val="0"/>
          <w:bCs w:val="0"/>
          <w:sz w:val="24"/>
          <w:szCs w:val="24"/>
          <w:lang w:val="en-US" w:eastAsia="zh-CN"/>
        </w:rPr>
        <w:t>税金：</w:t>
      </w:r>
      <w:r>
        <w:rPr>
          <w:rFonts w:hint="eastAsia" w:ascii="宋体" w:hAnsi="宋体" w:eastAsia="宋体" w:cs="宋体"/>
          <w:b w:val="0"/>
          <w:bCs w:val="0"/>
          <w:sz w:val="24"/>
          <w:szCs w:val="24"/>
          <w:lang w:val="en-US" w:eastAsia="zh-CN"/>
        </w:rPr>
        <w:t>税金</w:t>
      </w:r>
      <w:r>
        <w:rPr>
          <w:rFonts w:hint="eastAsia" w:ascii="宋体" w:hAnsi="宋体" w:eastAsia="宋体" w:cs="宋体"/>
          <w:b w:val="0"/>
          <w:bCs w:val="0"/>
          <w:sz w:val="24"/>
          <w:szCs w:val="24"/>
        </w:rPr>
        <w:t>执行</w:t>
      </w:r>
      <w:r>
        <w:rPr>
          <w:rFonts w:hint="eastAsia" w:ascii="宋体" w:hAnsi="宋体" w:eastAsia="宋体" w:cs="宋体"/>
          <w:b w:val="0"/>
          <w:bCs w:val="0"/>
          <w:sz w:val="24"/>
          <w:szCs w:val="24"/>
          <w:lang w:val="en-US" w:eastAsia="zh-CN"/>
        </w:rPr>
        <w:t>内建工【2019】113号文件</w:t>
      </w:r>
      <w:r>
        <w:rPr>
          <w:rFonts w:hint="eastAsia" w:ascii="宋体" w:hAnsi="宋体" w:eastAsia="宋体" w:cs="宋体"/>
          <w:b w:val="0"/>
          <w:bCs w:val="0"/>
          <w:sz w:val="24"/>
          <w:szCs w:val="24"/>
        </w:rPr>
        <w:t>关于调整内蒙古自治区建设工程</w:t>
      </w:r>
      <w:r>
        <w:rPr>
          <w:rFonts w:hint="eastAsia" w:ascii="宋体" w:hAnsi="宋体" w:eastAsia="宋体" w:cs="宋体"/>
          <w:b w:val="0"/>
          <w:bCs w:val="0"/>
          <w:sz w:val="24"/>
          <w:szCs w:val="24"/>
          <w:lang w:val="en-US" w:eastAsia="zh-CN"/>
        </w:rPr>
        <w:t>计价依据增值税税率</w:t>
      </w:r>
      <w:r>
        <w:rPr>
          <w:rFonts w:hint="eastAsia" w:ascii="宋体" w:hAnsi="宋体" w:eastAsia="宋体" w:cs="宋体"/>
          <w:b w:val="0"/>
          <w:bCs w:val="0"/>
          <w:sz w:val="24"/>
          <w:szCs w:val="24"/>
        </w:rPr>
        <w:t>的通知</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增值税税率按9%计取</w:t>
      </w:r>
      <w:r>
        <w:rPr>
          <w:rFonts w:hint="eastAsia" w:ascii="宋体" w:hAnsi="宋体" w:cs="宋体"/>
          <w:b w:val="0"/>
          <w:bCs w:val="0"/>
          <w:sz w:val="24"/>
          <w:szCs w:val="24"/>
          <w:lang w:val="en-US" w:eastAsia="zh-CN"/>
        </w:rPr>
        <w:t>；</w:t>
      </w:r>
    </w:p>
    <w:p w14:paraId="53F78F49">
      <w:pPr>
        <w:numPr>
          <w:ilvl w:val="0"/>
          <w:numId w:val="2"/>
        </w:numPr>
        <w:spacing w:line="360" w:lineRule="auto"/>
        <w:ind w:leftChars="0"/>
        <w:rPr>
          <w:rFonts w:hint="eastAsia"/>
          <w:b w:val="0"/>
          <w:bCs w:val="0"/>
          <w:sz w:val="24"/>
          <w:szCs w:val="24"/>
          <w:lang w:val="en-US" w:eastAsia="zh-CN"/>
        </w:rPr>
      </w:pPr>
      <w:r>
        <w:rPr>
          <w:rFonts w:hint="eastAsia" w:ascii="宋体" w:hAnsi="宋体" w:cs="宋体"/>
          <w:b w:val="0"/>
          <w:bCs w:val="0"/>
          <w:sz w:val="24"/>
          <w:szCs w:val="24"/>
          <w:lang w:val="en-US" w:eastAsia="zh-CN"/>
        </w:rPr>
        <w:t>规费</w:t>
      </w:r>
      <w:r>
        <w:rPr>
          <w:rFonts w:hint="eastAsia" w:ascii="宋体" w:hAnsi="宋体" w:eastAsia="宋体" w:cs="宋体"/>
          <w:b w:val="0"/>
          <w:bCs w:val="0"/>
          <w:sz w:val="24"/>
          <w:szCs w:val="24"/>
          <w:lang w:val="en-US" w:eastAsia="zh-CN"/>
        </w:rPr>
        <w:t>：按以人工费（不含机上人工）为基数，费率按照</w:t>
      </w:r>
      <w:r>
        <w:rPr>
          <w:rFonts w:hint="eastAsia" w:ascii="宋体" w:hAnsi="宋体" w:cs="宋体"/>
          <w:b w:val="0"/>
          <w:bCs w:val="0"/>
          <w:sz w:val="24"/>
          <w:szCs w:val="24"/>
          <w:lang w:val="en-US" w:eastAsia="zh-CN"/>
        </w:rPr>
        <w:t>19</w:t>
      </w:r>
      <w:r>
        <w:rPr>
          <w:rFonts w:hint="eastAsia" w:ascii="宋体" w:hAnsi="宋体" w:eastAsia="宋体" w:cs="宋体"/>
          <w:b w:val="0"/>
          <w:bCs w:val="0"/>
          <w:sz w:val="24"/>
          <w:szCs w:val="24"/>
          <w:lang w:val="en-US" w:eastAsia="zh-CN"/>
        </w:rPr>
        <w:t>%计取</w:t>
      </w:r>
      <w:r>
        <w:rPr>
          <w:rFonts w:hint="eastAsia" w:ascii="宋体" w:hAnsi="宋体" w:cs="宋体"/>
          <w:b w:val="0"/>
          <w:bCs w:val="0"/>
          <w:sz w:val="24"/>
          <w:szCs w:val="24"/>
          <w:lang w:val="en-US" w:eastAsia="zh-CN"/>
        </w:rPr>
        <w:t>；</w:t>
      </w:r>
    </w:p>
    <w:p w14:paraId="5C08D77D">
      <w:pPr>
        <w:numPr>
          <w:ilvl w:val="0"/>
          <w:numId w:val="2"/>
        </w:numPr>
        <w:spacing w:line="360" w:lineRule="auto"/>
        <w:ind w:leftChars="0"/>
        <w:rPr>
          <w:rFonts w:hint="eastAsia"/>
          <w:b w:val="0"/>
          <w:bCs w:val="0"/>
          <w:sz w:val="24"/>
          <w:szCs w:val="24"/>
          <w:lang w:val="en-US" w:eastAsia="zh-CN"/>
        </w:rPr>
      </w:pPr>
      <w:r>
        <w:rPr>
          <w:rFonts w:hint="eastAsia" w:ascii="宋体" w:hAnsi="宋体" w:cs="宋体"/>
          <w:b w:val="0"/>
          <w:bCs w:val="0"/>
          <w:sz w:val="24"/>
          <w:szCs w:val="24"/>
          <w:lang w:val="en-US" w:eastAsia="zh-CN"/>
        </w:rPr>
        <w:t>安全文明施工费、安全生产费计提费用执行内蒙古自治区住房和城乡建设厅文件内建标〔2025〕98号文件；</w:t>
      </w:r>
    </w:p>
    <w:p w14:paraId="3326BAA7">
      <w:pPr>
        <w:numPr>
          <w:ilvl w:val="0"/>
          <w:numId w:val="0"/>
        </w:numPr>
        <w:spacing w:line="360" w:lineRule="auto"/>
        <w:rPr>
          <w:rFonts w:hint="eastAsia" w:ascii="宋体" w:hAnsi="宋体" w:cs="宋体"/>
          <w:b/>
          <w:bCs/>
          <w:sz w:val="24"/>
          <w:szCs w:val="24"/>
          <w:lang w:val="en-US" w:eastAsia="zh-CN"/>
        </w:rPr>
      </w:pPr>
      <w:r>
        <w:rPr>
          <w:rFonts w:hint="eastAsia" w:ascii="宋体" w:hAnsi="宋体" w:cs="宋体"/>
          <w:b/>
          <w:bCs/>
          <w:sz w:val="24"/>
          <w:szCs w:val="24"/>
          <w:lang w:val="en-US" w:eastAsia="zh-CN"/>
        </w:rPr>
        <w:t>四、编制说明</w:t>
      </w:r>
    </w:p>
    <w:p w14:paraId="2701F60B">
      <w:pPr>
        <w:numPr>
          <w:ilvl w:val="0"/>
          <w:numId w:val="0"/>
        </w:numPr>
        <w:spacing w:line="360" w:lineRule="auto"/>
        <w:ind w:firstLine="480" w:firstLineChars="200"/>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1、暂列金额70000元（不含税），详见暂列金额其他项目清单与计价汇总表，招投标时不得作为竞争性费用，严格按清单计价规</w:t>
      </w:r>
      <w:r>
        <w:rPr>
          <w:rFonts w:hint="default" w:ascii="宋体" w:hAnsi="宋体" w:cs="宋体"/>
          <w:b w:val="0"/>
          <w:bCs w:val="0"/>
          <w:sz w:val="24"/>
          <w:szCs w:val="24"/>
          <w:lang w:val="en-US" w:eastAsia="zh-CN"/>
        </w:rPr>
        <w:t>范计取9%税金后进行编制</w:t>
      </w:r>
      <w:r>
        <w:rPr>
          <w:rFonts w:hint="eastAsia" w:ascii="宋体" w:hAnsi="宋体" w:cs="宋体"/>
          <w:b w:val="0"/>
          <w:bCs w:val="0"/>
          <w:sz w:val="24"/>
          <w:szCs w:val="24"/>
          <w:lang w:val="en-US" w:eastAsia="zh-CN"/>
        </w:rPr>
        <w:t>，若清单电子招标书中本次费用不显示金额，投标单位严格按照本说明执行。</w:t>
      </w:r>
    </w:p>
    <w:p w14:paraId="1C362A95">
      <w:pPr>
        <w:numPr>
          <w:ilvl w:val="0"/>
          <w:numId w:val="0"/>
        </w:numPr>
        <w:spacing w:line="360" w:lineRule="auto"/>
        <w:ind w:firstLine="480" w:firstLineChars="200"/>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2、本工程设安全生产计提费安全生产计提费暂估11499</w:t>
      </w:r>
      <w:bookmarkStart w:id="0" w:name="_GoBack"/>
      <w:bookmarkEnd w:id="0"/>
      <w:r>
        <w:rPr>
          <w:rFonts w:hint="eastAsia" w:ascii="宋体" w:hAnsi="宋体" w:cs="宋体"/>
          <w:b w:val="0"/>
          <w:bCs w:val="0"/>
          <w:sz w:val="24"/>
          <w:szCs w:val="24"/>
          <w:lang w:val="en-US" w:eastAsia="zh-CN"/>
        </w:rPr>
        <w:t>元（不含税），详见安全生产费其他项目清单与计价汇总表，招投标时不得作为竞争性费用，严格按清单计价规范计取 9%税金后进行编制,若清单电子招标书中本项费用不显示金额，投标单位严格按照本说明执行。</w:t>
      </w:r>
    </w:p>
    <w:p w14:paraId="57CCF8DB">
      <w:pPr>
        <w:numPr>
          <w:ilvl w:val="0"/>
          <w:numId w:val="0"/>
        </w:numPr>
        <w:spacing w:line="360" w:lineRule="auto"/>
        <w:ind w:firstLine="480" w:firstLineChars="200"/>
        <w:rPr>
          <w:rFonts w:hint="default" w:ascii="宋体" w:hAnsi="宋体" w:cs="宋体"/>
          <w:b w:val="0"/>
          <w:bCs w:val="0"/>
          <w:sz w:val="24"/>
          <w:szCs w:val="24"/>
          <w:lang w:val="en-US" w:eastAsia="zh-CN"/>
        </w:rPr>
      </w:pPr>
    </w:p>
    <w:p w14:paraId="41EBE814">
      <w:pPr>
        <w:numPr>
          <w:ilvl w:val="0"/>
          <w:numId w:val="0"/>
        </w:numPr>
        <w:spacing w:line="360" w:lineRule="auto"/>
        <w:rPr>
          <w:rFonts w:hint="default" w:ascii="宋体" w:hAnsi="宋体" w:cs="宋体"/>
          <w:b w:val="0"/>
          <w:bCs w:val="0"/>
          <w:sz w:val="24"/>
          <w:szCs w:val="24"/>
          <w:lang w:val="en-US" w:eastAsia="zh-CN"/>
        </w:rPr>
      </w:pPr>
    </w:p>
    <w:p w14:paraId="3988483E">
      <w:pPr>
        <w:widowControl w:val="0"/>
        <w:numPr>
          <w:ilvl w:val="0"/>
          <w:numId w:val="0"/>
        </w:numPr>
        <w:jc w:val="both"/>
        <w:rPr>
          <w:rFonts w:hint="eastAsia"/>
          <w:b w:val="0"/>
          <w:bCs w:val="0"/>
          <w:sz w:val="21"/>
          <w:szCs w:val="21"/>
          <w:lang w:val="en-US" w:eastAsia="zh-CN"/>
        </w:rPr>
      </w:pPr>
    </w:p>
    <w:p w14:paraId="40346C6E">
      <w:pPr>
        <w:widowControl w:val="0"/>
        <w:numPr>
          <w:ilvl w:val="0"/>
          <w:numId w:val="0"/>
        </w:numPr>
        <w:jc w:val="both"/>
        <w:rPr>
          <w:rFonts w:hint="eastAsia"/>
          <w:b w:val="0"/>
          <w:bCs w:val="0"/>
          <w:sz w:val="21"/>
          <w:szCs w:val="21"/>
          <w:lang w:val="en-US" w:eastAsia="zh-CN"/>
        </w:rPr>
      </w:pPr>
    </w:p>
    <w:p w14:paraId="45ED2757">
      <w:pPr>
        <w:widowControl w:val="0"/>
        <w:numPr>
          <w:ilvl w:val="0"/>
          <w:numId w:val="0"/>
        </w:numPr>
        <w:jc w:val="both"/>
        <w:rPr>
          <w:rFonts w:hint="eastAsia"/>
          <w:b w:val="0"/>
          <w:bCs w:val="0"/>
          <w:sz w:val="21"/>
          <w:szCs w:val="21"/>
          <w:lang w:val="en-US" w:eastAsia="zh-CN"/>
        </w:rPr>
      </w:pPr>
    </w:p>
    <w:p w14:paraId="2A44ADBF">
      <w:pPr>
        <w:widowControl w:val="0"/>
        <w:numPr>
          <w:ilvl w:val="0"/>
          <w:numId w:val="0"/>
        </w:numPr>
        <w:jc w:val="both"/>
        <w:rPr>
          <w:rFonts w:hint="eastAsia"/>
          <w:b w:val="0"/>
          <w:bCs w:val="0"/>
          <w:sz w:val="21"/>
          <w:szCs w:val="21"/>
          <w:lang w:val="en-US" w:eastAsia="zh-CN"/>
        </w:rPr>
      </w:pPr>
    </w:p>
    <w:p w14:paraId="2CBD88D8">
      <w:pPr>
        <w:widowControl w:val="0"/>
        <w:numPr>
          <w:ilvl w:val="0"/>
          <w:numId w:val="0"/>
        </w:numPr>
        <w:jc w:val="both"/>
        <w:rPr>
          <w:rFonts w:hint="eastAsia"/>
          <w:b w:val="0"/>
          <w:bCs w:val="0"/>
          <w:sz w:val="21"/>
          <w:szCs w:val="21"/>
          <w:lang w:val="en-US" w:eastAsia="zh-CN"/>
        </w:rPr>
      </w:pPr>
    </w:p>
    <w:p w14:paraId="178596F3">
      <w:pPr>
        <w:widowControl w:val="0"/>
        <w:numPr>
          <w:ilvl w:val="0"/>
          <w:numId w:val="0"/>
        </w:numPr>
        <w:jc w:val="right"/>
        <w:rPr>
          <w:rFonts w:hint="eastAsia"/>
          <w:b/>
          <w:bCs/>
          <w:sz w:val="24"/>
          <w:szCs w:val="24"/>
          <w:lang w:val="en-US" w:eastAsia="zh-CN"/>
        </w:rPr>
      </w:pPr>
    </w:p>
    <w:p w14:paraId="4612C66A">
      <w:pPr>
        <w:jc w:val="left"/>
        <w:rPr>
          <w:lang w:val="en-US" w:eastAsia="zh-CN"/>
        </w:rPr>
      </w:pP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3BD24">
    <w:pPr>
      <w:pStyle w:val="2"/>
      <w:jc w:val="center"/>
      <w:rPr>
        <w:rFonts w:hint="eastAsia"/>
        <w:sz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decimal"/>
      <w:lvlText w:val="(%1)"/>
      <w:lvlJc w:val="left"/>
      <w:pPr>
        <w:ind w:left="425" w:hanging="425"/>
      </w:pPr>
      <w:rPr>
        <w:rFonts w:hint="default"/>
      </w:rPr>
    </w:lvl>
  </w:abstractNum>
  <w:abstractNum w:abstractNumId="1">
    <w:nsid w:val="0000000B"/>
    <w:multiLevelType w:val="singleLevel"/>
    <w:tmpl w:val="0000000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574DBC"/>
    <w:rsid w:val="12A6526B"/>
    <w:rsid w:val="24F7685A"/>
    <w:rsid w:val="26F87C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774</Words>
  <Characters>819</Characters>
  <Lines>0</Lines>
  <Paragraphs>0</Paragraphs>
  <TotalTime>16</TotalTime>
  <ScaleCrop>false</ScaleCrop>
  <LinksUpToDate>false</LinksUpToDate>
  <CharactersWithSpaces>821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2019-11-30T11:29:00Z</dcterms:created>
  <dc:creator>LYX</dc:creator>
  <cp:lastModifiedBy>升级版转龙液  椰风挡不住</cp:lastModifiedBy>
  <cp:lastPrinted>2023-02-03T17:54:00Z</cp:lastPrinted>
  <dcterms:modified xsi:type="dcterms:W3CDTF">2025-09-29T03:47:53Z</dcterms:modified>
  <dc:title>LYX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8E7EC662CDB24209A9E3564BD413B594_13</vt:lpwstr>
  </property>
  <property fmtid="{D5CDD505-2E9C-101B-9397-08002B2CF9AE}" pid="4" name="KSOTemplateDocerSaveRecord">
    <vt:lpwstr>eyJoZGlkIjoiMjBkMDYxMGUzM2FhYWU3Zjc0YmI3YTUxNzRkYmVmN2QiLCJ1c2VySWQiOiI3NDk2MzI2MjYifQ==</vt:lpwstr>
  </property>
</Properties>
</file>