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全旗2024年度土地矿产卫片执法外业核查项目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准格尔旗自然资源局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内蒙古启明星项目管理有限公司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ESZCZQS-C-F-250002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内蒙古启明星项目管理有限公司</w:t>
      </w:r>
      <w:r>
        <w:rPr>
          <w:rFonts w:ascii="仿宋_GB2312" w:hAnsi="仿宋_GB2312" w:cs="仿宋_GB2312" w:eastAsia="仿宋_GB2312"/>
        </w:rPr>
        <w:t xml:space="preserve"> 受 </w:t>
      </w:r>
      <w:r>
        <w:rPr>
          <w:rFonts w:ascii="仿宋_GB2312" w:hAnsi="仿宋_GB2312" w:cs="仿宋_GB2312" w:eastAsia="仿宋_GB2312"/>
        </w:rPr>
        <w:t>准格尔旗自然资源局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全旗2024年度土地矿产卫片执法外业核查项目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全旗2024年度土地矿产卫片执法外业核查项目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ESZCZQS-C-F-250002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430[2025]00032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全旗 2024 年度土地矿产卫片执法外业核查项目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1、企业资质：投标供应商须具备行政主管部门核发的测绘资质乙级(含乙级)及以上资质</w:t>
      </w:r>
    </w:p>
    <w:p>
      <w:pPr>
        <w:pStyle w:val="null5"/>
        <w:jc w:val="left"/>
      </w:pPr>
      <w:r>
        <w:rPr>
          <w:rFonts w:ascii="仿宋_GB2312" w:hAnsi="仿宋_GB2312" w:cs="仿宋_GB2312" w:eastAsia="仿宋_GB2312"/>
        </w:rPr>
        <w:t>2、项目负责人：拟派项目负责人须具备中级及以上工程师(测绘类专业)资格证书。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内蒙古启明星项目管理有限公司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内蒙古自治区呼和浩特市曙光大厦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13327126579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准格尔旗自然资源局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鄂尔多斯市准格尔旗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准格尔旗自然资源局</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13947796261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代理服务费收费标准：参照内蒙古自治区工程建设协会印发的《内蒙古自治区建设工程招标代理服务收费指导意见》（内工建协（2022）34号）文件规定的收费标准收取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w:t>
            </w:r>
          </w:p>
          <w:p>
            <w:pPr>
              <w:pStyle w:val="null5"/>
              <w:jc w:val="left"/>
            </w:pPr>
            <w:r>
              <w:rPr>
                <w:rFonts w:ascii="仿宋_GB2312" w:hAnsi="仿宋_GB2312" w:cs="仿宋_GB2312" w:eastAsia="仿宋_GB2312"/>
              </w:rPr>
              <w:t>（1）本项目各单价控制价为：图斑与批复套合图200元/个，批复范围MDB格式50元/个，拆分图斑 SHP50元/个，地类统计50元/个，外业核查拍照(煤矿塌陷区、采坑排土场无法达到现场，需无人机拍摄)800元/个，拆分图斑实地放线(自喷漆)800元/个，老旧土地证数字化成图50元/个，设施农用地备案范围数字化成图50元/个，宅基地范围数字化成图50元/个，施工临时用地数字化成图 50元/个，矢量分析/影像判读50元/个，投标单价超出各单价控制价按无效投标处理。 （2）供应商必须在响应文件分项报价表中列明“图斑与批复套合图，批复范围MDB格式，拆分图斑，地类统计，外业核查拍照(煤矿塌陷区、采坑排土场无法达到现场，需无人机拍摄)，拆分图斑实地放线(自喷漆)，老旧土地证数字化成图，设施农用地备案范围数字化成图，宅基地范围数字化成图，施工临时用地数字化成图,矢量分析/影像判读”的投标单价”报价。 （3）为了保证供应商在平等基础上报价，在填写总报价时，以各项目单价乘以909个计算，汇总总价后进行报价（注：909个仅用于本项目报价分计算，不作为结算依据，最终以实际工作量结算费用。） ■（4）本项目为竞争性磋商采购方式，磋商结束后，所有实质性响应的供应商须在规定时间内提交最后报价，为确保所有供应商在有效时间内完成最后报价的提交，请各供应商提前制作最后报价表（各项单价明细须与总价一致）并加盖公章，最后报价时做为附件上传，最后报价是供应商响应文件的有效组成部分。</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准格尔旗自然资源局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内蒙古启明星项目管理有限公司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全旗 2024 年度土地矿产卫片执法外业核查项目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1、核查报告验收通过后，按照合同约定支付相关服务单位委托业务费，达到付款条件起30日，支付合同总金额的100.00%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标的名称：全旗 2024 年度土地矿产卫片执法外业核查项目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32"/>
                <w:b/>
              </w:rPr>
              <w:t>采购需求</w:t>
            </w:r>
          </w:p>
          <w:p>
            <w:pPr>
              <w:pStyle w:val="null5"/>
              <w:jc w:val="both"/>
            </w:pPr>
            <w:r>
              <w:rPr>
                <w:rFonts w:ascii="仿宋_GB2312" w:hAnsi="仿宋_GB2312" w:cs="仿宋_GB2312" w:eastAsia="仿宋_GB2312"/>
                <w:sz w:val="28"/>
                <w:b/>
              </w:rPr>
              <w:t>一、项目概况</w:t>
            </w:r>
          </w:p>
          <w:p>
            <w:pPr>
              <w:pStyle w:val="null5"/>
              <w:ind w:firstLine="560"/>
              <w:jc w:val="both"/>
            </w:pPr>
            <w:r>
              <w:rPr>
                <w:rFonts w:ascii="仿宋_GB2312" w:hAnsi="仿宋_GB2312" w:cs="仿宋_GB2312" w:eastAsia="仿宋_GB2312"/>
                <w:sz w:val="28"/>
              </w:rPr>
              <w:t>按照《自然资源部办公厅关于利用</w:t>
            </w:r>
            <w:r>
              <w:rPr>
                <w:rFonts w:ascii="仿宋_GB2312" w:hAnsi="仿宋_GB2312" w:cs="仿宋_GB2312" w:eastAsia="仿宋_GB2312"/>
                <w:sz w:val="28"/>
              </w:rPr>
              <w:t xml:space="preserve"> 2024 年季度卫片监测成果开展日常执法工作的通知》（自然资办发〔2024〕4 号）、《自然资源部关于开展2024年度土地卫片执法第二轮试点工作的函》（自然资执法函〔2024〕77号）、《自然资源部办公厅关于开展2024年度土地卫片执法工作的通知》（自然资办发〔2024〕49号）、《内蒙古</w:t>
            </w:r>
            <w:r>
              <w:rPr>
                <w:rFonts w:ascii="仿宋_GB2312" w:hAnsi="仿宋_GB2312" w:cs="仿宋_GB2312" w:eastAsia="仿宋_GB2312"/>
                <w:sz w:val="28"/>
              </w:rPr>
              <w:t>自</w:t>
            </w:r>
            <w:r>
              <w:rPr>
                <w:rFonts w:ascii="仿宋_GB2312" w:hAnsi="仿宋_GB2312" w:cs="仿宋_GB2312" w:eastAsia="仿宋_GB2312"/>
                <w:sz w:val="28"/>
              </w:rPr>
              <w:t>治区</w:t>
            </w:r>
            <w:r>
              <w:rPr>
                <w:rFonts w:ascii="仿宋_GB2312" w:hAnsi="仿宋_GB2312" w:cs="仿宋_GB2312" w:eastAsia="仿宋_GB2312"/>
                <w:sz w:val="28"/>
              </w:rPr>
              <w:t>自</w:t>
            </w:r>
            <w:r>
              <w:rPr>
                <w:rFonts w:ascii="仿宋_GB2312" w:hAnsi="仿宋_GB2312" w:cs="仿宋_GB2312" w:eastAsia="仿宋_GB2312"/>
                <w:sz w:val="28"/>
              </w:rPr>
              <w:t>然资源厅关于印发内蒙古</w:t>
            </w:r>
            <w:r>
              <w:rPr>
                <w:rFonts w:ascii="仿宋_GB2312" w:hAnsi="仿宋_GB2312" w:cs="仿宋_GB2312" w:eastAsia="仿宋_GB2312"/>
                <w:sz w:val="28"/>
              </w:rPr>
              <w:t>自</w:t>
            </w:r>
            <w:r>
              <w:rPr>
                <w:rFonts w:ascii="仿宋_GB2312" w:hAnsi="仿宋_GB2312" w:cs="仿宋_GB2312" w:eastAsia="仿宋_GB2312"/>
                <w:sz w:val="28"/>
              </w:rPr>
              <w:t>治区</w:t>
            </w:r>
            <w:r>
              <w:rPr>
                <w:rFonts w:ascii="仿宋_GB2312" w:hAnsi="仿宋_GB2312" w:cs="仿宋_GB2312" w:eastAsia="仿宋_GB2312"/>
                <w:sz w:val="28"/>
              </w:rPr>
              <w:t>2024年土地矿产卫片执法工作实施方案的通知》（内自然资字〔2024〕198号）、《内蒙古自治区自然资源厅关于做好 2024 年度土地卫片执法工作的通知》（内自然资字〔2024〕522号）等文件要求，为提高年度卫片执法工作质量，保证卫片执法系统数据的准确性、真实性，在土地矿产卫片执法的外业核查、判定、系统填报工作中，需对自然资源部下发我旗2024年度土地卫片执法第二轮试点图斑、2024年年度土地卫片图斑、矿产卫片图斑进行以下工作：图斑与批复套合图、批复范围MDB格式、拆分图斑SHP、地类统计、外业核查拍照（煤矿塌陷区、采坑排土场无法达到现场，需无人机拍摄）、拆分图斑实地放线（自喷漆）、老旧土地证数字化成图、设施农用地备案范围数字化成图、宅基地范围数字化成图、施工临时用地数字化成图、影像判读、矢量分析等工作。</w:t>
            </w:r>
          </w:p>
          <w:p>
            <w:pPr>
              <w:pStyle w:val="null5"/>
              <w:ind w:firstLine="560"/>
              <w:jc w:val="both"/>
            </w:pPr>
            <w:r>
              <w:rPr>
                <w:rFonts w:ascii="仿宋_GB2312" w:hAnsi="仿宋_GB2312" w:cs="仿宋_GB2312" w:eastAsia="仿宋_GB2312"/>
                <w:sz w:val="28"/>
              </w:rPr>
              <w:t>上述项目按照实际工作情况单个计费，图斑与批复套合图</w:t>
            </w:r>
            <w:r>
              <w:rPr>
                <w:rFonts w:ascii="仿宋_GB2312" w:hAnsi="仿宋_GB2312" w:cs="仿宋_GB2312" w:eastAsia="仿宋_GB2312"/>
                <w:sz w:val="28"/>
              </w:rPr>
              <w:t>200元/个，批复范围MDB格式50元/个，拆分图斑 SHP50元/个，地类统计50元/个，外业核查拍照(煤矿塌陷区、采坑排土场无法达到现场，需无人机拍摄)800元/个，拆分图斑实地放线(自喷漆)800元/个，老旧土地证数字化成图50元/个，设施农用地备案范围数字化成图50元/个，宅基地范围数字化成图50元/个，施工临时用地数字化成图 50元/个</w:t>
            </w:r>
            <w:r>
              <w:rPr>
                <w:rFonts w:ascii="仿宋_GB2312" w:hAnsi="仿宋_GB2312" w:cs="仿宋_GB2312" w:eastAsia="仿宋_GB2312"/>
                <w:sz w:val="28"/>
              </w:rPr>
              <w:t>，</w:t>
            </w:r>
            <w:r>
              <w:rPr>
                <w:rFonts w:ascii="仿宋_GB2312" w:hAnsi="仿宋_GB2312" w:cs="仿宋_GB2312" w:eastAsia="仿宋_GB2312"/>
                <w:sz w:val="28"/>
              </w:rPr>
              <w:t>矢量分析</w:t>
            </w:r>
            <w:r>
              <w:rPr>
                <w:rFonts w:ascii="仿宋_GB2312" w:hAnsi="仿宋_GB2312" w:cs="仿宋_GB2312" w:eastAsia="仿宋_GB2312"/>
                <w:sz w:val="28"/>
              </w:rPr>
              <w:t>/影像判读50元/个</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b/>
              </w:rPr>
              <w:t>二、</w:t>
            </w:r>
            <w:r>
              <w:rPr>
                <w:rFonts w:ascii="仿宋_GB2312" w:hAnsi="仿宋_GB2312" w:cs="仿宋_GB2312" w:eastAsia="仿宋_GB2312"/>
                <w:sz w:val="28"/>
                <w:b/>
              </w:rPr>
              <w:t>工作要求</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技术承担单位需要对土地卫片执法图斑进行合法性核查判定，并严格执行自然资源部制定《土地卫片执法图斑合法性判定规则》和《矿产卫片执法图斑填报指南（试行）》标准；</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技术承担单位需要对下发图斑进行外业实地勘测、拍照和资料收集，其中占</w:t>
            </w:r>
            <w:r>
              <w:rPr>
                <w:rFonts w:ascii="仿宋_GB2312" w:hAnsi="仿宋_GB2312" w:cs="仿宋_GB2312" w:eastAsia="仿宋_GB2312"/>
                <w:sz w:val="28"/>
              </w:rPr>
              <w:t>耕地图斑、占用基本农田、报拆除图斑以及重要矿种图斑核查比例达到</w:t>
            </w:r>
            <w:r>
              <w:rPr>
                <w:rFonts w:ascii="仿宋_GB2312" w:hAnsi="仿宋_GB2312" w:cs="仿宋_GB2312" w:eastAsia="仿宋_GB2312"/>
                <w:sz w:val="28"/>
              </w:rPr>
              <w:t>100%；并对外业图斑进行无人机拍照</w:t>
            </w:r>
            <w:r>
              <w:rPr>
                <w:rFonts w:ascii="仿宋_GB2312" w:hAnsi="仿宋_GB2312" w:cs="仿宋_GB2312" w:eastAsia="仿宋_GB2312"/>
                <w:sz w:val="28"/>
              </w:rPr>
              <w:t>举证</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技术承担单位需要对下发图斑进行土地利用现状、永久基本农田、生态保护红线、等相关数据套合分析，形成汇总表格和图件数据成果；</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技术承担单位需要对下发图斑叠加国家下发遥感影像数据，套合分析形成影像图件数据成果；</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技术承担单位需要</w:t>
            </w:r>
            <w:r>
              <w:rPr>
                <w:rFonts w:ascii="仿宋_GB2312" w:hAnsi="仿宋_GB2312" w:cs="仿宋_GB2312" w:eastAsia="仿宋_GB2312"/>
                <w:sz w:val="28"/>
              </w:rPr>
              <w:t>提交</w:t>
            </w:r>
            <w:r>
              <w:rPr>
                <w:rFonts w:ascii="仿宋_GB2312" w:hAnsi="仿宋_GB2312" w:cs="仿宋_GB2312" w:eastAsia="仿宋_GB2312"/>
                <w:sz w:val="28"/>
              </w:rPr>
              <w:t>卫片核查</w:t>
            </w:r>
            <w:r>
              <w:rPr>
                <w:rFonts w:ascii="仿宋_GB2312" w:hAnsi="仿宋_GB2312" w:cs="仿宋_GB2312" w:eastAsia="仿宋_GB2312"/>
                <w:sz w:val="28"/>
              </w:rPr>
              <w:t>成果</w:t>
            </w:r>
            <w:r>
              <w:rPr>
                <w:rFonts w:ascii="仿宋_GB2312" w:hAnsi="仿宋_GB2312" w:cs="仿宋_GB2312" w:eastAsia="仿宋_GB2312"/>
                <w:sz w:val="28"/>
              </w:rPr>
              <w:t>电子数据。</w:t>
            </w:r>
          </w:p>
          <w:p>
            <w:pPr>
              <w:pStyle w:val="null5"/>
              <w:jc w:val="both"/>
            </w:pPr>
            <w:r>
              <w:rPr>
                <w:rFonts w:ascii="仿宋_GB2312" w:hAnsi="仿宋_GB2312" w:cs="仿宋_GB2312" w:eastAsia="仿宋_GB2312"/>
                <w:sz w:val="28"/>
                <w:b/>
              </w:rPr>
              <w:t>三、技术服务要求</w:t>
            </w:r>
          </w:p>
          <w:p>
            <w:pPr>
              <w:pStyle w:val="null5"/>
              <w:ind w:firstLine="560"/>
              <w:jc w:val="both"/>
            </w:pPr>
            <w:r>
              <w:rPr>
                <w:rFonts w:ascii="仿宋_GB2312" w:hAnsi="仿宋_GB2312" w:cs="仿宋_GB2312" w:eastAsia="仿宋_GB2312"/>
                <w:sz w:val="28"/>
              </w:rPr>
              <w:t>要求如下：</w:t>
            </w:r>
          </w:p>
          <w:p>
            <w:pPr>
              <w:pStyle w:val="null5"/>
              <w:numPr>
                <w:ilvl w:val="0"/>
                <w:numId w:val="1"/>
              </w:numPr>
              <w:jc w:val="both"/>
            </w:pPr>
            <w:r>
              <w:rPr>
                <w:rFonts w:ascii="仿宋_GB2312" w:hAnsi="仿宋_GB2312" w:cs="仿宋_GB2312" w:eastAsia="仿宋_GB2312"/>
                <w:sz w:val="28"/>
              </w:rPr>
              <w:t>以国家下发的卫片执法图斑为基础资料，进行内外业核查，加强成果分析，使其更具广泛性、</w:t>
            </w:r>
            <w:r>
              <w:rPr>
                <w:rFonts w:ascii="仿宋_GB2312" w:hAnsi="仿宋_GB2312" w:cs="仿宋_GB2312" w:eastAsia="仿宋_GB2312"/>
                <w:sz w:val="28"/>
              </w:rPr>
              <w:t>实用性和可读性。</w:t>
            </w:r>
          </w:p>
          <w:p>
            <w:pPr>
              <w:pStyle w:val="null5"/>
              <w:numPr>
                <w:ilvl w:val="0"/>
                <w:numId w:val="1"/>
              </w:numPr>
              <w:jc w:val="both"/>
            </w:pPr>
            <w:r>
              <w:rPr>
                <w:rFonts w:ascii="仿宋_GB2312" w:hAnsi="仿宋_GB2312" w:cs="仿宋_GB2312" w:eastAsia="仿宋_GB2312"/>
                <w:sz w:val="28"/>
              </w:rPr>
              <w:t>资料翔实，事出有据，分析科学。</w:t>
            </w:r>
            <w:r>
              <w:rPr>
                <w:rFonts w:ascii="仿宋_GB2312" w:hAnsi="仿宋_GB2312" w:cs="仿宋_GB2312" w:eastAsia="仿宋_GB2312"/>
                <w:sz w:val="28"/>
              </w:rPr>
              <w:t xml:space="preserve">  </w:t>
            </w:r>
          </w:p>
          <w:p>
            <w:pPr>
              <w:pStyle w:val="null5"/>
              <w:numPr>
                <w:ilvl w:val="0"/>
                <w:numId w:val="1"/>
              </w:numPr>
              <w:jc w:val="both"/>
            </w:pPr>
            <w:r>
              <w:rPr>
                <w:rFonts w:ascii="仿宋_GB2312" w:hAnsi="仿宋_GB2312" w:cs="仿宋_GB2312" w:eastAsia="仿宋_GB2312"/>
                <w:sz w:val="28"/>
              </w:rPr>
              <w:t>表、图配置合理，一致性好。</w:t>
            </w:r>
          </w:p>
          <w:p>
            <w:pPr>
              <w:pStyle w:val="null5"/>
              <w:jc w:val="left"/>
            </w:pPr>
            <w:r>
              <w:rPr>
                <w:rFonts w:ascii="仿宋_GB2312" w:hAnsi="仿宋_GB2312" w:cs="仿宋_GB2312" w:eastAsia="仿宋_GB2312"/>
                <w:sz w:val="28"/>
                <w:b/>
              </w:rPr>
              <w:t>四、</w:t>
            </w:r>
            <w:r>
              <w:rPr>
                <w:rFonts w:ascii="仿宋_GB2312" w:hAnsi="仿宋_GB2312" w:cs="仿宋_GB2312" w:eastAsia="仿宋_GB2312"/>
                <w:sz w:val="28"/>
                <w:b/>
              </w:rPr>
              <w:t>上报内容</w:t>
            </w:r>
          </w:p>
          <w:p>
            <w:pPr>
              <w:pStyle w:val="null5"/>
              <w:ind w:firstLine="560"/>
              <w:jc w:val="both"/>
            </w:pPr>
            <w:r>
              <w:rPr>
                <w:rFonts w:ascii="仿宋_GB2312" w:hAnsi="仿宋_GB2312" w:cs="仿宋_GB2312" w:eastAsia="仿宋_GB2312"/>
                <w:sz w:val="28"/>
              </w:rPr>
              <w:t>在执法综合监管平台中对下发图斑进行</w:t>
            </w:r>
            <w:r>
              <w:rPr>
                <w:rFonts w:ascii="仿宋_GB2312" w:hAnsi="仿宋_GB2312" w:cs="仿宋_GB2312" w:eastAsia="仿宋_GB2312"/>
                <w:sz w:val="28"/>
              </w:rPr>
              <w:t>数据分析</w:t>
            </w:r>
            <w:r>
              <w:rPr>
                <w:rFonts w:ascii="仿宋_GB2312" w:hAnsi="仿宋_GB2312" w:cs="仿宋_GB2312" w:eastAsia="仿宋_GB2312"/>
                <w:sz w:val="28"/>
              </w:rPr>
              <w:t>，对需要外业实地核查的图斑同时进行内业数据套合分析，并按</w:t>
            </w:r>
            <w:r>
              <w:rPr>
                <w:rFonts w:ascii="仿宋_GB2312" w:hAnsi="仿宋_GB2312" w:cs="仿宋_GB2312" w:eastAsia="仿宋_GB2312"/>
                <w:sz w:val="28"/>
              </w:rPr>
              <w:t>图斑</w:t>
            </w:r>
            <w:r>
              <w:rPr>
                <w:rFonts w:ascii="仿宋_GB2312" w:hAnsi="仿宋_GB2312" w:cs="仿宋_GB2312" w:eastAsia="仿宋_GB2312"/>
                <w:sz w:val="28"/>
              </w:rPr>
              <w:t>整理</w:t>
            </w:r>
            <w:r>
              <w:rPr>
                <w:rFonts w:ascii="仿宋_GB2312" w:hAnsi="仿宋_GB2312" w:cs="仿宋_GB2312" w:eastAsia="仿宋_GB2312"/>
                <w:sz w:val="28"/>
              </w:rPr>
              <w:t>数据</w:t>
            </w:r>
            <w:r>
              <w:rPr>
                <w:rFonts w:ascii="仿宋_GB2312" w:hAnsi="仿宋_GB2312" w:cs="仿宋_GB2312" w:eastAsia="仿宋_GB2312"/>
                <w:sz w:val="28"/>
              </w:rPr>
              <w:t>，包括表格类成果、图件类成果。</w:t>
            </w:r>
          </w:p>
          <w:p>
            <w:pPr>
              <w:pStyle w:val="null5"/>
              <w:jc w:val="center"/>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 2.提供递交响应文件截止之日前一年内（至少一 个月）缴纳社会保险的凭证。（以专用收据或社会保险缴纳清单为准）注：其他组织和自然 人也需要提供缴纳税收的凭据和缴纳社保的凭证。依法免税或不需要缴纳社会保障资金的供 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 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w:t>
            </w:r>
          </w:p>
        </w:tc>
        <w:tc>
          <w:tcPr>
            <w:tcW w:type="dxa" w:w="4984"/>
          </w:tcPr>
          <w:p>
            <w:pPr>
              <w:pStyle w:val="null5"/>
              <w:jc w:val="left"/>
            </w:pPr>
            <w:r>
              <w:rPr>
                <w:rFonts w:ascii="仿宋_GB2312" w:hAnsi="仿宋_GB2312" w:cs="仿宋_GB2312" w:eastAsia="仿宋_GB2312"/>
              </w:rPr>
              <w:t>投标供应商须具备行政主管部门核发的测绘资质乙级(含乙级)及以上资质</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拟派项目负责人须具备中级及以上工程师(测绘类专业)资格证书。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项目技术方案总述</w:t>
            </w:r>
          </w:p>
        </w:tc>
        <w:tc>
          <w:tcPr>
            <w:tcW w:type="dxa" w:w="3115"/>
          </w:tcPr>
          <w:p>
            <w:pPr>
              <w:pStyle w:val="null5"/>
              <w:jc w:val="left"/>
            </w:pPr>
            <w:r>
              <w:rPr>
                <w:rFonts w:ascii="仿宋_GB2312" w:hAnsi="仿宋_GB2312" w:cs="仿宋_GB2312" w:eastAsia="仿宋_GB2312"/>
              </w:rPr>
              <w:t>1.项目目标明确性：明确项目的总体目标和具体任务，表述清晰，逻辑严密。 2.技术路线可行性：提出科学、合理的技术路线，符合行业标准和实际需求。 3.数据来源及处理方案：说明数据来源的合法性和可靠性，数据处理流程完整、规范。 4.技术手段先进性：采用的技术手段是否先进，是否具备创新性。 5.项目实施组织架构：明确项目实施的组织架构及人员分工，职责清晰。 注：（每小项分值为4分，缺项扣4分)，每小项如出现凭空编造、内容前后不一致、逻辑混乱、不符合采购需求、内容缺失、内容不合理的情况，每出现一种情况扣1分，每小项最多扣4分。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1.重点任务识别：准确识别项目中的重点任务，并制定针对性措施。 2.难点问题分析：对项目实施中可能遇到的难点问题进行全面分析。 3.解决方案合理性：针对难点问题提出的解决方案是否合理、可行。 4.风险管理措施：制定完善的风险管理措施，具备可操作性。 注：（每小项分值为2.5分，缺项扣2.5分)，小项如出现凭空编造、内容前后不一致、逻辑混乱、不符合采购需求、内容缺失、内容不合理的情况，每出现一种情况扣0.5分，每小项最多扣2.5分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项目编制工作进度计划</w:t>
            </w:r>
          </w:p>
        </w:tc>
        <w:tc>
          <w:tcPr>
            <w:tcW w:type="dxa" w:w="3115"/>
          </w:tcPr>
          <w:p>
            <w:pPr>
              <w:pStyle w:val="null5"/>
              <w:jc w:val="left"/>
            </w:pPr>
            <w:r>
              <w:rPr>
                <w:rFonts w:ascii="仿宋_GB2312" w:hAnsi="仿宋_GB2312" w:cs="仿宋_GB2312" w:eastAsia="仿宋_GB2312"/>
              </w:rPr>
              <w:t>1.阶段性目标明确：明确各阶段的工作目标和任务。 2.时间节点合理性：时间安排合理，符合项目实施的实际需求。 3.关键路径识别：准确识别项目实施的关键路径，并制定相应措施。 4.资源配置计划：明确各阶段所需的资源（人力、物力、资金等）。 5.进度监控机制：建立有效的进度监控和调整机制。 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w:t>
            </w:r>
          </w:p>
        </w:tc>
        <w:tc>
          <w:tcPr>
            <w:tcW w:type="dxa" w:w="3115"/>
          </w:tcPr>
          <w:p>
            <w:pPr>
              <w:pStyle w:val="null5"/>
              <w:jc w:val="left"/>
            </w:pPr>
            <w:r>
              <w:rPr>
                <w:rFonts w:ascii="仿宋_GB2312" w:hAnsi="仿宋_GB2312" w:cs="仿宋_GB2312" w:eastAsia="仿宋_GB2312"/>
              </w:rPr>
              <w:t>1.流程完整性：工作流程设计完整，覆盖项目实施的全过程。 2.流程逻辑性：各环节逻辑清晰，衔接紧密，无冗余或缺失。 3.标准化程度：流程符合相关标准和规范，具备可复制性。 4.协同配合机制：明确各参与方的协同配合机制，职责清晰。 5.流程优化建议：针对现有流程提出优化建议，具备可操作性。 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服务承诺及保证措施</w:t>
            </w:r>
          </w:p>
        </w:tc>
        <w:tc>
          <w:tcPr>
            <w:tcW w:type="dxa" w:w="3115"/>
          </w:tcPr>
          <w:p>
            <w:pPr>
              <w:pStyle w:val="null5"/>
              <w:jc w:val="left"/>
            </w:pPr>
            <w:r>
              <w:rPr>
                <w:rFonts w:ascii="仿宋_GB2312" w:hAnsi="仿宋_GB2312" w:cs="仿宋_GB2312" w:eastAsia="仿宋_GB2312"/>
              </w:rPr>
              <w:t>1.服务响应时间：明确服务响应时间，具备及时性。 2.问题解决机制：建立完善的问题解决机制，具备高效性。 3.客户沟通渠道：提供多种客户沟通渠道，确保信息畅通。 4.服务标准承诺：明确服务标准，并承诺严格执行。 5.投诉处理机制：制定完善的投诉处理机制，具备公正性。 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1.质量管理体系：建立完善的质量管理体系，符合相关标准。 2.质量监控机制：制定有效的质量监控机制，确保项目质量。 3.质量控制措施：提出具体的质量控制措施，具备可操作性。 4.质量验收标准：明确质量验收标准，并严格执行。 5.持续改进机制：建立持续改进机制，不断提升项目质量。 注：（每小项分值为2分，缺项扣2分)，小项如出现凭空编造、内容前后不一致、逻辑混乱、不符合采购需求、内容缺失、内容不合理的情况，每出现一种情况扣0.5分，每小项最多扣2分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投标人2022年1月至今承担过的测绘类业绩，以中标通知书或合同或甲方出具的委托函为准，每有一个得2分，最高得10分。（投标文件须附原件的扫描件）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除项目负责人外，项目管理机构每有一人具有测绘专业类中级及以上技术职 称，每有一人得2分，最多得10分。（投标文件须附原件的扫描件）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