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内蒙古硅源新能电子材料有限公司项目用地废弃物清除</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鄂尔多斯准格尔经济开发区建设管理局（生态环境管理办公室）</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内蒙古中佳泰达项目管理有限公司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ZQJGZCS-C-G-250006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内蒙古中佳泰达项目管理有限公司</w:t>
      </w:r>
      <w:r>
        <w:rPr>
          <w:rFonts w:ascii="仿宋_GB2312" w:hAnsi="仿宋_GB2312" w:cs="仿宋_GB2312" w:eastAsia="仿宋_GB2312"/>
        </w:rPr>
        <w:t xml:space="preserve"> 受 </w:t>
      </w:r>
      <w:r>
        <w:rPr>
          <w:rFonts w:ascii="仿宋_GB2312" w:hAnsi="仿宋_GB2312" w:cs="仿宋_GB2312" w:eastAsia="仿宋_GB2312"/>
        </w:rPr>
        <w:t>鄂尔多斯准格尔经济开发区建设管理局（生态环境管理办公室）</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内蒙古硅源新能电子材料有限公司项目用地废弃物清除</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内蒙古硅源新能电子材料有限公司项目用地废弃物清除</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ZQJGZCS-C-G-250006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430002[2025]00005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1,679,090.00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内蒙古硅源新能电子材料有限公司项目用地废弃物清除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1,679,090.00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1、供应商资格条件：供应商须具备建设行政主管部门核发的【建筑工程施工总承包】叁级（含）以上资质，如供应商已申办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含）以上资质，且具备有效的安全生产许可证，并在人员、设备、资金等方面具有相应的能力，（响应文件须附资质证书原件扫描件）</w:t>
      </w:r>
    </w:p>
    <w:p>
      <w:pPr>
        <w:pStyle w:val="null5"/>
        <w:jc w:val="left"/>
      </w:pPr>
      <w:r>
        <w:rPr>
          <w:rFonts w:ascii="仿宋_GB2312" w:hAnsi="仿宋_GB2312" w:cs="仿宋_GB2312" w:eastAsia="仿宋_GB2312"/>
        </w:rPr>
        <w:t>2、项目负责人要求：（1）项目负责人须配备至少两名[建筑工程专业二级]（含）以上建造师，须在投标单位注册，同时具备有效的B类安全生产考核合格证书（以建造师执业资格证、注册证、B类安全生产考核合格证为准，响应文件中须附原件扫描件），且未担任其他在建工程的项目负责人（提供承诺书并加盖公章，格式自拟）(2)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内蒙古中佳泰达项目管理有限公司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内蒙古自治区包头市青山区文化路78号青山一百购物中心-A1401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杜文燕</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18647760279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鄂尔多斯准格尔经济开发区建设管理局（生态环境管理办公室）</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准格尔经济开发区管委会办公楼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安女士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15904770234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代理服务费收费标准：收取。最终服务费以中标金额计取，参照内建工建协[2022]34号文件《关于印发内蒙古自治区建设工程招标代理服务收费指导意见》，以中标通知书的中标金额为计费基数计算。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程量清单编制: 供应商须按照国家及地方现行规范及采购人提供的工程量清单要求编制已标价工程量清单，并将完整的已标价工程量清单（首轮）编入响应文件中，作为响应文件的组成部分，提交最终（二轮）报价时须同时提交（上传）调整后的已标价工程量清单（编制要求详见采购工程量清单编制说明，《采购工程量清单》详见附件），如供应商提交最终（二轮）报价时未按要求上传调整后的已标价工程量清单，成交后按照有利于采购人原则进行调整。 合同价款形式: 总价合同 政府采购合同融资政策: 政府采购合同融资政策、渠道和指南等有关事宜执行《内蒙古自治区支持中小企业政府采购合同融资办法》及其他相关政策。 报价说明: 当供应商的投标报价低于最高投标限价80%时，有可能影响施工质量、难以诚信履约时，要求供应商在合理的时间内提供书面说明，说明内容包括但不限于其最后报价与首次报价差额的原因、可诚信履约的具体理由等。供应商不能说明报价合理性的，磋商小组可以将其作为无效响应。 其他要求: 如因政策调整或其他原因，该项目停止实施或取消，则本次采购招标结果作废，相应合同自动终止，采购人不承担任何责任，投标供应商及中标供应商放弃因此而向采购人提出任何主张的权利。</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鄂尔多斯准格尔经济开发区建设管理局（生态环境管理办公室）</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内蒙古中佳泰达项目管理有限公司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该项目位于鄂尔多斯市准格尔产业园区，内容包括项目用地废弃物清除工程等。具体内容详见附件《采购工程量清单》。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标的名称：内蒙古硅源新能电子材料有限公司项目用地废弃物清除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000000"/>
              </w:rPr>
              <w:t>具体内容详见工程量清单，投标文件须附已标价工程量清单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注:其他组织和自然人也需要提供缴纳税收的凭据和缴纳社保的凭证。依法免税或不需要缴纳社会保障资金的供应商，应提供相应文件证明其依法免税或不需要缴纳社会保障资金。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审查“参加本采购活动前3年内，在经营活动中没有重大违法记录”供应商书面声明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资格审查时，供应商未被列入失信被执行人、重大税收违法失信主体、政府采购严重违法失信行为记录名单，相关信用情况通过“信用中国”网站和“中国政府采购网”渠道查询。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供应商资格条件</w:t>
            </w:r>
          </w:p>
        </w:tc>
        <w:tc>
          <w:tcPr>
            <w:tcW w:type="dxa" w:w="4984"/>
          </w:tcPr>
          <w:p>
            <w:pPr>
              <w:pStyle w:val="null5"/>
              <w:jc w:val="left"/>
            </w:pPr>
            <w:r>
              <w:rPr>
                <w:rFonts w:ascii="仿宋_GB2312" w:hAnsi="仿宋_GB2312" w:cs="仿宋_GB2312" w:eastAsia="仿宋_GB2312"/>
              </w:rPr>
              <w:t>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含）以上资质，且具备有效的安全生产许可证，并在人员、设备、资金等方面具有相应的能力，（响应文件须附资质证书原件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1）项目负责人须配备至少两名[建筑工程专业二级]（含）以上建造师，须在投标单位注册，同时具备有效的B类安全生产考核合格证书（以建造师执业资格证、注册证、B类安全生产考核合格证为准，响应文件中须附原件扫描件），且未担任其他在建工程的项目负责人（提供承诺书并加盖公章，格式自拟）(2)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施工组织设计编制内容详尽完整、科学有效、针对性强及编制水平高得6分；技术方案内容较为完整、合理、有针对性、编制水平一般得5分；技术方案内容简单、没有针对性、编制潦草得3分，不提供不得分。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等完全符合项目实际情况的得10分；施工方案较为完整，技术措施针对工程质量、工期和施工安全保障等较为符合项目实际情况的得8分；施工方案基本完整，技术措施针对工程质量、工期和施工安全保障等基本符合项目实际情况的得6分；施工方案内容不太完整，技术措施针对工程质量、工期和施工安全保障等与项目实际情况不太相符的得4分；施工方案未考虑项目实际情况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工程进度计划与措施内容完整、合理、可靠、可行性高、针对性强得8分；工程进度计划与措施一般、针对性一般得6分；工 程进度计划与措施内容较差、无针对性得4分，不提供不得分。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质量管理体系与措施针对本项目特点进行编制，内容完整、合理、可行性高、针对性强得8分；质量管理体系与措施内容一般、针对性一般得 6分；质量管理体系与措施内容较差、无针对性得4分，不提供不得分。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安全管理体系与措施内容完整、合理、可靠、可行性高、针对性强得8分；安全管理体系与措施内容一般、针对性一般得6分 ；安全管理体系与措施内容较差、无针对性得4分，不提供不得分。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系与措施，内容完整、合理、可靠、可行性高、针对性强得8分；环境保护管理体系与措施一般、针对性一般得6分；环境保护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根据承诺投入的劳动力与施工设备数量、种类完整、合理、可靠、可行性高、针对性强得7分；承诺投入的劳动力与施工设备数量、种类一般、针对性一般得6分；承诺投入的劳动力与施工设备数量 、种类较差、无针对性得4分，不提供不得分。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成品（原有建筑）保护方案</w:t>
            </w:r>
          </w:p>
        </w:tc>
        <w:tc>
          <w:tcPr>
            <w:tcW w:type="dxa" w:w="3115"/>
          </w:tcPr>
          <w:p>
            <w:pPr>
              <w:pStyle w:val="null5"/>
              <w:jc w:val="left"/>
            </w:pPr>
            <w:r>
              <w:rPr>
                <w:rFonts w:ascii="仿宋_GB2312" w:hAnsi="仿宋_GB2312" w:cs="仿宋_GB2312" w:eastAsia="仿宋_GB2312"/>
              </w:rPr>
              <w:t>供应商须针对本项目并结合采购项目的实际需求提供的成品（原有主体）保护方案，包括但不限于：保护目标、保护制度、保护措施或方法。内容完善、合理、有利于项目实施，得5分；内容基本完善、基本合理、大部分有利于项目实施，得4分；内容有所阐述但不够完善、少部分合理、少部分有利于项目实施，少部分贴合项目实际情况得3分；无相关描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针对本项目施工员、安全员、质检员/质量员、资料员、材料员、预算员/造价员/造价工程师配备齐全得2分，否则不得分；上述人员中（项目负责人除外）每有1名具备市政公用工程专业中级(含)以上职称的得1分，最高得2分。（安全员须提供有效期内的安全员安全生产考核合格证，其余人员须提供有效期内职业资格证书或有效期内岗位证书，具备中级及以上职称的提供职称证书，响应文件中须附上述证书原件扫描件） 注： （1）施工员、质量员、安全员不得同时在 2个及以上在建项目中任职（响应文件中须附承诺书，格式自拟）。 （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近年(2021年至今，以合同签订时间为准)供应商每承揽过1项市政公用工程施工业绩的，得2分，本项最高得6分(响应文件须附合同原件扫描件)。注：以联合体形式投标的，联合体各方的业绩均可作为该联合体的业绩</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