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内蒙古硅源新能电子材料有限公司项目用地废弃物清除</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鄂尔多斯准格尔经济开发区建设管理局（生态环境管理办公室）</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内蒙古中佳泰达项目管理有限公司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ZQJGZCS-C-G-250006</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内蒙古中佳泰达项目管理有限公司</w:t>
      </w:r>
      <w:r>
        <w:rPr>
          <w:rFonts w:ascii="仿宋_GB2312" w:hAnsi="仿宋_GB2312" w:cs="仿宋_GB2312" w:eastAsia="仿宋_GB2312"/>
        </w:rPr>
        <w:t xml:space="preserve"> 受 </w:t>
      </w:r>
      <w:r>
        <w:rPr>
          <w:rFonts w:ascii="仿宋_GB2312" w:hAnsi="仿宋_GB2312" w:cs="仿宋_GB2312" w:eastAsia="仿宋_GB2312"/>
        </w:rPr>
        <w:t>鄂尔多斯准格尔经济开发区建设管理局（生态环境管理办公室）</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内蒙古硅源新能电子材料有限公司项目用地废弃物清除</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内蒙古硅源新能电子材料有限公司项目用地废弃物清除</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ZQJGZCS-C-G-250006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430002[2025]00005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1,679,090.00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内蒙古硅源新能电子材料有限公司项目用地废弃物清除</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1,679,090.00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1、供应商资格条件：供应商须具备建设行政主管部门核发的【建筑工程施工总承包】叁级（含）以上资质，如供应商已申办 2020年11月30日建市〔2020〕94号《住房和城乡建设部关于印发建设工程企业资质管理制度改革方案的通知》中住建部要求的最新资质，须具备建设行政主管部门颁发的【施工综合资质】或【建筑工程施工总承包】乙级（含）以上资质，且具备有效的安全生产许可证，并在人员、设备、资金等方面具有相应的能力，（响应文件须附资质证书原件扫描件）</w:t>
      </w:r>
    </w:p>
    <w:p>
      <w:pPr>
        <w:pStyle w:val="null5"/>
        <w:jc w:val="left"/>
      </w:pPr>
      <w:r>
        <w:rPr>
          <w:rFonts w:ascii="仿宋_GB2312" w:hAnsi="仿宋_GB2312" w:cs="仿宋_GB2312" w:eastAsia="仿宋_GB2312"/>
        </w:rPr>
        <w:t>2、项目负责人要求：（1）项目负责人须配备至少两名[建筑工程专业二级]（含）以上建造师，须在投标单位注册，同时具备有效的B类安全生产考核合格证书（以建造师执业资格证、注册证、B类安全生产考核合格证为准，响应文件中须附原件扫描件），且未担任其他在建工程的项目负责人（提供承诺书并加盖公章，格式自拟）(2)必须在本单位工作，年龄不得超过65周岁，以投标人所属社保机构出具的投标截止之日前一年内连续6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内蒙古中佳泰达项目管理有限公司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内蒙古自治区包头市青山区文化路78号青山一百购物中心-A1401</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杜文燕</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18647760279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鄂尔多斯准格尔经济开发区建设管理局（生态环境管理办公室）</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准格尔经济开发区管委会办公楼</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017100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安女士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15904770234</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代理服务费收费标准：收取。最终服务费以中标金额计取，参照内建工建协[2022]34号文件《关于印发内蒙古自治区建设工程招标代理服务收费指导意见》，以中标通知书的中标金额为计费基数计算。</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程量清单编制: 供应商须按照国家及地方现行规范及采购人提供的工程量清单要求编制已标价工程量清单，并将完整的已标价工程量清单（首轮）编入响应文件中，作为响应文件的组成部分，提交最终（二轮）报价时须同时提交（上传）调整后的已标价工程量清单（编制要求详见采购工程量清单编制说明，《采购工程量清单》详见附件），如供应商提交最终（二轮）报价时未按要求上传调整后的已标价工程量清单，成交后按照有利于采购人原则进行调整。 合同价款形式: 总价合同 政府采购合同融资政策: 政府采购合同融资政策、渠道和指南等有关事宜执行《内蒙古自治区支持中小企业政府采购合同融资办法》及其他相关政策。 报价说明: 当供应商的投标报价低于最高投标限价80%时，有可能影响施工质量、难以诚信履约时，要求供应商在合理的时间内提供书面说明，说明内容包括但不限于其最后报价与首次报价差额的原因、可诚信履约的具体理由等。供应商不能说明报价合理性的，磋商小组可以将其作为无效响应。 其他要求: 如因政策调整或其他原因，该项目停止实施或取消，则本次采购招标结果作废，相应合同自动终止，采购人不承担任何责任，投标供应商及中标供应商放弃因此而向采购人提出任何主张的权利。</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鄂尔多斯准格尔经济开发区建设管理局（生态环境管理办公室）</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内蒙古中佳泰达项目管理有限公司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该项目位于鄂尔多斯市准格尔产业园区，内容包括项目用地废弃物清除工程等。具体内容详见附件《采购工程量清单》。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spacing w:before="30"/>
              <w:ind w:right="105" w:firstLine="504"/>
              <w:jc w:val="left"/>
            </w:pPr>
            <w:r>
              <w:rPr>
                <w:rFonts w:ascii="仿宋_GB2312" w:hAnsi="仿宋_GB2312" w:cs="仿宋_GB2312" w:eastAsia="仿宋_GB2312"/>
                <w:sz w:val="24"/>
                <w:color w:val="000000"/>
              </w:rPr>
              <w:t>标的提供的时间：</w:t>
            </w:r>
            <w:r>
              <w:rPr>
                <w:rFonts w:ascii="仿宋_GB2312" w:hAnsi="仿宋_GB2312" w:cs="仿宋_GB2312" w:eastAsia="仿宋_GB2312"/>
                <w:sz w:val="24"/>
                <w:color w:val="000000"/>
              </w:rPr>
              <w:t>合同签订后</w:t>
            </w:r>
            <w:r>
              <w:rPr>
                <w:rFonts w:ascii="仿宋_GB2312" w:hAnsi="仿宋_GB2312" w:cs="仿宋_GB2312" w:eastAsia="仿宋_GB2312"/>
                <w:sz w:val="24"/>
                <w:color w:val="000000"/>
              </w:rPr>
              <w:t>10</w:t>
            </w:r>
            <w:r>
              <w:rPr>
                <w:rFonts w:ascii="仿宋_GB2312" w:hAnsi="仿宋_GB2312" w:cs="仿宋_GB2312" w:eastAsia="仿宋_GB2312"/>
                <w:sz w:val="24"/>
                <w:color w:val="000000"/>
              </w:rPr>
              <w:t>日历天内完工并通过验收</w:t>
            </w:r>
          </w:p>
        </w:tc>
      </w:tr>
      <w:tr>
        <w:tc>
          <w:tcPr>
            <w:tcW w:type="dxa" w:w="2769"/>
          </w:tcPr>
          <w:p/>
        </w:tc>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sz w:val="24"/>
                <w:color w:val="000000"/>
              </w:rPr>
              <w:t>标的提供的地点：</w:t>
            </w:r>
            <w:r>
              <w:rPr>
                <w:rFonts w:ascii="仿宋_GB2312" w:hAnsi="仿宋_GB2312" w:cs="仿宋_GB2312" w:eastAsia="仿宋_GB2312"/>
                <w:sz w:val="24"/>
                <w:color w:val="000000"/>
              </w:rPr>
              <w:t>鄂尔多斯市准格尔产业园区</w:t>
            </w:r>
          </w:p>
        </w:tc>
      </w:tr>
      <w:tr>
        <w:tc>
          <w:tcPr>
            <w:tcW w:type="dxa" w:w="2769"/>
          </w:tcPr>
          <w:p/>
        </w:tc>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sz w:val="24"/>
                <w:color w:val="000000"/>
              </w:rPr>
              <w:t>响应</w:t>
            </w:r>
            <w:r>
              <w:rPr>
                <w:rFonts w:ascii="仿宋_GB2312" w:hAnsi="仿宋_GB2312" w:cs="仿宋_GB2312" w:eastAsia="仿宋_GB2312"/>
                <w:sz w:val="24"/>
                <w:color w:val="000000"/>
              </w:rPr>
              <w:t>有效期：</w:t>
            </w:r>
            <w:r>
              <w:rPr>
                <w:rFonts w:ascii="仿宋_GB2312" w:hAnsi="仿宋_GB2312" w:cs="仿宋_GB2312" w:eastAsia="仿宋_GB2312"/>
                <w:sz w:val="24"/>
                <w:color w:val="000000"/>
              </w:rPr>
              <w:t>从提交</w:t>
            </w:r>
            <w:r>
              <w:rPr>
                <w:rFonts w:ascii="仿宋_GB2312" w:hAnsi="仿宋_GB2312" w:cs="仿宋_GB2312" w:eastAsia="仿宋_GB2312"/>
                <w:sz w:val="24"/>
                <w:color w:val="000000"/>
              </w:rPr>
              <w:t>响应</w:t>
            </w:r>
            <w:r>
              <w:rPr>
                <w:rFonts w:ascii="仿宋_GB2312" w:hAnsi="仿宋_GB2312" w:cs="仿宋_GB2312" w:eastAsia="仿宋_GB2312"/>
                <w:sz w:val="24"/>
                <w:color w:val="000000"/>
              </w:rPr>
              <w:t>（响应）文件的截止之日起</w:t>
            </w:r>
            <w:r>
              <w:rPr>
                <w:rFonts w:ascii="仿宋_GB2312" w:hAnsi="仿宋_GB2312" w:cs="仿宋_GB2312" w:eastAsia="仿宋_GB2312"/>
                <w:sz w:val="24"/>
                <w:color w:val="000000"/>
              </w:rPr>
              <w:t>90</w:t>
            </w:r>
            <w:r>
              <w:rPr>
                <w:rFonts w:ascii="仿宋_GB2312" w:hAnsi="仿宋_GB2312" w:cs="仿宋_GB2312" w:eastAsia="仿宋_GB2312"/>
                <w:sz w:val="24"/>
                <w:color w:val="000000"/>
              </w:rPr>
              <w:t>日历天</w:t>
            </w:r>
          </w:p>
        </w:tc>
      </w:tr>
      <w:tr>
        <w:tc>
          <w:tcPr>
            <w:tcW w:type="dxa" w:w="2769"/>
          </w:tcPr>
          <w:p/>
        </w:tc>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sz w:val="24"/>
                <w:color w:val="000000"/>
              </w:rPr>
              <w:t>付款方式：</w:t>
            </w:r>
            <w:r>
              <w:rPr>
                <w:rFonts w:ascii="仿宋_GB2312" w:hAnsi="仿宋_GB2312" w:cs="仿宋_GB2312" w:eastAsia="仿宋_GB2312"/>
                <w:sz w:val="24"/>
                <w:color w:val="000000"/>
              </w:rPr>
              <w:t>完工验收合格后，按照审定金额付</w:t>
            </w:r>
            <w:r>
              <w:rPr>
                <w:rFonts w:ascii="仿宋_GB2312" w:hAnsi="仿宋_GB2312" w:cs="仿宋_GB2312" w:eastAsia="仿宋_GB2312"/>
                <w:sz w:val="24"/>
                <w:color w:val="000000"/>
              </w:rPr>
              <w:t>100%</w:t>
            </w:r>
          </w:p>
        </w:tc>
      </w:tr>
      <w:tr>
        <w:tc>
          <w:tcPr>
            <w:tcW w:type="dxa" w:w="2769"/>
          </w:tcPr>
          <w:p/>
        </w:tc>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sz w:val="24"/>
                <w:color w:val="000000"/>
              </w:rPr>
              <w:t>验收要求：</w:t>
            </w:r>
            <w:r>
              <w:rPr>
                <w:rFonts w:ascii="仿宋_GB2312" w:hAnsi="仿宋_GB2312" w:cs="仿宋_GB2312" w:eastAsia="仿宋_GB2312"/>
                <w:sz w:val="24"/>
                <w:color w:val="000000"/>
              </w:rPr>
              <w:t>符合国家及行业质量验收标准的合格工程</w:t>
            </w:r>
          </w:p>
        </w:tc>
      </w:tr>
      <w:tr>
        <w:tc>
          <w:tcPr>
            <w:tcW w:type="dxa" w:w="2769"/>
          </w:tcPr>
          <w:p/>
        </w:tc>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sz w:val="24"/>
                <w:color w:val="000000"/>
              </w:rPr>
              <w:t>履约保证金：</w:t>
            </w:r>
            <w:r>
              <w:rPr>
                <w:rFonts w:ascii="仿宋_GB2312" w:hAnsi="仿宋_GB2312" w:cs="仿宋_GB2312" w:eastAsia="仿宋_GB2312"/>
                <w:sz w:val="24"/>
                <w:color w:val="000000"/>
              </w:rPr>
              <w:t>中标价的</w:t>
            </w:r>
            <w:r>
              <w:rPr>
                <w:rFonts w:ascii="仿宋_GB2312" w:hAnsi="仿宋_GB2312" w:cs="仿宋_GB2312" w:eastAsia="仿宋_GB2312"/>
                <w:sz w:val="24"/>
                <w:color w:val="000000"/>
              </w:rPr>
              <w:t>5%。</w:t>
            </w:r>
          </w:p>
          <w:p>
            <w:pPr>
              <w:pStyle w:val="null5"/>
              <w:spacing w:before="30"/>
              <w:ind w:left="60"/>
              <w:jc w:val="both"/>
            </w:pPr>
            <w:r>
              <w:rPr>
                <w:rFonts w:ascii="仿宋_GB2312" w:hAnsi="仿宋_GB2312" w:cs="仿宋_GB2312" w:eastAsia="仿宋_GB2312"/>
                <w:sz w:val="24"/>
                <w:color w:val="000000"/>
              </w:rPr>
              <w:t>履约担保的形式：银行保函或商业保函形式</w:t>
            </w:r>
          </w:p>
          <w:p>
            <w:pPr>
              <w:pStyle w:val="null5"/>
              <w:spacing w:before="30"/>
              <w:ind w:left="60"/>
              <w:jc w:val="both"/>
            </w:pPr>
            <w:r>
              <w:rPr>
                <w:rFonts w:ascii="仿宋_GB2312" w:hAnsi="仿宋_GB2312" w:cs="仿宋_GB2312" w:eastAsia="仿宋_GB2312"/>
                <w:sz w:val="24"/>
                <w:color w:val="000000"/>
              </w:rPr>
              <w:t>提交履约担保的时间：自合同签订后</w:t>
            </w:r>
            <w:r>
              <w:rPr>
                <w:rFonts w:ascii="仿宋_GB2312" w:hAnsi="仿宋_GB2312" w:cs="仿宋_GB2312" w:eastAsia="仿宋_GB2312"/>
                <w:sz w:val="24"/>
                <w:color w:val="000000"/>
              </w:rPr>
              <w:t>10日内。如供应商未能按时递交履约担保，采购人有权单方解除合同。</w:t>
            </w:r>
          </w:p>
          <w:p>
            <w:pPr>
              <w:pStyle w:val="null5"/>
              <w:spacing w:before="30"/>
              <w:ind w:left="60"/>
              <w:jc w:val="both"/>
            </w:pPr>
            <w:r>
              <w:rPr>
                <w:rFonts w:ascii="仿宋_GB2312" w:hAnsi="仿宋_GB2312" w:cs="仿宋_GB2312" w:eastAsia="仿宋_GB2312"/>
                <w:sz w:val="24"/>
                <w:color w:val="000000"/>
              </w:rPr>
              <w:t>退还履约担保金：待竣工验收合格交付使用后一次性退还。</w:t>
            </w:r>
          </w:p>
          <w:p>
            <w:pPr>
              <w:pStyle w:val="null5"/>
              <w:jc w:val="left"/>
            </w:pPr>
            <w:r>
              <w:rPr>
                <w:rFonts w:ascii="仿宋_GB2312" w:hAnsi="仿宋_GB2312" w:cs="仿宋_GB2312" w:eastAsia="仿宋_GB2312"/>
                <w:sz w:val="24"/>
                <w:color w:val="000000"/>
              </w:rPr>
              <w:t>履约担保减免情形</w:t>
            </w:r>
            <w:r>
              <w:rPr>
                <w:rFonts w:ascii="仿宋_GB2312" w:hAnsi="仿宋_GB2312" w:cs="仿宋_GB2312" w:eastAsia="仿宋_GB2312"/>
                <w:sz w:val="24"/>
                <w:color w:val="000000"/>
              </w:rPr>
              <w:t>:供应商近三年内信用情况良好，无不良记录且近三年履约情况良好，在缴纳履约担保前可向采购人递交诚信承诺书(格式自拟，须明确近三年信用及履约情况)，采购人接收确认后，履约担保金额可减免至中标金额的3%</w:t>
            </w:r>
          </w:p>
          <w:p>
            <w:pPr>
              <w:pStyle w:val="null5"/>
              <w:jc w:val="left"/>
            </w:pPr>
          </w:p>
        </w:tc>
      </w:tr>
      <w:tr>
        <w:tc>
          <w:tcPr>
            <w:tcW w:type="dxa" w:w="2769"/>
          </w:tcPr>
          <w:p/>
        </w:tc>
        <w:tc>
          <w:tcPr>
            <w:tcW w:type="dxa" w:w="2769"/>
          </w:tcPr>
          <w:p>
            <w:pPr>
              <w:pStyle w:val="null5"/>
              <w:jc w:val="left"/>
            </w:pPr>
            <w:r>
              <w:rPr>
                <w:rFonts w:ascii="仿宋_GB2312" w:hAnsi="仿宋_GB2312" w:cs="仿宋_GB2312" w:eastAsia="仿宋_GB2312"/>
              </w:rPr>
              <w:t>7</w:t>
            </w:r>
          </w:p>
        </w:tc>
        <w:tc>
          <w:tcPr>
            <w:tcW w:type="dxa" w:w="2769"/>
          </w:tcPr>
          <w:p>
            <w:pPr>
              <w:pStyle w:val="null5"/>
              <w:spacing w:after="120"/>
              <w:jc w:val="both"/>
            </w:pPr>
            <w:r>
              <w:rPr>
                <w:rFonts w:ascii="仿宋_GB2312" w:hAnsi="仿宋_GB2312" w:cs="仿宋_GB2312" w:eastAsia="仿宋_GB2312"/>
                <w:sz w:val="24"/>
                <w:b/>
                <w:color w:val="000000"/>
              </w:rPr>
              <w:t>工程量清单编制</w:t>
            </w:r>
            <w:r>
              <w:rPr>
                <w:rFonts w:ascii="仿宋_GB2312" w:hAnsi="仿宋_GB2312" w:cs="仿宋_GB2312" w:eastAsia="仿宋_GB2312"/>
                <w:sz w:val="24"/>
                <w:b/>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供应商须按照国家及地方现行规范及采购人提供的工程量清单要求编制已标价工程量清单，并将完整的已标价工程量清单（首轮）编入响应文件中，作为响应文件的组成部分，提交最终（二轮）报价时须同时提交（上传）调整后的已标价工程量清单（编制要求详见</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工程量清单编制说明，《</w:t>
            </w:r>
            <w:r>
              <w:rPr>
                <w:rFonts w:ascii="仿宋_GB2312" w:hAnsi="仿宋_GB2312" w:cs="仿宋_GB2312" w:eastAsia="仿宋_GB2312"/>
                <w:sz w:val="24"/>
                <w:color w:val="000000"/>
              </w:rPr>
              <w:t>采购</w:t>
            </w:r>
            <w:r>
              <w:rPr>
                <w:rFonts w:ascii="仿宋_GB2312" w:hAnsi="仿宋_GB2312" w:cs="仿宋_GB2312" w:eastAsia="仿宋_GB2312"/>
                <w:sz w:val="24"/>
                <w:color w:val="000000"/>
              </w:rPr>
              <w:t>工程量清单》详见附件），如供应商提交最终（二轮）报价时未按要求上传调整后的已标价工程量清单，成交后按照有利于采购人原则进行调整</w:t>
            </w:r>
            <w:r>
              <w:rPr>
                <w:rFonts w:ascii="仿宋_GB2312" w:hAnsi="仿宋_GB2312" w:cs="仿宋_GB2312" w:eastAsia="仿宋_GB2312"/>
                <w:sz w:val="24"/>
                <w:color w:val="000000"/>
              </w:rPr>
              <w:t>。</w:t>
            </w:r>
          </w:p>
          <w:p>
            <w:pPr>
              <w:pStyle w:val="null5"/>
              <w:spacing w:after="120"/>
              <w:jc w:val="both"/>
            </w:pPr>
            <w:r>
              <w:rPr>
                <w:rFonts w:ascii="仿宋_GB2312" w:hAnsi="仿宋_GB2312" w:cs="仿宋_GB2312" w:eastAsia="仿宋_GB2312"/>
                <w:sz w:val="24"/>
                <w:b/>
                <w:color w:val="000000"/>
              </w:rPr>
              <w:t>合同价款形式</w:t>
            </w:r>
            <w:r>
              <w:rPr>
                <w:rFonts w:ascii="仿宋_GB2312" w:hAnsi="仿宋_GB2312" w:cs="仿宋_GB2312" w:eastAsia="仿宋_GB2312"/>
                <w:sz w:val="24"/>
                <w:b/>
                <w:color w:val="000000"/>
              </w:rPr>
              <w:t xml:space="preserve">: </w:t>
            </w:r>
            <w:r>
              <w:rPr>
                <w:rFonts w:ascii="仿宋_GB2312" w:hAnsi="仿宋_GB2312" w:cs="仿宋_GB2312" w:eastAsia="仿宋_GB2312"/>
                <w:sz w:val="24"/>
                <w:color w:val="000000"/>
              </w:rPr>
              <w:t>总价合同</w:t>
            </w:r>
          </w:p>
          <w:p>
            <w:pPr>
              <w:pStyle w:val="null5"/>
              <w:spacing w:after="120"/>
              <w:jc w:val="both"/>
            </w:pPr>
            <w:r>
              <w:rPr>
                <w:rFonts w:ascii="仿宋_GB2312" w:hAnsi="仿宋_GB2312" w:cs="仿宋_GB2312" w:eastAsia="仿宋_GB2312"/>
                <w:sz w:val="24"/>
                <w:b/>
                <w:color w:val="000000"/>
              </w:rPr>
              <w:t>政府采购合同融资政策</w:t>
            </w:r>
            <w:r>
              <w:rPr>
                <w:rFonts w:ascii="仿宋_GB2312" w:hAnsi="仿宋_GB2312" w:cs="仿宋_GB2312" w:eastAsia="仿宋_GB2312"/>
                <w:sz w:val="24"/>
                <w:b/>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政府采购合同融资政策、渠道和指南等有关事宜执行《内蒙古自治区支持中小企业政府采购合同融资办法》及其他相关政策</w:t>
            </w:r>
            <w:r>
              <w:rPr>
                <w:rFonts w:ascii="仿宋_GB2312" w:hAnsi="仿宋_GB2312" w:cs="仿宋_GB2312" w:eastAsia="仿宋_GB2312"/>
                <w:sz w:val="24"/>
                <w:color w:val="000000"/>
              </w:rPr>
              <w:t>。</w:t>
            </w:r>
          </w:p>
          <w:p>
            <w:pPr>
              <w:pStyle w:val="null5"/>
              <w:spacing w:after="120"/>
              <w:jc w:val="both"/>
            </w:pPr>
            <w:r>
              <w:rPr>
                <w:rFonts w:ascii="仿宋_GB2312" w:hAnsi="仿宋_GB2312" w:cs="仿宋_GB2312" w:eastAsia="仿宋_GB2312"/>
                <w:sz w:val="24"/>
                <w:b/>
                <w:color w:val="000000"/>
              </w:rPr>
              <w:t>报价说明</w:t>
            </w:r>
            <w:r>
              <w:rPr>
                <w:rFonts w:ascii="仿宋_GB2312" w:hAnsi="仿宋_GB2312" w:cs="仿宋_GB2312" w:eastAsia="仿宋_GB2312"/>
                <w:sz w:val="24"/>
                <w:b/>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当供应商的投标报价低于最高投标限价</w:t>
            </w:r>
            <w:r>
              <w:rPr>
                <w:rFonts w:ascii="仿宋_GB2312" w:hAnsi="仿宋_GB2312" w:cs="仿宋_GB2312" w:eastAsia="仿宋_GB2312"/>
                <w:sz w:val="24"/>
                <w:color w:val="000000"/>
              </w:rPr>
              <w:t>80%时，有可能影响施工质量、难以诚信履约时，要求供应商在合理的时间内提供书面说明，说明内容包括但不限于其最后报价与首次报价差额的原因、可诚信履约的具体理由等。供应商不能说明报价合理性的，磋商小组可以将其作为无效响应</w:t>
            </w:r>
            <w:r>
              <w:rPr>
                <w:rFonts w:ascii="仿宋_GB2312" w:hAnsi="仿宋_GB2312" w:cs="仿宋_GB2312" w:eastAsia="仿宋_GB2312"/>
                <w:sz w:val="24"/>
                <w:color w:val="000000"/>
              </w:rPr>
              <w:t>。</w:t>
            </w:r>
          </w:p>
          <w:p>
            <w:pPr>
              <w:pStyle w:val="null5"/>
              <w:jc w:val="left"/>
            </w:pPr>
            <w:r>
              <w:rPr>
                <w:rFonts w:ascii="仿宋_GB2312" w:hAnsi="仿宋_GB2312" w:cs="仿宋_GB2312" w:eastAsia="仿宋_GB2312"/>
                <w:sz w:val="24"/>
                <w:b/>
                <w:color w:val="000000"/>
              </w:rPr>
              <w:t>其他要求</w:t>
            </w:r>
            <w:r>
              <w:rPr>
                <w:rFonts w:ascii="仿宋_GB2312" w:hAnsi="仿宋_GB2312" w:cs="仿宋_GB2312" w:eastAsia="仿宋_GB2312"/>
                <w:sz w:val="24"/>
                <w:b/>
                <w:color w:val="000000"/>
              </w:rPr>
              <w:t>:</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如因政策调整或其他原因，该项目停止实施或取消，则本次采购招标结果作废，相应合同自动终止，采购人不承担任何责任，投标供应商及中标供应商放弃因此而向采购人提出任何主张的权利</w:t>
            </w:r>
            <w:r>
              <w:rPr>
                <w:rFonts w:ascii="仿宋_GB2312" w:hAnsi="仿宋_GB2312" w:cs="仿宋_GB2312" w:eastAsia="仿宋_GB2312"/>
                <w:sz w:val="24"/>
                <w:color w:val="000000"/>
              </w:rPr>
              <w:t>。</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标的名称：内蒙古硅源新能电子材料有限公司项目用地废弃物清除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24"/>
                <w:b/>
                <w:color w:val="000000"/>
              </w:rPr>
              <w:t>具体内容详见工程量清单，投标文件须附已标价工程量清单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审查供应商2023或2024年度经会计师事务所出具的财务审计报告或其基本开户银行出具的近一年内的银行资信证明。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注:其他组织和自然人也需要提供缴纳税收的凭据和缴纳社保的凭证。依法免税或不需要缴纳社会保障资金的供应商，应提供相应文件证明其依法免税或不需要缴纳社会保障资金。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审查“参加本采购活动前3年内，在经营活动中没有重大违法记录”供应商书面声明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资格审查时，供应商未被列入失信被执行人、重大税收违法失信主体、政府采购严重违法失信行为记录名单，相关信用情况通过“信用中国”网站和“中国政府采购网”渠道查询。</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供应商资格条件</w:t>
            </w:r>
          </w:p>
        </w:tc>
        <w:tc>
          <w:tcPr>
            <w:tcW w:type="dxa" w:w="4984"/>
          </w:tcPr>
          <w:p>
            <w:pPr>
              <w:pStyle w:val="null5"/>
              <w:jc w:val="left"/>
            </w:pPr>
            <w:r>
              <w:rPr>
                <w:rFonts w:ascii="仿宋_GB2312" w:hAnsi="仿宋_GB2312" w:cs="仿宋_GB2312" w:eastAsia="仿宋_GB2312"/>
              </w:rPr>
              <w:t>供应商须具备建设行政主管部门核发的【建筑工程施工总承包】叁级（含）以上资质，如供应商已申办 2020年11月30日建市〔2020〕94号《住房和城乡建设部关于印发建设工程企业资质管理制度改革方案的通知》中住建部要求的最新资质，须具备建设行政主管部门颁发的【施工综合资质】或【建筑工程施工总承包】乙级（含）以上资质，且具备有效的安全生产许可证，并在人员、设备、资金等方面具有相应的能力，（响应文件须附资质证书原件扫描件）</w:t>
            </w:r>
          </w:p>
        </w:tc>
      </w:tr>
      <w:tr>
        <w:tc>
          <w:tcPr>
            <w:tcW w:type="dxa" w:w="3322"/>
          </w:tcPr>
          <w:p>
            <w:pPr>
              <w:pStyle w:val="null5"/>
              <w:jc w:val="left"/>
            </w:pPr>
            <w:r>
              <w:rPr>
                <w:rFonts w:ascii="仿宋_GB2312" w:hAnsi="仿宋_GB2312" w:cs="仿宋_GB2312" w:eastAsia="仿宋_GB2312"/>
              </w:rPr>
              <w:t>项目负责人要求</w:t>
            </w:r>
          </w:p>
        </w:tc>
        <w:tc>
          <w:tcPr>
            <w:tcW w:type="dxa" w:w="4984"/>
          </w:tcPr>
          <w:p>
            <w:pPr>
              <w:pStyle w:val="null5"/>
              <w:jc w:val="left"/>
            </w:pPr>
            <w:r>
              <w:rPr>
                <w:rFonts w:ascii="仿宋_GB2312" w:hAnsi="仿宋_GB2312" w:cs="仿宋_GB2312" w:eastAsia="仿宋_GB2312"/>
              </w:rPr>
              <w:t>（1）项目负责人须配备至少两名[建筑工程专业二级]（含）以上建造师，须在投标单位注册，同时具备有效的B类安全生产考核合格证书（以建造师执业资格证、注册证、B类安全生产考核合格证为准，响应文件中须附原件扫描件），且未担任其他在建工程的项目负责人（提供承诺书并加盖公章，格式自拟）(2)必须在本单位工作，年龄不得超过65周岁，以投标人所属社保机构出具的投标截止之日前一年内连续6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施工组织设计编制内容详尽完整、科学有效、针对性强及编制水平高得6分；技术方案内容较为完整、合理、有针对性、编制水平一般得5分；技术方案内容简单、没有针对性、编制潦草得3分，不提供不得分。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根据施工方案完整、合理，技术措施针对工程质量、工期和施工安全保障等完全符合项目实际情况的得10分；施工方案较为完整，技术措施针对工程质量、工期和施工安全保障等较为符合项目实际情况的得8分；施工方案基本完整，技术措施针对工程质量、工期和施工安全保障等基本符合项目实际情况的得6分；施工方案内容不太完整，技术措施针对工程质量、工期和施工安全保障等与项目实际情况不太相符的得4分；施工方案未考虑项目实际情况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工程进度计划与措施内容完整、合理、可靠、可行性高、针对性强得8分；工程进度计划与措施一般、针对性一般得6分；工 程进度计划与措施内容较差、无针对性得4分，不提供不得分。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质量管理体系与措施</w:t>
            </w:r>
          </w:p>
        </w:tc>
        <w:tc>
          <w:tcPr>
            <w:tcW w:type="dxa" w:w="3115"/>
          </w:tcPr>
          <w:p>
            <w:pPr>
              <w:pStyle w:val="null5"/>
              <w:jc w:val="left"/>
            </w:pPr>
            <w:r>
              <w:rPr>
                <w:rFonts w:ascii="仿宋_GB2312" w:hAnsi="仿宋_GB2312" w:cs="仿宋_GB2312" w:eastAsia="仿宋_GB2312"/>
              </w:rPr>
              <w:t>质量管理体系与措施针对本项目特点进行编制，内容完整、合理、可行性高、针对性强得8分；质量管理体系与措施内容一般、针对性一般得 6分；质量管理体系与措施内容较差、无针对性得4分，不提供不得分。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安全管理体系与措施内容完整、合理、可靠、可行性高、针对性强得8分；安全管理体系与措施内容一般、针对性一般得6分 ；安全管理体系与措施内容较差、无针对性得4分，不提供不得分。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针对本项目施工过程中的扬尘、降噪、垃圾清运等制定专门的环境管理体系与措施，内容完整、合理、可靠、可行性高、针对性强得8分；环境保护管理体系与措施一般、针对性一般得6分；环境保护管理体系与措施内容较差、无针对性得4分，不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根据承诺投入的劳动力与施工设备数量、种类完整、合理、可靠、可行性高、针对性强得7分；承诺投入的劳动力与施工设备数量、种类一般、针对性一般得6分；承诺投入的劳动力与施工设备数量 、种类较差、无针对性得4分，不提供不得分。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成品（原有建筑）保护方案</w:t>
            </w:r>
          </w:p>
        </w:tc>
        <w:tc>
          <w:tcPr>
            <w:tcW w:type="dxa" w:w="3115"/>
          </w:tcPr>
          <w:p>
            <w:pPr>
              <w:pStyle w:val="null5"/>
              <w:jc w:val="left"/>
            </w:pPr>
            <w:r>
              <w:rPr>
                <w:rFonts w:ascii="仿宋_GB2312" w:hAnsi="仿宋_GB2312" w:cs="仿宋_GB2312" w:eastAsia="仿宋_GB2312"/>
              </w:rPr>
              <w:t>供应商须针对本项目并结合采购项目的实际需求提供的成品（原有主体）保护方案，包括但不限于：保护目标、保护制度、保护措施或方法。内容完善、合理、有利于项目实施，得5分；内容基本完善、基本合理、大部分有利于项目实施，得4分；内容有所阐述但不够完善、少部分合理、少部分有利于项目实施，少部分贴合项目实际情况得3分；无相关描述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针对本项目施工员、安全员、质检员/质量员、资料员、材料员、预算员/造价员/造价工程师配备齐全得2分，否则不得分；上述人员中（项目负责人除外）上述人员中每有一名具备中级及以上工程师职称的，得1分，最高得2分。（安全员须提供有效期内的安全员安全生产考核合格证，其余人员须提供有效期内职业资格证书或有效期内岗位证书，具备中级及以上职称的提供职称证书，响应文件中须附上述证书原件扫描件） 注： （1）施工员、质量员、安全员不得同时在 2个及以上在建项目中任职（响应文件中须附承诺书，格式自拟）。 （2）必须在本单位工作，年龄不得超过65周岁，以投标人所属社保机构出具的投标截止之日前一年内连续6个月(含)以上的社保缴费证明(并加盖缴费证明专用章)(新入职人员要求提供入职至投标截止到日前的社保缴费证明及与聘用单位签订的有效的聘用劳动合同)或其他能够证明参加社保的有效证明材料为准;退休人员无需提供社保缴费证明，需提供与聘用单位签订的有效的聘用劳动合同及退休证明。(投标文件须附证明材料扫描件)。</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供应商业绩</w:t>
            </w:r>
          </w:p>
        </w:tc>
        <w:tc>
          <w:tcPr>
            <w:tcW w:type="dxa" w:w="3115"/>
          </w:tcPr>
          <w:p>
            <w:pPr>
              <w:pStyle w:val="null5"/>
              <w:jc w:val="left"/>
            </w:pPr>
            <w:r>
              <w:rPr>
                <w:rFonts w:ascii="仿宋_GB2312" w:hAnsi="仿宋_GB2312" w:cs="仿宋_GB2312" w:eastAsia="仿宋_GB2312"/>
              </w:rPr>
              <w:t>近年(2021年至今，以合同签订时间为准)供应商每承揽过1项建筑工程施工业绩的，得2分，本项最高得6分(响应文件须附合同原件扫描件)。注：以联合体形式投标的，联合体各方的业绩均可作为该联合体的业绩</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