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内蒙古大汗窑瓷业有限公司大门工程</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鄂尔多斯准格尔经济开发区建设管理局（生态环境管理办公室）</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内蒙古中佳泰达项目管理有限公司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ZQJGZCS-C-G-250005</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内蒙古中佳泰达项目管理有限公司</w:t>
      </w:r>
      <w:r>
        <w:rPr>
          <w:rFonts w:ascii="仿宋_GB2312" w:hAnsi="仿宋_GB2312" w:cs="仿宋_GB2312" w:eastAsia="仿宋_GB2312"/>
        </w:rPr>
        <w:t xml:space="preserve"> 受 </w:t>
      </w:r>
      <w:r>
        <w:rPr>
          <w:rFonts w:ascii="仿宋_GB2312" w:hAnsi="仿宋_GB2312" w:cs="仿宋_GB2312" w:eastAsia="仿宋_GB2312"/>
        </w:rPr>
        <w:t>鄂尔多斯准格尔经济开发区建设管理局（生态环境管理办公室）</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内蒙古大汗窑瓷业有限公司大门工程</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内蒙古大汗窑瓷业有限公司大门工程</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ZQJGZCS-C-G-250005</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430002[2025]00007</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1,425,976.00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内蒙古大汗窑瓷业有限公司大门工程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1,425,976.00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1、供应商资格条件：供应商须具备建设行政主管部门核发的【建筑工程施工总承包】叁级（含）以上资质，如供应商已申办 2020年11月30日建市〔2020〕94号《住房和城乡建设部关于印发建设工程企业资质管理制度改革方案的通知》中住建部要求的最新资质，须具备建设行政主管部门颁发的【施工综合资质】或【建筑工程施工总承包】乙级（含）以上资质，且具 备有效的安全生产许可证，并在人员、设备、资金等方面具有相应的能力，（响应文件须附资质证书原件扫描件）</w:t>
      </w:r>
    </w:p>
    <w:p>
      <w:pPr>
        <w:pStyle w:val="null5"/>
        <w:jc w:val="left"/>
      </w:pPr>
      <w:r>
        <w:rPr>
          <w:rFonts w:ascii="仿宋_GB2312" w:hAnsi="仿宋_GB2312" w:cs="仿宋_GB2312" w:eastAsia="仿宋_GB2312"/>
        </w:rPr>
        <w:t>2、项目负责人要求：（1）项目负责人须配备至少两名[建筑工程专业二级]（含）以上建造师，须在投标单位注册，同时具备有效的B类安全生产考核合格证书（以建造师执业资格证、注册证、B类安全生产考核合格证为准，响应文件中须附原件扫描件），且未担任其他在建工程的项目负责人（提供承诺书并加盖公章，格式自拟）(2)必须在本单位工作，年龄不得超过65周岁，以投标人所属社保机构出具的投标截止之日前一年内连续6个月(含)以上的社保缴费证明(并加盖缴费证明专用章)(新入职人员要求提供入职至投标截止到日前的社保缴费证明及与聘用单位签订的有效的聘用劳动合同)或其他能够证明参加社保的有效证明材料为准;退休人员无需提供社保缴费证明，需提供与聘用单位签订的有效的聘用劳动合同及退休证明:(投标文件须附证明材料扫描件)。</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内蒙古中佳泰达项目管理有限公司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内蒙古自治区包头市青山区文化路78号青山一百购物中心-A1401</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杜文燕</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18647760279</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鄂尔多斯准格尔经济开发区建设管理局（生态环境管理办公室）</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准格尔经济开发区管委会办公楼</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017100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安喜琴</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15904770234</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代理服务费收费标准：收取。最终服务费以中标金额计取，参照内建工建协[2022]34号文件《关于印发内蒙古自治区建设工程招标代理服务收费指导意见》，以中标通知书的中标金额为计费基数计算。</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程量清单编制: 供应商须按照国家及地方现行规范及采购人提供的工程量清单要求编制已标价工程量清单，并将完整的已标价工程量清单（首轮）编入响应文件中，作为响应文件的组成部分，提交最终（二轮）报价时须同时提交（上传）调整后的已标价工程量清单（编制要求详见采购工程量清单编制说明，《采购工程量清单》详见附件），如供应商提交最终（二轮）报价时未按要求上传调整后的已标价工程量清单，成交后按照有利于采购人原则进行调整。 合同价款形式: 总价合同 政府采购合同融资政策: 政府采购合同融资政策、渠道和指南等有关事宜执行《内蒙古自治区支持中小企业政府采购合同融资办法》及其他相关政策。 报价说明: 当供应商的投标报价低于最高投标限价80%时，有可能影响施工质量、难以诚信履约时，要求供应商在合理的时间内提供书面说明，说明内容包括但不限于其最后报价与首次报价差额的原因、可诚信履约的具体理由等。供应商不能说明报价合理性的，磋商小组可以将其作为无效响应。 其他要求: 如因政策调整或其他原因，该项目停止实施或取消，则本次采购招标结果作废，相应合同自动终止，采购人不承担任何责任，投标供应商及中标供应商放弃因此而向采购人提出任何主张的权利。</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鄂尔多斯准格尔经济开发区建设管理局（生态环境管理办公室）</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内蒙古中佳泰达项目管理有限公司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该项目位于鄂尔多斯市准格尔产业园区，内容包括项目用地废弃物清除工程等。具体内容详见附件《采购工程量清单》。</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无</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标的名称：内蒙古大汗窑瓷业有限公司大门工程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b/>
                <w:color w:val="000000"/>
              </w:rPr>
              <w:t>具体内容详见工程量清单，投标文件须附已标价工程量清单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审查供应商2023或2024年度经会计师事务所出具的财务审计报告或其基本开户银行出具的近一年内的银行资信证明。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1.提供递交响应文件截止之日前一年内(至少一个月)的良好缴纳税收的相关凭据。(以税务机关提供的纳税凭据或银行入账单为准) 2.提供递交响应文件截止之日前一年内(至少一个月)缴纳社会保险的凭证。(以专用收据或社会保险缴纳清单为准) 注:其他组织和自然人也需要提供缴纳税收的凭据和缴纳社保的凭证。依法免税或不需要缴纳社会保障资金的供应商，应提供相应文件证明其依法免税或不需要缴纳社会保障资金。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资格审查时，供应商未被列入失信被执行人、重大税收违法失信主体、政府采购严重违法失信行为记录名单，相关信用情况通过“信用中国”网站和“中国政府采购网”渠道查询。</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供应商资格条件</w:t>
            </w:r>
          </w:p>
        </w:tc>
        <w:tc>
          <w:tcPr>
            <w:tcW w:type="dxa" w:w="4984"/>
          </w:tcPr>
          <w:p>
            <w:pPr>
              <w:pStyle w:val="null5"/>
              <w:jc w:val="left"/>
            </w:pPr>
            <w:r>
              <w:rPr>
                <w:rFonts w:ascii="仿宋_GB2312" w:hAnsi="仿宋_GB2312" w:cs="仿宋_GB2312" w:eastAsia="仿宋_GB2312"/>
              </w:rPr>
              <w:t>供应商须具备建设行政主管部门核发的【建筑工程施工总承包】叁级（含）以上资质，如供应商已申办 2020年11月30日建市〔2020〕94号《住房和城乡建设部关于印发建设工程企业资质管理制度改革方案的通知》中住建部要求的最新资质，须具备建设行政主管部门颁发的【施工综合资质】或【建筑工程施工总承包】乙级（含）以上资质，且具 备有效的安全生产许可证，并在人员、设备、资金等方面具有相应的能力，（响应文件须附资质证书原件扫描件）</w:t>
            </w:r>
          </w:p>
        </w:tc>
      </w:tr>
      <w:tr>
        <w:tc>
          <w:tcPr>
            <w:tcW w:type="dxa" w:w="3322"/>
          </w:tcPr>
          <w:p>
            <w:pPr>
              <w:pStyle w:val="null5"/>
              <w:jc w:val="left"/>
            </w:pPr>
            <w:r>
              <w:rPr>
                <w:rFonts w:ascii="仿宋_GB2312" w:hAnsi="仿宋_GB2312" w:cs="仿宋_GB2312" w:eastAsia="仿宋_GB2312"/>
              </w:rPr>
              <w:t>项目负责人要求</w:t>
            </w:r>
          </w:p>
        </w:tc>
        <w:tc>
          <w:tcPr>
            <w:tcW w:type="dxa" w:w="4984"/>
          </w:tcPr>
          <w:p>
            <w:pPr>
              <w:pStyle w:val="null5"/>
              <w:jc w:val="left"/>
            </w:pPr>
            <w:r>
              <w:rPr>
                <w:rFonts w:ascii="仿宋_GB2312" w:hAnsi="仿宋_GB2312" w:cs="仿宋_GB2312" w:eastAsia="仿宋_GB2312"/>
              </w:rPr>
              <w:t>（1）项目负责人须配备至少两名[建筑工程专业二级]（含）以上建造师，须在投标单位注册，同时具备有效的B类安全生产考核合格证书（以建造师执业资格证、注册证、B类安全生产考核合格证为准，响应文件中须附原件扫描件），且未担任其他在建工程的项目负责人（提供承诺书并加盖公章，格式自拟）(2)必须在本单位工作，年龄不得超过65周岁，以投标人所属社保机构出具的投标截止之日前一年内连续6个月(含)以上的社保缴费证明(并加盖缴费证明专用章)(新入职人员要求提供入职至投标截止到日前的社保缴费证明及与聘用单位签订的有效的聘用劳动合同)或其他能够证明参加社保的有效证明材料为准;退休人员无需提供社保缴费证明，需提供与聘用单位签订的有效的聘用劳动合同及退休证明:(投标文件须附证明材料扫描件)。</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内容完整性和编制水平</w:t>
            </w:r>
          </w:p>
        </w:tc>
        <w:tc>
          <w:tcPr>
            <w:tcW w:type="dxa" w:w="3115"/>
          </w:tcPr>
          <w:p>
            <w:pPr>
              <w:pStyle w:val="null5"/>
              <w:jc w:val="left"/>
            </w:pPr>
            <w:r>
              <w:rPr>
                <w:rFonts w:ascii="仿宋_GB2312" w:hAnsi="仿宋_GB2312" w:cs="仿宋_GB2312" w:eastAsia="仿宋_GB2312"/>
              </w:rPr>
              <w:t>施工组织设计编制内容详尽完整、科学有效、针对性强及编制水平高得6分；技术方案内容较为完整、合理、有针对性、编制水平一般得5分；技术方案内容简单、没有针对性、编制潦草得3分，不提供不得分。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根据施工方案完整、合理，技术措施针对工程质量、工期和施工安全保障等完全符合项目实际情况的得10分；施工方案较为完整，技术措施针对工程质量、工期和施工安全保障等较为符合项目实际情况的得8分；施工方案基本完整，技术措施针对工程质量、工期和施工安全保障等基本符合项目实际情况的得6分；施工方案内容不太完整，技术措施针对工程质量、工期和施工安全保障等与项目实际情况不太相符的得4分；施工方案未考虑项目实际情况的得2分，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工程进度计划与措施</w:t>
            </w:r>
          </w:p>
        </w:tc>
        <w:tc>
          <w:tcPr>
            <w:tcW w:type="dxa" w:w="3115"/>
          </w:tcPr>
          <w:p>
            <w:pPr>
              <w:pStyle w:val="null5"/>
              <w:jc w:val="left"/>
            </w:pPr>
            <w:r>
              <w:rPr>
                <w:rFonts w:ascii="仿宋_GB2312" w:hAnsi="仿宋_GB2312" w:cs="仿宋_GB2312" w:eastAsia="仿宋_GB2312"/>
              </w:rPr>
              <w:t>工程进度计划与措施内容完整、合理、可靠、可行性高、针对性强得8分；工程进度计划与措施一般、针对性一般得6分；工 程进度计划与措施内容较差、无针对性得4分，不提供不得分。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质量管理体系与措施针对本项目特点进行编制，内容完整、合理、可行性高、针对性强得8分；质量管理体系与措施内容一般、针对性一般得 6分；质量管理体系与措施内容较差、无针对性得4分，不提供不得分。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安全管理体系与措施内容完整、合理、可靠、可行性高、针对性强得8分；安全管理体系与措施内容一般、针对性一般得6分 ；安全管理体系与措施内容较差、无针对性得4分，不提供不得分。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环境保护管理体系与措施</w:t>
            </w:r>
          </w:p>
        </w:tc>
        <w:tc>
          <w:tcPr>
            <w:tcW w:type="dxa" w:w="3115"/>
          </w:tcPr>
          <w:p>
            <w:pPr>
              <w:pStyle w:val="null5"/>
              <w:jc w:val="left"/>
            </w:pPr>
            <w:r>
              <w:rPr>
                <w:rFonts w:ascii="仿宋_GB2312" w:hAnsi="仿宋_GB2312" w:cs="仿宋_GB2312" w:eastAsia="仿宋_GB2312"/>
              </w:rPr>
              <w:t>针对本项目施工过程中的扬尘、降噪、垃圾清运等制定专门的环境管理体系与措施，内容完整、合理、可靠、可行性高、针对性强得8分；环境保护管理体系与措施一般、针对性一般得6分；环境保护管理体系与措施内容较差、无针对性得4分，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根据承诺投入的劳动力与施工设备数量、种类完整、合理、可靠、可行性高、针对性强得7分；承诺投入的劳动力与施工设备数量、种类一般、针对性一般得6分；承诺投入的劳动力与施工设备数量 、种类较差、无针对性得4分，不提供不得分。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成品（原有建筑）保护方案</w:t>
            </w:r>
          </w:p>
        </w:tc>
        <w:tc>
          <w:tcPr>
            <w:tcW w:type="dxa" w:w="3115"/>
          </w:tcPr>
          <w:p>
            <w:pPr>
              <w:pStyle w:val="null5"/>
              <w:jc w:val="left"/>
            </w:pPr>
            <w:r>
              <w:rPr>
                <w:rFonts w:ascii="仿宋_GB2312" w:hAnsi="仿宋_GB2312" w:cs="仿宋_GB2312" w:eastAsia="仿宋_GB2312"/>
              </w:rPr>
              <w:t>供应商须针对本项目并结合采购项目的实际需求提供的成品（原有主体）保护方案，包括但不限于：保护目标、保护制度、保护措施或方法。内容完善、合理、有利于项目实施，得5分；内容基本完善、基本合理、大部分有利于项目实施，得4分；内容有所阐述但不够完善、少部分合理、少部分有利于项目实施，少部分贴合项目实际情况得3分；无相关描述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人员配置</w:t>
            </w:r>
          </w:p>
        </w:tc>
        <w:tc>
          <w:tcPr>
            <w:tcW w:type="dxa" w:w="3115"/>
          </w:tcPr>
          <w:p>
            <w:pPr>
              <w:pStyle w:val="null5"/>
              <w:jc w:val="left"/>
            </w:pPr>
            <w:r>
              <w:rPr>
                <w:rFonts w:ascii="仿宋_GB2312" w:hAnsi="仿宋_GB2312" w:cs="仿宋_GB2312" w:eastAsia="仿宋_GB2312"/>
              </w:rPr>
              <w:t>针对本项目施工员、安全员、质检员/质量员、资料员、材料员、预算员/造价员/造价工程师配备齐全得2分，否则不得分；上述人员中（项目负责人除外）上述人员中每有一名具备中级及以上工程师职称的，得1分，最高得2分。（安全员须提供有效期内的安全员安全生产考核合格证，其余人员须提供有效期内职业资格证书或有效期内岗位证书，具备中级及以上职称的提供职称证书，响应文件中须附上述证书原件扫描件） 注： （1）施工员、质量员、安全员不得同时在 2个及以上在建项目中任职（响应文件中须附承诺书，格式自拟）。 （2）必须在本单位工作，年龄不得超过65周岁，以投标人所属社保机构出具的投标截止之日前一年内连续6个月(含)以上的社保缴费证明(并加盖缴费证明专用章)(新入职人员要求提供入职至投标截止到日前的社保缴费证明及与聘用单位签订的有效的聘用劳动合同)或其他能够证明参加社保的有效证明材料为准;退休人员无需提供社保缴费证明，需提供与聘用单位签订的有效的聘用劳动合同及退休证明。(投标文件须附证明材料扫描件)。</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供应商业绩</w:t>
            </w:r>
          </w:p>
        </w:tc>
        <w:tc>
          <w:tcPr>
            <w:tcW w:type="dxa" w:w="3115"/>
          </w:tcPr>
          <w:p>
            <w:pPr>
              <w:pStyle w:val="null5"/>
              <w:jc w:val="left"/>
            </w:pPr>
            <w:r>
              <w:rPr>
                <w:rFonts w:ascii="仿宋_GB2312" w:hAnsi="仿宋_GB2312" w:cs="仿宋_GB2312" w:eastAsia="仿宋_GB2312"/>
              </w:rPr>
              <w:t>近年(2021年至今，以合同签订时间为准)供应商每承揽过1项建筑工程施工业绩的，得2分，本项最高得6分(响应文件须附合同原件扫描件)。注：以联合体形式投标的，联合体各方的业绩均可作为该联合体的业绩。</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