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园所内涵提升改造工程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鄂托克前旗第七幼儿园</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鄂托克前旗和信项目管理有限公司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ESZCQQS-C-G-250002</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鄂托克前旗和信项目管理有限公司</w:t>
      </w:r>
      <w:r>
        <w:rPr>
          <w:rFonts w:ascii="仿宋_GB2312" w:hAnsi="仿宋_GB2312" w:cs="仿宋_GB2312" w:eastAsia="仿宋_GB2312"/>
        </w:rPr>
        <w:t xml:space="preserve"> 受 </w:t>
      </w:r>
      <w:r>
        <w:rPr>
          <w:rFonts w:ascii="仿宋_GB2312" w:hAnsi="仿宋_GB2312" w:cs="仿宋_GB2312" w:eastAsia="仿宋_GB2312"/>
        </w:rPr>
        <w:t>鄂托克前旗第七幼儿园</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园所内涵提升改造工程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园所内涵提升改造工程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ESZCQQS-C-G-250002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2,295,565.00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鄂托克前旗第七幼儿园园所内涵提升改造工程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2,295,565.00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鄂托克前旗和信项目管理有限公司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鄂托克前旗敖镇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于先生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19904776268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鄂托克前旗第七幼儿园</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鄂托克前旗第七幼儿园</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0477-7629747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代理服务费收费标准：按《内蒙古自治区建设工程招标代理费收费指导意见》（内工建协[2022]34 号）文件规定收费标准收取。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鄂托克前旗第七幼儿园</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鄂托克前旗和信项目管理有限公司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鄂托克前旗第七幼儿园为加强园所文化建设，通过挖掘内涵，找准定位，充分发挥环境育人作用，梳理文化建设主体框架，着力打造特色核心要素，让文化育人落实落地，以文化育人环境提升和户外园本课程教学区域建设以及“4D厨房”建设相关内容为基本，创设丰富的教育环境，促进幼儿在游戏和生活中健康快乐成长。</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满足《中华人民共和国政府采购法》第二十二条规定</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标的名称：鄂托克前旗第七幼儿园园所内涵提升改造工程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详见工程量清单。</w:t>
            </w:r>
            <w:r>
              <w:br/>
            </w:r>
            <w:r>
              <w:rPr>
                <w:rFonts w:ascii="仿宋_GB2312" w:hAnsi="仿宋_GB2312" w:cs="仿宋_GB2312" w:eastAsia="仿宋_GB2312"/>
              </w:rPr>
              <w:t xml:space="preserve"> 注：各投标人响应文件中必须附已标价工程量清单，并符合磋商文件中“工程量清单编制说明”、“工程量清单”给出的项目编码、项目名称、项目特征、计量单位和工程量等内容，不得缺项、漏项、不得高于采购预算价。否则，作否决其投标处理。</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因项目特殊性，供应商中标签订合同后必须立即施工，供应商自行考虑冬季施工低温等不利因素，确保工程质量符合国家相关验收标准。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审查供应商提供的具有良好的商业信誉和健全的财务会计制度的相关材料（提供相关证明材料或承诺，格式自拟）。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审查供应商提供的依法缴纳税收和社会保障资金的相关材料（提供相关证明材料或承诺，格式自拟）。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审查供应商提供的具有履行合同所必需的设备和专业技术能力的证明材料（提供相关证明 材料或承诺，格式自拟）。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内涵提升改造方案</w:t>
            </w:r>
          </w:p>
        </w:tc>
        <w:tc>
          <w:tcPr>
            <w:tcW w:type="dxa" w:w="3115"/>
          </w:tcPr>
          <w:p>
            <w:pPr>
              <w:pStyle w:val="null5"/>
              <w:jc w:val="left"/>
            </w:pPr>
            <w:r>
              <w:rPr>
                <w:rFonts w:ascii="仿宋_GB2312" w:hAnsi="仿宋_GB2312" w:cs="仿宋_GB2312" w:eastAsia="仿宋_GB2312"/>
              </w:rPr>
              <w:t>根据投标人针对本项目提供的内涵提升改造方案（投标人可根据附件中工程量清单及图纸进行深化设计及效果图设计等，但不限于效果图等内容）进行评分：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施工方案及技术措施</w:t>
            </w:r>
          </w:p>
        </w:tc>
        <w:tc>
          <w:tcPr>
            <w:tcW w:type="dxa" w:w="3115"/>
          </w:tcPr>
          <w:p>
            <w:pPr>
              <w:pStyle w:val="null5"/>
              <w:jc w:val="left"/>
            </w:pPr>
            <w:r>
              <w:rPr>
                <w:rFonts w:ascii="仿宋_GB2312" w:hAnsi="仿宋_GB2312" w:cs="仿宋_GB2312" w:eastAsia="仿宋_GB2312"/>
              </w:rPr>
              <w:t>根据投标人针对本项目提供的施工方案及技术措施进行评分：优得10分，良得8分，一般得6分，差得4分，未提供不得分。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工程进度安排及控制措施</w:t>
            </w:r>
          </w:p>
        </w:tc>
        <w:tc>
          <w:tcPr>
            <w:tcW w:type="dxa" w:w="3115"/>
          </w:tcPr>
          <w:p>
            <w:pPr>
              <w:pStyle w:val="null5"/>
              <w:jc w:val="left"/>
            </w:pPr>
            <w:r>
              <w:rPr>
                <w:rFonts w:ascii="仿宋_GB2312" w:hAnsi="仿宋_GB2312" w:cs="仿宋_GB2312" w:eastAsia="仿宋_GB2312"/>
              </w:rPr>
              <w:t>根据投标人针对本项目提供的工程进度安排及控制措施进行评分：优得10分，良得8分，一般得6分，差得4分，未提供不得分。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重点难点分析及解决措施</w:t>
            </w:r>
          </w:p>
        </w:tc>
        <w:tc>
          <w:tcPr>
            <w:tcW w:type="dxa" w:w="3115"/>
          </w:tcPr>
          <w:p>
            <w:pPr>
              <w:pStyle w:val="null5"/>
              <w:jc w:val="left"/>
            </w:pPr>
            <w:r>
              <w:rPr>
                <w:rFonts w:ascii="仿宋_GB2312" w:hAnsi="仿宋_GB2312" w:cs="仿宋_GB2312" w:eastAsia="仿宋_GB2312"/>
              </w:rPr>
              <w:t>根据投标人针对本项目提供的重点难点分析及解决措施进行评分：优得10分，良得8分，一般得6分，差得4分，未提供不得分。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后续维护服务及跟踪保障措施</w:t>
            </w:r>
          </w:p>
        </w:tc>
        <w:tc>
          <w:tcPr>
            <w:tcW w:type="dxa" w:w="3115"/>
          </w:tcPr>
          <w:p>
            <w:pPr>
              <w:pStyle w:val="null5"/>
              <w:jc w:val="left"/>
            </w:pPr>
            <w:r>
              <w:rPr>
                <w:rFonts w:ascii="仿宋_GB2312" w:hAnsi="仿宋_GB2312" w:cs="仿宋_GB2312" w:eastAsia="仿宋_GB2312"/>
              </w:rPr>
              <w:t>根据投标人针对本项目提供的后续维护服务及跟踪保障措施进行评分：优得10分，良得8分，一般得6分，差得4分，未提供不得分。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根据投标人针对本项目提供的安全管理体系与措施进行评分：优得10分，良得8分，一般得6分，差得4分，未提供不得分。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根据投标人针对本项目提供的质量保证措施进行评分：优得10分，良得8分，一般得6分，差得4分，未提供不得分。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根据投标人提供的近3年（2022年1月）装修改造类似业绩进行评分，每提供1项得2分，最高得10分；（注：投标文件中需提供合同及验收原件扫描件，缺项或未提供不得分）。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