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明长城围封工程和巴格陶利城址安防工程</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鄂托克前旗文博研究院</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鄂尔多斯市金言项目管理有限责任公司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ESZCQQS-C-G-250022</w:t>
      </w:r>
    </w:p>
    <w:p>
      <w:pPr>
        <w:pStyle w:val="null5"/>
        <w:jc w:val="center"/>
      </w:pPr>
      <w:r>
        <w:rPr>
          <w:rFonts w:ascii="仿宋_GB2312" w:hAnsi="仿宋_GB2312" w:cs="仿宋_GB2312" w:eastAsia="仿宋_GB2312"/>
        </w:rPr>
        <w:t>2025年03月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鄂尔多斯市金言项目管理有限责任公司</w:t>
      </w:r>
      <w:r>
        <w:rPr>
          <w:rFonts w:ascii="仿宋_GB2312" w:hAnsi="仿宋_GB2312" w:cs="仿宋_GB2312" w:eastAsia="仿宋_GB2312"/>
        </w:rPr>
        <w:t xml:space="preserve"> 受 </w:t>
      </w:r>
      <w:r>
        <w:rPr>
          <w:rFonts w:ascii="仿宋_GB2312" w:hAnsi="仿宋_GB2312" w:cs="仿宋_GB2312" w:eastAsia="仿宋_GB2312"/>
        </w:rPr>
        <w:t>鄂托克前旗文博研究院</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明长城围封工程和巴格陶利城址安防工程</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明长城围封工程和巴格陶利城址安防工程</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ESZCQQS-C-G-250022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431[2025]00172</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1,611,059.00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明长城围封工程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1,611,059.00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338,826.00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巴格陶利城址安防工程</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338,826.00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建筑业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2.资格审查时，供应商未被列入失信被执行人、重大税收违法失信主体、政府采购严重违法失信行为记录名单，相关信用情况通过“信用中国”网站、中国政府采购网等渠道查询。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鄂尔多斯市金言项目管理有限责任公司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内蒙古自治区鄂尔多斯市鄂托克前旗敖勒召其镇新区大街</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陈伟</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0477-7625038</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鄂托克前旗文博研究院</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鄂尔多斯市鄂托克前旗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016200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李余飞</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0477-2242207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2</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代理服务费收费标准：参照《内蒙古自治区建设工程招标代理费收费指导意见》（内工建协[2022]34 号）文件规定收费标准收取。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p>
            <w:pPr>
              <w:pStyle w:val="null5"/>
              <w:jc w:val="left"/>
            </w:pPr>
            <w:r>
              <w:rPr>
                <w:rFonts w:ascii="仿宋_GB2312" w:hAnsi="仿宋_GB2312" w:cs="仿宋_GB2312" w:eastAsia="仿宋_GB2312"/>
              </w:rPr>
              <w:t>无</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鄂托克前旗文博研究院</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鄂尔多斯市金言项目管理有限责任公司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明长城围封工程和巴格陶利城址安防工程，详见工程量清单。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合同签订后15个日历日内交付使用</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1、工程竣工验收合格后支付，达到付款条件起30日，支付合同总金额的100.00%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合同签订后15个日历日内交付使用</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鄂托克前旗</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1、工程竣工验收合格后支付，达到付款条件起30日，支付合同总金额的100.00%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标的名称：明长城围封工程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鄂托克前旗境内明长城属重要保护文物，根据相关规定，围封所在地属于保护区，严禁车辆、举高车、 挖掘机等机械设备进入施工，根据工程量清单，投标人自行制定施工方案，不得破坏文物、草原等，若造成损坏赔偿等由投标人自行承担。</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明长城围封工程主要为网围栏安装工程，围栏长度约为： 49.6km，围栏离地高度1.4m，含刺丝纬线一 道，围栏网片选用缠绕式 9*120*40型钢丝网片，边纬线公称直径2.8mm±0.11mm；网片上方距上纬 线100-200mm处安装刺丝网一道，刺丝主线公称直径2.5mm±0.11mm，刺线 公称直径2.2mm，刺 间距100-120mm；角柱扯线要求为6mm注塑钢丝；预制 砼立柱10*10*200cm；间距6.0m设置；预 制砼角柱规格为15*15*20cm（砼柱均为预应力钢筋砼柱）；全部砼柱单面喷涂优质油漆字，详见附件 工程量清单。</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根据工程时效需求和项目特殊性，供应商中标强签订合同后必须立即施工，供应商自行考虑各项因素，确保工程质量合格和进度顺利推进。</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标的名称：巴格陶利城址安防工程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巴格陶利城址安防工程位于鄂托克前旗敖镇巴格陶利城址，属于文物保护区域，根据相关规定，严禁车辆、举高车、挖掘机等机械设备进入施工，根据工程量清单，投标人自行制定施工方案，不得破坏文物 、草原等。</w:t>
            </w:r>
          </w:p>
        </w:tc>
      </w:tr>
      <w:tr>
        <w:tc>
          <w:tcPr>
            <w:tcW w:type="dxa" w:w="2769"/>
          </w:tcPr>
          <w:p>
            <w:pPr>
              <w:pStyle w:val="null5"/>
              <w:jc w:val="left"/>
            </w:pPr>
            <w:r>
              <w:rPr>
                <w:rFonts w:ascii="仿宋_GB2312" w:hAnsi="仿宋_GB2312" w:cs="仿宋_GB2312" w:eastAsia="仿宋_GB2312"/>
              </w:rPr>
              <w:t>2</w:t>
            </w:r>
          </w:p>
        </w:tc>
        <w:tc>
          <w:tcPr>
            <w:tcW w:type="dxa" w:w="2769"/>
          </w:tcPr>
          <w:p/>
        </w:tc>
        <w:tc>
          <w:tcPr>
            <w:tcW w:type="dxa" w:w="2769"/>
          </w:tcPr>
          <w:p>
            <w:pPr>
              <w:pStyle w:val="null5"/>
              <w:jc w:val="left"/>
            </w:pPr>
            <w:r>
              <w:rPr>
                <w:rFonts w:ascii="仿宋_GB2312" w:hAnsi="仿宋_GB2312" w:cs="仿宋_GB2312" w:eastAsia="仿宋_GB2312"/>
              </w:rPr>
              <w:t>工程量清单中主要产品（远距离3通道警戒枪机）技术要求：内置不低于3颗CMOS图像传感器、不低于 2个麦克风、不低于1个扬声器、不低于8颗补光灯、不低于2个报警输入接口、不低于2个报警输出接口 、不低于1个音频输入接口、不低于1个音频输出接口、不低于1个RS485接口；内置高效红外补光灯， 最大红外监控距离100米，支持宽动态，3D降噪，强光抑制，背光补偿，数字水印；内置水平仪，显示 精度±1°；白天天气晴朗无遮挡，可对5m-120m处的人和机动车目标进行检测，可识别250米处的人体 轮廓；夜晚天气晴朗无遮挡，补光灯开启后，可对5m-110m处的人和机动车目标进行检测；不低于报 警2进2出，不低于音频1进1出，支持不低于1TB Micro SD卡，内置不低于2个MIC，不低于1个扬声器 ，支持DC12V/POE供电方式，须具备12V电源返送，最大电流165mA，可给警戒高音喇叭和警示灯供 电；支持IP67，IK10防护等级；响应文件中须提供有效检测报告扫描件。</w:t>
            </w:r>
          </w:p>
        </w:tc>
      </w:tr>
      <w:tr>
        <w:tc>
          <w:tcPr>
            <w:tcW w:type="dxa" w:w="2769"/>
          </w:tcPr>
          <w:p>
            <w:pPr>
              <w:pStyle w:val="null5"/>
              <w:jc w:val="left"/>
            </w:pPr>
            <w:r>
              <w:rPr>
                <w:rFonts w:ascii="仿宋_GB2312" w:hAnsi="仿宋_GB2312" w:cs="仿宋_GB2312" w:eastAsia="仿宋_GB2312"/>
              </w:rPr>
              <w:t>3</w:t>
            </w:r>
          </w:p>
        </w:tc>
        <w:tc>
          <w:tcPr>
            <w:tcW w:type="dxa" w:w="2769"/>
          </w:tcPr>
          <w:p/>
        </w:tc>
        <w:tc>
          <w:tcPr>
            <w:tcW w:type="dxa" w:w="2769"/>
          </w:tcPr>
          <w:p>
            <w:pPr>
              <w:pStyle w:val="null5"/>
              <w:jc w:val="left"/>
            </w:pPr>
            <w:r>
              <w:rPr>
                <w:rFonts w:ascii="仿宋_GB2312" w:hAnsi="仿宋_GB2312" w:cs="仿宋_GB2312" w:eastAsia="仿宋_GB2312"/>
              </w:rPr>
              <w:t>工程量清单中主要产品（视频处理器）技术要求：支持8进8出，支持B/S（ Browser/Server，浏览器 / 服务器）模式及C/S（ Client/Server，客户端/ 服务器）模式控制方式； 移动控制端支持Windows 、i OS、Android 等操作系统（切换通道使用）；支持多个视频输入、输出及回显、电源卡、控制卡等槽位 ；HDMI输入卡，单板支持4路输入或4路输出，每路输出可开4个窗口， 最大支持分辨率1920X120 0 @60Hz，且每个窗口支持大小任意调整，图层顺序调整；具备7x24 小时长时间连续开机工作的能力 ；全年365× 24连续无故障运行，MTBF≥100000h ；投标人须提供有效的（ 检测报告内含有CMA、 CNAS、CAL等标识）检测报告原件扫描件。</w:t>
            </w:r>
          </w:p>
        </w:tc>
      </w:tr>
      <w:tr>
        <w:tc>
          <w:tcPr>
            <w:tcW w:type="dxa" w:w="2769"/>
          </w:tcPr>
          <w:p>
            <w:pPr>
              <w:pStyle w:val="null5"/>
              <w:jc w:val="left"/>
            </w:pPr>
            <w:r>
              <w:rPr>
                <w:rFonts w:ascii="仿宋_GB2312" w:hAnsi="仿宋_GB2312" w:cs="仿宋_GB2312" w:eastAsia="仿宋_GB2312"/>
              </w:rPr>
              <w:t>4</w:t>
            </w:r>
          </w:p>
        </w:tc>
        <w:tc>
          <w:tcPr>
            <w:tcW w:type="dxa" w:w="2769"/>
          </w:tcPr>
          <w:p/>
        </w:tc>
        <w:tc>
          <w:tcPr>
            <w:tcW w:type="dxa" w:w="2769"/>
          </w:tcPr>
          <w:p>
            <w:pPr>
              <w:pStyle w:val="null5"/>
              <w:jc w:val="left"/>
            </w:pPr>
            <w:r>
              <w:rPr>
                <w:rFonts w:ascii="仿宋_GB2312" w:hAnsi="仿宋_GB2312" w:cs="仿宋_GB2312" w:eastAsia="仿宋_GB2312"/>
              </w:rPr>
              <w:t>工程量清单中主要产品（8寸警戒球机）技术要求：光学变倍32倍，像素400万，可对移动目标进行自 动追踪，最大分辨率：2560× 1440；最大补光距离：250m（ 红外）；周界防范 ：支持绊线入侵；支 持区域入侵；支持穿越围栏； 支持徘徊检测；支持物品搬移；支持停车检测；支持人员聚集；支持人车 分类报警；支持联动跟踪；人脸检测：支持优选抓拍； 支持上报最优人脸抓图 ；支持人脸增强；支持人 脸属性提取，支持至少6种属性8种表情：性别，年龄 ，眼镜，表情（愤怒，悲 伤，厌恶，害怕，惊讶 ， 平静，高兴，困惑），口罩，胡子；支持人脸抠图，支持实时抓拍，质量优先三种抓拍策略；音频输 入：1 路； 音频输出：1路；可语音对讲；至少2路报警输入 ，1路报警输出；防护等级：IP67;TVS 80 00V防雷、防浪涌和防突波保护，响应文件中须提供有效检测报告扫描件。</w:t>
            </w:r>
          </w:p>
        </w:tc>
      </w:tr>
      <w:tr>
        <w:tc>
          <w:tcPr>
            <w:tcW w:type="dxa" w:w="2769"/>
          </w:tcPr>
          <w:p>
            <w:pPr>
              <w:pStyle w:val="null5"/>
              <w:jc w:val="left"/>
            </w:pPr>
            <w:r>
              <w:rPr>
                <w:rFonts w:ascii="仿宋_GB2312" w:hAnsi="仿宋_GB2312" w:cs="仿宋_GB2312" w:eastAsia="仿宋_GB2312"/>
              </w:rPr>
              <w:t>5</w:t>
            </w:r>
          </w:p>
        </w:tc>
        <w:tc>
          <w:tcPr>
            <w:tcW w:type="dxa" w:w="2769"/>
          </w:tcPr>
          <w:p/>
        </w:tc>
        <w:tc>
          <w:tcPr>
            <w:tcW w:type="dxa" w:w="2769"/>
          </w:tcPr>
          <w:p>
            <w:pPr>
              <w:pStyle w:val="null5"/>
              <w:jc w:val="left"/>
            </w:pPr>
            <w:r>
              <w:rPr>
                <w:rFonts w:ascii="仿宋_GB2312" w:hAnsi="仿宋_GB2312" w:cs="仿宋_GB2312" w:eastAsia="仿宋_GB2312"/>
              </w:rPr>
              <w:t>根据工程时效需求和项目特殊性，供应商中标签订合同后必须立即施工，确保工程进度顺利推进，供应商自行考虑各项因素，确保工程质量质量符合国家质量验收标准的合格工程。</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查询记录：对列入失信被执行人、重大税收违法失信主体、政府采购严重违法失信行为记录名单、信用报告进行查询；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重大税收违法失信主体、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审查供应商提供的具有良好的商业信誉和健全的财务会计制度的相关材料。（提供相关证明材料或承诺，格式自拟）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审查供应商提供的依法缴纳税收和社会保障资金的相关材料。（提供相关证明材料或承诺，格式自拟）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审查供应商提供的具有履行合同所必需的设备和专业技术能力的证明材料。（提供相关证明材料或承诺，格式自拟）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审查供应商提供的具有良好的商业信誉和健全的财务会计制度的相关材料。（提供相关证明材料或承诺，格式自拟）</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审查供应商提供的依法缴纳税收和社会保障资金的相关材料。（提供相关证明材料或承诺，格式自拟）</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审查供应商提供的具有履行合同所必需的设备和专业技术能力的证明材料。（提供相关证明材料或承诺，格式自拟）</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按要求进行网上投标、本项目不收取投标保证金。</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内容完整性和编制水平</w:t>
            </w:r>
          </w:p>
        </w:tc>
        <w:tc>
          <w:tcPr>
            <w:tcW w:type="dxa" w:w="3115"/>
          </w:tcPr>
          <w:p>
            <w:pPr>
              <w:pStyle w:val="null5"/>
              <w:jc w:val="left"/>
            </w:pPr>
            <w:r>
              <w:rPr>
                <w:rFonts w:ascii="仿宋_GB2312" w:hAnsi="仿宋_GB2312" w:cs="仿宋_GB2312" w:eastAsia="仿宋_GB2312"/>
              </w:rPr>
              <w:t>根据施工组织设计的内容完整性、科学有效性、针对性及编制水平打分，应针对工程等专项技术及安全防护、人员安置、组织流线、施工专用通道设置等制定完整、科学、有效、有针对性的施工组织设计；优得9分；良得7分；一般得5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质量管理体系与措施合理、有效，措施与方案的完善性，酌情打分。重点应对编制切实可行的措施方案。优得9分；良得7分；一般得5分；未提供不得分。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安全管理体系与措施</w:t>
            </w:r>
          </w:p>
        </w:tc>
        <w:tc>
          <w:tcPr>
            <w:tcW w:type="dxa" w:w="3115"/>
          </w:tcPr>
          <w:p>
            <w:pPr>
              <w:pStyle w:val="null5"/>
              <w:jc w:val="left"/>
            </w:pPr>
            <w:r>
              <w:rPr>
                <w:rFonts w:ascii="仿宋_GB2312" w:hAnsi="仿宋_GB2312" w:cs="仿宋_GB2312" w:eastAsia="仿宋_GB2312"/>
              </w:rPr>
              <w:t>根据安全管理体系与措施的合理、可靠、有效性，酌情打分。应针对本项目制定具体、有效的安全管理体系与措施；优得9分；良得7分；一般得5分；未提供不得分。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工程进度计划与措施</w:t>
            </w:r>
          </w:p>
        </w:tc>
        <w:tc>
          <w:tcPr>
            <w:tcW w:type="dxa" w:w="3115"/>
          </w:tcPr>
          <w:p>
            <w:pPr>
              <w:pStyle w:val="null5"/>
              <w:jc w:val="left"/>
            </w:pPr>
            <w:r>
              <w:rPr>
                <w:rFonts w:ascii="仿宋_GB2312" w:hAnsi="仿宋_GB2312" w:cs="仿宋_GB2312" w:eastAsia="仿宋_GB2312"/>
              </w:rPr>
              <w:t>根据编制情况的合理性、可靠性、有效性，酌情打分。有明确的工期节点计划，针对本项目编制工程进度计划及整体工期安排，尤其对施工黄金期制定切实可行的工期安排确保工程按期完工，并制定切 实可行的工期保障措施。优得9分；良得7分；一般得5分；未提供不得分。</w:t>
            </w:r>
          </w:p>
        </w:tc>
        <w:tc>
          <w:tcPr>
            <w:tcW w:type="dxa" w:w="1038"/>
          </w:tcPr>
          <w:p>
            <w:pPr>
              <w:pStyle w:val="null5"/>
              <w:jc w:val="right"/>
            </w:pPr>
            <w:r>
              <w:rPr>
                <w:rFonts w:ascii="仿宋_GB2312" w:hAnsi="仿宋_GB2312" w:cs="仿宋_GB2312" w:eastAsia="仿宋_GB2312"/>
              </w:rPr>
              <w:t>9.00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环境保护管理体系与措施</w:t>
            </w:r>
          </w:p>
        </w:tc>
        <w:tc>
          <w:tcPr>
            <w:tcW w:type="dxa" w:w="3115"/>
          </w:tcPr>
          <w:p>
            <w:pPr>
              <w:pStyle w:val="null5"/>
              <w:jc w:val="left"/>
            </w:pPr>
            <w:r>
              <w:rPr>
                <w:rFonts w:ascii="仿宋_GB2312" w:hAnsi="仿宋_GB2312" w:cs="仿宋_GB2312" w:eastAsia="仿宋_GB2312"/>
              </w:rPr>
              <w:t>根据环境保护管理体系的建立与相关措施是否完善，酌情打分。针对本项目施工过程中的扬尘、降噪、垃圾清运等有具体的措施。优得8分；良得6分；一般得4分；未提供不得分。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根据承诺投入的劳动力与施工设备数量、种类的全面、合理、有效性，酌情打分。优得8分；良得 6分；一般得4分；未提供不得分。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应急预案</w:t>
            </w:r>
          </w:p>
        </w:tc>
        <w:tc>
          <w:tcPr>
            <w:tcW w:type="dxa" w:w="3115"/>
          </w:tcPr>
          <w:p>
            <w:pPr>
              <w:pStyle w:val="null5"/>
              <w:jc w:val="left"/>
            </w:pPr>
            <w:r>
              <w:rPr>
                <w:rFonts w:ascii="仿宋_GB2312" w:hAnsi="仿宋_GB2312" w:cs="仿宋_GB2312" w:eastAsia="仿宋_GB2312"/>
              </w:rPr>
              <w:t>根据投标人对本项目的理解所提供的应急方案评分：包括不限于作业过程可能发生的突发事件、应急人员保障、设备保障及相关应对措施等内容：应急措施合理，能满足项目需求的得8分；应急措施比较合理，能基本满足项目要求得6分；应急措施一般或不能满足实际需求的得4分。未提供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投标人提供近年(2022年至今)类似业绩，每提供一项得5分，最高得20分。（注：投标文件中需提供中标通知书或合同原件扫描件，未提供不得分）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报价得分20.00分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施工方案技术措施</w:t>
            </w:r>
          </w:p>
        </w:tc>
        <w:tc>
          <w:tcPr>
            <w:tcW w:type="dxa" w:w="3115"/>
          </w:tcPr>
          <w:p>
            <w:pPr>
              <w:pStyle w:val="null5"/>
              <w:jc w:val="left"/>
            </w:pPr>
            <w:r>
              <w:rPr>
                <w:rFonts w:ascii="仿宋_GB2312" w:hAnsi="仿宋_GB2312" w:cs="仿宋_GB2312" w:eastAsia="仿宋_GB2312"/>
              </w:rPr>
              <w:t>针对本工程特点及文物保护施工的特殊性，根据供应商提供的施工方案技术措施等进行综合评价：优得10分，良得8分，一般得6分，差得4分，未提供不得分。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工期进度控制措施</w:t>
            </w:r>
          </w:p>
        </w:tc>
        <w:tc>
          <w:tcPr>
            <w:tcW w:type="dxa" w:w="3115"/>
          </w:tcPr>
          <w:p>
            <w:pPr>
              <w:pStyle w:val="null5"/>
              <w:jc w:val="left"/>
            </w:pPr>
            <w:r>
              <w:rPr>
                <w:rFonts w:ascii="仿宋_GB2312" w:hAnsi="仿宋_GB2312" w:cs="仿宋_GB2312" w:eastAsia="仿宋_GB2312"/>
              </w:rPr>
              <w:t>针对本工程特点及文物保护施工的特殊性，根据供应商提供的工期进度控制措施等进行综合评价：优得10分，良得8分，一般得6分，差得4分，未提供不得分。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重点难点分析及措施</w:t>
            </w:r>
          </w:p>
        </w:tc>
        <w:tc>
          <w:tcPr>
            <w:tcW w:type="dxa" w:w="3115"/>
          </w:tcPr>
          <w:p>
            <w:pPr>
              <w:pStyle w:val="null5"/>
              <w:jc w:val="left"/>
            </w:pPr>
            <w:r>
              <w:rPr>
                <w:rFonts w:ascii="仿宋_GB2312" w:hAnsi="仿宋_GB2312" w:cs="仿宋_GB2312" w:eastAsia="仿宋_GB2312"/>
              </w:rPr>
              <w:t>针对本工程特点及文物保护施工的特殊性，根据供应商提供的重点难点分析及措施等进行综合评价：优得10分，良得8分，一般得6分，差得4分，未提供不得分。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安装调试方案</w:t>
            </w:r>
          </w:p>
        </w:tc>
        <w:tc>
          <w:tcPr>
            <w:tcW w:type="dxa" w:w="3115"/>
          </w:tcPr>
          <w:p>
            <w:pPr>
              <w:pStyle w:val="null5"/>
              <w:jc w:val="left"/>
            </w:pPr>
            <w:r>
              <w:rPr>
                <w:rFonts w:ascii="仿宋_GB2312" w:hAnsi="仿宋_GB2312" w:cs="仿宋_GB2312" w:eastAsia="仿宋_GB2312"/>
              </w:rPr>
              <w:t>针对本工程特点及文物保护施工的特殊性，根据供应商提供的安装调试方案等进行综合评价：优得10分，良得8分，一般得6分，差得4分，未提供不得分。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后续维护服务及跟踪保障措施</w:t>
            </w:r>
          </w:p>
        </w:tc>
        <w:tc>
          <w:tcPr>
            <w:tcW w:type="dxa" w:w="3115"/>
          </w:tcPr>
          <w:p>
            <w:pPr>
              <w:pStyle w:val="null5"/>
              <w:jc w:val="left"/>
            </w:pPr>
            <w:r>
              <w:rPr>
                <w:rFonts w:ascii="仿宋_GB2312" w:hAnsi="仿宋_GB2312" w:cs="仿宋_GB2312" w:eastAsia="仿宋_GB2312"/>
              </w:rPr>
              <w:t>针对本工程特点及文物保护施工的特殊性，根据供应商提供的后续维护服务及跟踪保障措施等进行综合评价：优得10分，良得8分，一般得6分，差得4分，未提供不得分。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服务期内的维护保养、保障、巡检方案</w:t>
            </w:r>
          </w:p>
        </w:tc>
        <w:tc>
          <w:tcPr>
            <w:tcW w:type="dxa" w:w="3115"/>
          </w:tcPr>
          <w:p>
            <w:pPr>
              <w:pStyle w:val="null5"/>
              <w:jc w:val="left"/>
            </w:pPr>
            <w:r>
              <w:rPr>
                <w:rFonts w:ascii="仿宋_GB2312" w:hAnsi="仿宋_GB2312" w:cs="仿宋_GB2312" w:eastAsia="仿宋_GB2312"/>
              </w:rPr>
              <w:t>针对本工程特点及文物保护施工的特殊性，根据供应商提供的服务期内的维护保养、保障、巡检方案、升级维护、传输保障、后期维护人员培训等进行综合评价：优得10分，良得8分，一般得6分，差得4分，未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类似业绩</w:t>
            </w:r>
          </w:p>
        </w:tc>
        <w:tc>
          <w:tcPr>
            <w:tcW w:type="dxa" w:w="3115"/>
          </w:tcPr>
          <w:p>
            <w:pPr>
              <w:pStyle w:val="null5"/>
              <w:jc w:val="left"/>
            </w:pPr>
            <w:r>
              <w:rPr>
                <w:rFonts w:ascii="仿宋_GB2312" w:hAnsi="仿宋_GB2312" w:cs="仿宋_GB2312" w:eastAsia="仿宋_GB2312"/>
              </w:rPr>
              <w:t>投标人提供近年(2022年至今)施工业绩（监控安防工程），每提供一项得4分，最高得20分。（注：投标文件中需提供中标通知书或合同原件扫描件，未提供不得分）。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