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“草原村排”场地建设项目设计服务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鄂托克前旗政府投资项目代建中心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鄂尔多斯市金博工程项目管理有限公司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ESZCQQS-C-F-250023</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鄂尔多斯市金博工程项目管理有限公司</w:t>
      </w:r>
      <w:r>
        <w:rPr>
          <w:rFonts w:ascii="仿宋_GB2312" w:hAnsi="仿宋_GB2312" w:cs="仿宋_GB2312" w:eastAsia="仿宋_GB2312"/>
        </w:rPr>
        <w:t xml:space="preserve"> 受 </w:t>
      </w:r>
      <w:r>
        <w:rPr>
          <w:rFonts w:ascii="仿宋_GB2312" w:hAnsi="仿宋_GB2312" w:cs="仿宋_GB2312" w:eastAsia="仿宋_GB2312"/>
        </w:rPr>
        <w:t>鄂托克前旗政府投资项目代建中心</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“草原村排”场地建设项目设计服务</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“草原村排”场地建设项目设计服务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ESZCQQS-C-F-250023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431[2025]00258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1,140,000.00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“草原村排”场地建设项目设计服务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1,140,000.00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建筑业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资质要求：供应商须具备建设行政主管部门颁发的【工程设计综合甲级资质】或【工程设计建筑行业乙级资质】或【建筑行业（建筑工程）专业乙级资质】，并在人员、设备、资金等方面具有相应的能力。（投标文件须附资质证书原件扫描件）。</w:t>
      </w:r>
    </w:p>
    <w:p>
      <w:pPr>
        <w:pStyle w:val="null5"/>
        <w:jc w:val="left"/>
      </w:pPr>
      <w:r>
        <w:rPr>
          <w:rFonts w:ascii="仿宋_GB2312" w:hAnsi="仿宋_GB2312" w:cs="仿宋_GB2312" w:eastAsia="仿宋_GB2312"/>
        </w:rPr>
        <w:t>2、项目负责人要求：拟派项目负责人须具备二级注册建筑师资格且具备建筑工程相关专业中级（含）以上技术职称，且必须在本单位注册。（以注册建筑师证、技术职称证为准，投标文件中须附证书原件扫描件）。</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鄂尔多斯市金博工程项目管理有限公司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内蒙古自治区鄂尔多斯市鄂托克前旗敖勒召其镇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016200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林晓伟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18947706825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鄂托克前旗政府投资项目代建中心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鄂尔多斯市鄂托克前旗</w:t>
      </w:r>
    </w:p>
    <w:p>
      <w:pPr>
        <w:pStyle w:val="null5"/>
      </w:pPr>
      <w:r>
        <w:rPr>
          <w:rFonts w:ascii="仿宋_GB2312" w:hAnsi="仿宋_GB2312" w:cs="仿宋_GB2312" w:eastAsia="仿宋_GB2312"/>
        </w:rPr>
        <w:t xml:space="preserve"> 邮编： </w:t>
      </w:r>
      <w:r>
        <w:rPr>
          <w:rFonts w:ascii="仿宋_GB2312" w:hAnsi="仿宋_GB2312" w:cs="仿宋_GB2312" w:eastAsia="仿宋_GB2312"/>
        </w:rPr>
        <w:t>016200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马峰</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13474789234</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代理服务费收费标准：按照中标价1.5%收取</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鄂托克前旗政府投资项目代建中心</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鄂尔多斯市金博工程项目管理有限公司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包括按照现行设计规范及招标人的要求，完成本项目所有内容的的排球场地设计、看台设计、景观设计、体育场音响设计、体育场照明配电设计等各专业设计、施工及竣工验收阶段、质量保修期的设计服务等工作以及协助招标人完成各项审批手续办理等工作。具体内容包括总图、 建筑、结构、给排水、电气、暖通、消防、防雷、景观、外管网、红线范围 内的道路边坡挡墙等本项目所有内容的设计。</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合同签订后20日历天内交付</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鄂托克前旗敖勒召其镇</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1、根据财政拨款情况支付，达到付款条件起7日，支付合同总金额的100.00%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标的名称：“草原村排”场地建设项目设计服务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before="105" w:after="30"/>
              <w:jc w:val="left"/>
              <w:outlineLvl w:val="2"/>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项目概况</w:t>
            </w:r>
          </w:p>
          <w:p>
            <w:pPr>
              <w:pStyle w:val="null5"/>
              <w:spacing w:before="105" w:after="105"/>
              <w:jc w:val="both"/>
            </w:pPr>
            <w:r>
              <w:rPr>
                <w:rFonts w:ascii="仿宋_GB2312" w:hAnsi="仿宋_GB2312" w:cs="仿宋_GB2312" w:eastAsia="仿宋_GB2312"/>
                <w:sz w:val="24"/>
              </w:rPr>
              <w:t>1、</w:t>
            </w:r>
            <w:r>
              <w:rPr>
                <w:rFonts w:ascii="仿宋_GB2312" w:hAnsi="仿宋_GB2312" w:cs="仿宋_GB2312" w:eastAsia="仿宋_GB2312"/>
                <w:sz w:val="24"/>
              </w:rPr>
              <w:t>项目名称：“草原村排”场地建设项目设计服务</w:t>
            </w:r>
          </w:p>
          <w:p>
            <w:pPr>
              <w:pStyle w:val="null5"/>
              <w:spacing w:before="105" w:after="105"/>
              <w:jc w:val="both"/>
            </w:pPr>
            <w:r>
              <w:rPr>
                <w:rFonts w:ascii="仿宋_GB2312" w:hAnsi="仿宋_GB2312" w:cs="仿宋_GB2312" w:eastAsia="仿宋_GB2312"/>
                <w:sz w:val="24"/>
              </w:rPr>
              <w:t>2、</w:t>
            </w:r>
            <w:r>
              <w:rPr>
                <w:rFonts w:ascii="仿宋_GB2312" w:hAnsi="仿宋_GB2312" w:cs="仿宋_GB2312" w:eastAsia="仿宋_GB2312"/>
                <w:sz w:val="24"/>
              </w:rPr>
              <w:t>项目地点：鄂尔多斯</w:t>
            </w:r>
            <w:r>
              <w:rPr>
                <w:rFonts w:ascii="仿宋_GB2312" w:hAnsi="仿宋_GB2312" w:cs="仿宋_GB2312" w:eastAsia="仿宋_GB2312"/>
                <w:sz w:val="24"/>
              </w:rPr>
              <w:t>市鄂托克前旗</w:t>
            </w:r>
          </w:p>
          <w:p>
            <w:pPr>
              <w:pStyle w:val="null5"/>
              <w:spacing w:before="105" w:after="105"/>
              <w:jc w:val="both"/>
            </w:pPr>
            <w:r>
              <w:rPr>
                <w:rFonts w:ascii="仿宋_GB2312" w:hAnsi="仿宋_GB2312" w:cs="仿宋_GB2312" w:eastAsia="仿宋_GB2312"/>
                <w:sz w:val="24"/>
              </w:rPr>
              <w:t>3、</w:t>
            </w:r>
            <w:r>
              <w:rPr>
                <w:rFonts w:ascii="仿宋_GB2312" w:hAnsi="仿宋_GB2312" w:cs="仿宋_GB2312" w:eastAsia="仿宋_GB2312"/>
                <w:sz w:val="24"/>
              </w:rPr>
              <w:t>项目背景：为满足草原村村民及周边群众对排球运动的</w:t>
            </w:r>
            <w:r>
              <w:rPr>
                <w:rFonts w:ascii="仿宋_GB2312" w:hAnsi="仿宋_GB2312" w:cs="仿宋_GB2312" w:eastAsia="仿宋_GB2312"/>
                <w:sz w:val="24"/>
              </w:rPr>
              <w:t>热爱与</w:t>
            </w:r>
            <w:r>
              <w:rPr>
                <w:rFonts w:ascii="仿宋_GB2312" w:hAnsi="仿宋_GB2312" w:cs="仿宋_GB2312" w:eastAsia="仿宋_GB2312"/>
                <w:sz w:val="24"/>
              </w:rPr>
              <w:t>需求，提升村民的身体素质和生活质量，丰富业余文化生活，特建设此排球场地。</w:t>
            </w:r>
          </w:p>
          <w:p>
            <w:pPr>
              <w:pStyle w:val="null5"/>
              <w:spacing w:before="105" w:after="105"/>
              <w:jc w:val="both"/>
            </w:pPr>
            <w:r>
              <w:rPr>
                <w:rFonts w:ascii="仿宋_GB2312" w:hAnsi="仿宋_GB2312" w:cs="仿宋_GB2312" w:eastAsia="仿宋_GB2312"/>
                <w:sz w:val="24"/>
              </w:rPr>
              <w:t>4、</w:t>
            </w:r>
            <w:r>
              <w:rPr>
                <w:rFonts w:ascii="仿宋_GB2312" w:hAnsi="仿宋_GB2312" w:cs="仿宋_GB2312" w:eastAsia="仿宋_GB2312"/>
                <w:sz w:val="24"/>
              </w:rPr>
              <w:t>建设规模</w:t>
            </w:r>
            <w:r>
              <w:rPr>
                <w:rFonts w:ascii="仿宋_GB2312" w:hAnsi="仿宋_GB2312" w:cs="仿宋_GB2312" w:eastAsia="仿宋_GB2312"/>
                <w:sz w:val="24"/>
              </w:rPr>
              <w:t>：本项目为</w:t>
            </w:r>
            <w:r>
              <w:rPr>
                <w:rFonts w:ascii="仿宋_GB2312" w:hAnsi="仿宋_GB2312" w:cs="仿宋_GB2312" w:eastAsia="仿宋_GB2312"/>
                <w:sz w:val="24"/>
              </w:rPr>
              <w:t>“草原村排”场地建设项目，看台座位数为：7300人左右，总用地面积约为：63691㎡，其中体育场占地</w:t>
            </w:r>
            <w:r>
              <w:rPr>
                <w:rFonts w:ascii="仿宋_GB2312" w:hAnsi="仿宋_GB2312" w:cs="仿宋_GB2312" w:eastAsia="仿宋_GB2312"/>
                <w:sz w:val="24"/>
              </w:rPr>
              <w:t>面积</w:t>
            </w:r>
            <w:r>
              <w:rPr>
                <w:rFonts w:ascii="仿宋_GB2312" w:hAnsi="仿宋_GB2312" w:cs="仿宋_GB2312" w:eastAsia="仿宋_GB2312"/>
                <w:sz w:val="24"/>
              </w:rPr>
              <w:t>约</w:t>
            </w:r>
            <w:r>
              <w:rPr>
                <w:rFonts w:ascii="仿宋_GB2312" w:hAnsi="仿宋_GB2312" w:cs="仿宋_GB2312" w:eastAsia="仿宋_GB2312"/>
                <w:sz w:val="24"/>
              </w:rPr>
              <w:t>为</w:t>
            </w:r>
            <w:r>
              <w:rPr>
                <w:rFonts w:ascii="仿宋_GB2312" w:hAnsi="仿宋_GB2312" w:cs="仿宋_GB2312" w:eastAsia="仿宋_GB2312"/>
                <w:sz w:val="24"/>
              </w:rPr>
              <w:t>15350</w:t>
            </w:r>
            <w:r>
              <w:rPr>
                <w:rFonts w:ascii="仿宋_GB2312" w:hAnsi="仿宋_GB2312" w:cs="仿宋_GB2312" w:eastAsia="仿宋_GB2312"/>
                <w:sz w:val="24"/>
              </w:rPr>
              <w:t>㎡，</w:t>
            </w:r>
            <w:r>
              <w:rPr>
                <w:rFonts w:ascii="仿宋_GB2312" w:hAnsi="仿宋_GB2312" w:cs="仿宋_GB2312" w:eastAsia="仿宋_GB2312"/>
                <w:sz w:val="24"/>
              </w:rPr>
              <w:t>集散广场面积约为：</w:t>
            </w:r>
            <w:r>
              <w:rPr>
                <w:rFonts w:ascii="仿宋_GB2312" w:hAnsi="仿宋_GB2312" w:cs="仿宋_GB2312" w:eastAsia="仿宋_GB2312"/>
                <w:sz w:val="24"/>
              </w:rPr>
              <w:t>14473㎡，南景观广场面积约为：6054㎡，微地形景观占地面积约为：19342㎡，其他配套绿化面积约为：8472㎡，同时配套相应功能房间面积约：600㎡。</w:t>
            </w:r>
          </w:p>
          <w:p>
            <w:pPr>
              <w:pStyle w:val="null5"/>
              <w:spacing w:before="105" w:after="105"/>
              <w:jc w:val="both"/>
            </w:pP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spacing w:before="105" w:after="30"/>
              <w:jc w:val="left"/>
              <w:outlineLvl w:val="2"/>
            </w:pPr>
            <w:r>
              <w:rPr>
                <w:rFonts w:ascii="仿宋_GB2312" w:hAnsi="仿宋_GB2312" w:cs="仿宋_GB2312" w:eastAsia="仿宋_GB2312"/>
                <w:sz w:val="24"/>
                <w:b/>
                <w:shd w:fill="FFFFFF" w:val="clear"/>
              </w:rPr>
              <w:t>二、设计依据</w:t>
            </w:r>
          </w:p>
          <w:p>
            <w:pPr>
              <w:pStyle w:val="null5"/>
              <w:spacing w:before="105" w:after="105"/>
              <w:jc w:val="both"/>
            </w:pPr>
            <w:r>
              <w:rPr>
                <w:rFonts w:ascii="仿宋_GB2312" w:hAnsi="仿宋_GB2312" w:cs="仿宋_GB2312" w:eastAsia="仿宋_GB2312"/>
                <w:sz w:val="24"/>
              </w:rPr>
              <w:t>1、</w:t>
            </w:r>
            <w:r>
              <w:rPr>
                <w:rFonts w:ascii="仿宋_GB2312" w:hAnsi="仿宋_GB2312" w:cs="仿宋_GB2312" w:eastAsia="仿宋_GB2312"/>
                <w:sz w:val="24"/>
              </w:rPr>
              <w:t>《民用建筑设计统一标准》</w:t>
            </w:r>
            <w:r>
              <w:rPr>
                <w:rFonts w:ascii="仿宋_GB2312" w:hAnsi="仿宋_GB2312" w:cs="仿宋_GB2312" w:eastAsia="仿宋_GB2312"/>
                <w:sz w:val="24"/>
              </w:rPr>
              <w:t xml:space="preserve">GB 50352 </w:t>
            </w:r>
          </w:p>
          <w:p>
            <w:pPr>
              <w:pStyle w:val="null5"/>
              <w:spacing w:before="105" w:after="105"/>
              <w:jc w:val="both"/>
            </w:pPr>
            <w:r>
              <w:rPr>
                <w:rFonts w:ascii="仿宋_GB2312" w:hAnsi="仿宋_GB2312" w:cs="仿宋_GB2312" w:eastAsia="仿宋_GB2312"/>
                <w:sz w:val="24"/>
              </w:rPr>
              <w:t>2、</w:t>
            </w:r>
            <w:r>
              <w:rPr>
                <w:rFonts w:ascii="仿宋_GB2312" w:hAnsi="仿宋_GB2312" w:cs="仿宋_GB2312" w:eastAsia="仿宋_GB2312"/>
                <w:sz w:val="24"/>
              </w:rPr>
              <w:t>《排球竞赛规则》（国际排联及中国排协最新版）</w:t>
            </w:r>
          </w:p>
          <w:p>
            <w:pPr>
              <w:pStyle w:val="null5"/>
              <w:spacing w:before="105" w:after="105"/>
              <w:jc w:val="both"/>
            </w:pPr>
            <w:r>
              <w:rPr>
                <w:rFonts w:ascii="仿宋_GB2312" w:hAnsi="仿宋_GB2312" w:cs="仿宋_GB2312" w:eastAsia="仿宋_GB2312"/>
                <w:sz w:val="24"/>
              </w:rPr>
              <w:t>3、</w:t>
            </w:r>
            <w:r>
              <w:rPr>
                <w:rFonts w:ascii="仿宋_GB2312" w:hAnsi="仿宋_GB2312" w:cs="仿宋_GB2312" w:eastAsia="仿宋_GB2312"/>
                <w:sz w:val="24"/>
              </w:rPr>
              <w:t>《体育建筑设计规范》</w:t>
            </w:r>
            <w:r>
              <w:rPr>
                <w:rFonts w:ascii="仿宋_GB2312" w:hAnsi="仿宋_GB2312" w:cs="仿宋_GB2312" w:eastAsia="仿宋_GB2312"/>
                <w:sz w:val="24"/>
              </w:rPr>
              <w:t>JGJ31-2019</w:t>
            </w:r>
          </w:p>
          <w:p>
            <w:pPr>
              <w:pStyle w:val="null5"/>
              <w:spacing w:before="75" w:after="105"/>
              <w:jc w:val="both"/>
            </w:pPr>
            <w:r>
              <w:rPr>
                <w:rFonts w:ascii="仿宋_GB2312" w:hAnsi="仿宋_GB2312" w:cs="仿宋_GB2312" w:eastAsia="仿宋_GB2312"/>
                <w:sz w:val="24"/>
              </w:rPr>
              <w:t>4、</w:t>
            </w:r>
            <w:r>
              <w:rPr>
                <w:rFonts w:ascii="仿宋_GB2312" w:hAnsi="仿宋_GB2312" w:cs="仿宋_GB2312" w:eastAsia="仿宋_GB2312"/>
                <w:sz w:val="24"/>
              </w:rPr>
              <w:t>《建筑设计防火规范》</w:t>
            </w:r>
            <w:r>
              <w:rPr>
                <w:rFonts w:ascii="仿宋_GB2312" w:hAnsi="仿宋_GB2312" w:cs="仿宋_GB2312" w:eastAsia="仿宋_GB2312"/>
                <w:sz w:val="24"/>
              </w:rPr>
              <w:t>GB50016-2014(2018年版)</w:t>
            </w:r>
            <w:r>
              <w:br/>
            </w:r>
            <w:r>
              <w:rPr>
                <w:rFonts w:ascii="仿宋_GB2312" w:hAnsi="仿宋_GB2312" w:cs="仿宋_GB2312" w:eastAsia="仿宋_GB2312"/>
                <w:sz w:val="24"/>
              </w:rPr>
              <w:t>5、</w:t>
            </w:r>
            <w:r>
              <w:rPr>
                <w:rFonts w:ascii="仿宋_GB2312" w:hAnsi="仿宋_GB2312" w:cs="仿宋_GB2312" w:eastAsia="仿宋_GB2312"/>
                <w:sz w:val="24"/>
              </w:rPr>
              <w:t>《消防应急照明和疏散指示系统》</w:t>
            </w:r>
            <w:r>
              <w:rPr>
                <w:rFonts w:ascii="仿宋_GB2312" w:hAnsi="仿宋_GB2312" w:cs="仿宋_GB2312" w:eastAsia="仿宋_GB2312"/>
                <w:sz w:val="24"/>
              </w:rPr>
              <w:t>GB17945-2010</w:t>
            </w:r>
          </w:p>
          <w:p>
            <w:pPr>
              <w:pStyle w:val="null5"/>
              <w:spacing w:before="75" w:after="105"/>
              <w:jc w:val="both"/>
            </w:pPr>
            <w:r>
              <w:rPr>
                <w:rFonts w:ascii="仿宋_GB2312" w:hAnsi="仿宋_GB2312" w:cs="仿宋_GB2312" w:eastAsia="仿宋_GB2312"/>
                <w:sz w:val="24"/>
              </w:rPr>
              <w:t>6、</w:t>
            </w:r>
            <w:r>
              <w:rPr>
                <w:rFonts w:ascii="仿宋_GB2312" w:hAnsi="仿宋_GB2312" w:cs="仿宋_GB2312" w:eastAsia="仿宋_GB2312"/>
                <w:sz w:val="24"/>
              </w:rPr>
              <w:t>《建筑与市政工程无障碍通用规范》</w:t>
            </w:r>
            <w:r>
              <w:rPr>
                <w:rFonts w:ascii="仿宋_GB2312" w:hAnsi="仿宋_GB2312" w:cs="仿宋_GB2312" w:eastAsia="仿宋_GB2312"/>
                <w:sz w:val="24"/>
              </w:rPr>
              <w:t>GB55019-2021；</w:t>
            </w:r>
          </w:p>
          <w:p>
            <w:pPr>
              <w:pStyle w:val="null5"/>
              <w:spacing w:before="75" w:after="105"/>
              <w:jc w:val="both"/>
            </w:pPr>
            <w:r>
              <w:rPr>
                <w:rFonts w:ascii="仿宋_GB2312" w:hAnsi="仿宋_GB2312" w:cs="仿宋_GB2312" w:eastAsia="仿宋_GB2312"/>
                <w:sz w:val="24"/>
              </w:rPr>
              <w:t>7、</w:t>
            </w:r>
            <w:r>
              <w:rPr>
                <w:rFonts w:ascii="仿宋_GB2312" w:hAnsi="仿宋_GB2312" w:cs="仿宋_GB2312" w:eastAsia="仿宋_GB2312"/>
                <w:sz w:val="24"/>
              </w:rPr>
              <w:t>《无障碍设计规范》</w:t>
            </w:r>
            <w:r>
              <w:rPr>
                <w:rFonts w:ascii="仿宋_GB2312" w:hAnsi="仿宋_GB2312" w:cs="仿宋_GB2312" w:eastAsia="仿宋_GB2312"/>
                <w:sz w:val="24"/>
              </w:rPr>
              <w:t>GB 50763-2012；</w:t>
            </w:r>
          </w:p>
          <w:p>
            <w:pPr>
              <w:pStyle w:val="null5"/>
              <w:spacing w:before="75" w:after="105"/>
              <w:jc w:val="both"/>
            </w:pPr>
            <w:r>
              <w:rPr>
                <w:rFonts w:ascii="仿宋_GB2312" w:hAnsi="仿宋_GB2312" w:cs="仿宋_GB2312" w:eastAsia="仿宋_GB2312"/>
                <w:sz w:val="24"/>
              </w:rPr>
              <w:t>8、</w:t>
            </w:r>
            <w:r>
              <w:rPr>
                <w:rFonts w:ascii="仿宋_GB2312" w:hAnsi="仿宋_GB2312" w:cs="仿宋_GB2312" w:eastAsia="仿宋_GB2312"/>
                <w:sz w:val="24"/>
              </w:rPr>
              <w:t>《建筑防火通用规范》</w:t>
            </w:r>
            <w:r>
              <w:rPr>
                <w:rFonts w:ascii="仿宋_GB2312" w:hAnsi="仿宋_GB2312" w:cs="仿宋_GB2312" w:eastAsia="仿宋_GB2312"/>
                <w:sz w:val="24"/>
              </w:rPr>
              <w:t>GB55037-2022；</w:t>
            </w:r>
          </w:p>
          <w:p>
            <w:pPr>
              <w:pStyle w:val="null5"/>
              <w:spacing w:before="75" w:after="105"/>
              <w:jc w:val="both"/>
            </w:pPr>
            <w:r>
              <w:rPr>
                <w:rFonts w:ascii="仿宋_GB2312" w:hAnsi="仿宋_GB2312" w:cs="仿宋_GB2312" w:eastAsia="仿宋_GB2312"/>
                <w:sz w:val="24"/>
              </w:rPr>
              <w:t>9、</w:t>
            </w:r>
            <w:r>
              <w:rPr>
                <w:rFonts w:ascii="仿宋_GB2312" w:hAnsi="仿宋_GB2312" w:cs="仿宋_GB2312" w:eastAsia="仿宋_GB2312"/>
                <w:sz w:val="24"/>
              </w:rPr>
              <w:t>《建筑地面设计规范》</w:t>
            </w:r>
            <w:r>
              <w:rPr>
                <w:rFonts w:ascii="仿宋_GB2312" w:hAnsi="仿宋_GB2312" w:cs="仿宋_GB2312" w:eastAsia="仿宋_GB2312"/>
                <w:sz w:val="24"/>
              </w:rPr>
              <w:t>GB50037-2013；</w:t>
            </w:r>
          </w:p>
          <w:p>
            <w:pPr>
              <w:pStyle w:val="null5"/>
              <w:spacing w:before="75" w:after="105"/>
              <w:jc w:val="both"/>
            </w:pPr>
            <w:r>
              <w:rPr>
                <w:rFonts w:ascii="仿宋_GB2312" w:hAnsi="仿宋_GB2312" w:cs="仿宋_GB2312" w:eastAsia="仿宋_GB2312"/>
                <w:sz w:val="24"/>
              </w:rPr>
              <w:t>10、</w:t>
            </w:r>
            <w:r>
              <w:rPr>
                <w:rFonts w:ascii="仿宋_GB2312" w:hAnsi="仿宋_GB2312" w:cs="仿宋_GB2312" w:eastAsia="仿宋_GB2312"/>
                <w:sz w:val="24"/>
              </w:rPr>
              <w:t>《民用建筑工程室内环境污染控制标准》</w:t>
            </w:r>
            <w:r>
              <w:rPr>
                <w:rFonts w:ascii="仿宋_GB2312" w:hAnsi="仿宋_GB2312" w:cs="仿宋_GB2312" w:eastAsia="仿宋_GB2312"/>
                <w:sz w:val="24"/>
              </w:rPr>
              <w:t>GB50325-2020；</w:t>
            </w:r>
          </w:p>
          <w:p>
            <w:pPr>
              <w:pStyle w:val="null5"/>
              <w:spacing w:before="75"/>
              <w:jc w:val="both"/>
            </w:pPr>
            <w:r>
              <w:rPr>
                <w:rFonts w:ascii="仿宋_GB2312" w:hAnsi="仿宋_GB2312" w:cs="仿宋_GB2312" w:eastAsia="仿宋_GB2312"/>
                <w:sz w:val="24"/>
              </w:rPr>
              <w:t>11、</w:t>
            </w:r>
            <w:r>
              <w:rPr>
                <w:rFonts w:ascii="仿宋_GB2312" w:hAnsi="仿宋_GB2312" w:cs="仿宋_GB2312" w:eastAsia="仿宋_GB2312"/>
                <w:sz w:val="24"/>
              </w:rPr>
              <w:t>《建筑采光设计标准》</w:t>
            </w:r>
            <w:r>
              <w:rPr>
                <w:rFonts w:ascii="仿宋_GB2312" w:hAnsi="仿宋_GB2312" w:cs="仿宋_GB2312" w:eastAsia="仿宋_GB2312"/>
                <w:sz w:val="24"/>
              </w:rPr>
              <w:t>GB50033-2013。</w:t>
            </w:r>
          </w:p>
          <w:p>
            <w:pPr>
              <w:pStyle w:val="null5"/>
              <w:spacing w:before="75" w:after="105"/>
              <w:jc w:val="both"/>
            </w:pPr>
            <w:r>
              <w:rPr>
                <w:rFonts w:ascii="仿宋_GB2312" w:hAnsi="仿宋_GB2312" w:cs="仿宋_GB2312" w:eastAsia="仿宋_GB2312"/>
                <w:sz w:val="24"/>
              </w:rPr>
              <w:t>等</w:t>
            </w:r>
            <w:r>
              <w:rPr>
                <w:rFonts w:ascii="仿宋_GB2312" w:hAnsi="仿宋_GB2312" w:cs="仿宋_GB2312" w:eastAsia="仿宋_GB2312"/>
                <w:sz w:val="24"/>
              </w:rPr>
              <w:t>国家及地方相关的建筑、规划、环保等法规和标准场地规划设计要求</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4"/>
                <w:b/>
                <w:shd w:fill="FFFFFF" w:val="clear"/>
              </w:rPr>
              <w:t>三、设计内容</w:t>
            </w:r>
          </w:p>
          <w:p>
            <w:pPr>
              <w:pStyle w:val="null5"/>
              <w:ind w:firstLine="476"/>
              <w:jc w:val="both"/>
            </w:pPr>
            <w:r>
              <w:rPr>
                <w:rFonts w:ascii="仿宋_GB2312" w:hAnsi="仿宋_GB2312" w:cs="仿宋_GB2312" w:eastAsia="仿宋_GB2312"/>
                <w:sz w:val="24"/>
              </w:rPr>
              <w:t>包括按照现行设计规范及招标人的要求，完成本项目所有</w:t>
            </w:r>
            <w:r>
              <w:rPr>
                <w:rFonts w:ascii="仿宋_GB2312" w:hAnsi="仿宋_GB2312" w:cs="仿宋_GB2312" w:eastAsia="仿宋_GB2312"/>
                <w:sz w:val="24"/>
              </w:rPr>
              <w:t>内容的的</w:t>
            </w:r>
            <w:r>
              <w:rPr>
                <w:rFonts w:ascii="仿宋_GB2312" w:hAnsi="仿宋_GB2312" w:cs="仿宋_GB2312" w:eastAsia="仿宋_GB2312"/>
                <w:sz w:val="24"/>
              </w:rPr>
              <w:t>排球场</w:t>
            </w:r>
            <w:r>
              <w:rPr>
                <w:rFonts w:ascii="仿宋_GB2312" w:hAnsi="仿宋_GB2312" w:cs="仿宋_GB2312" w:eastAsia="仿宋_GB2312"/>
                <w:sz w:val="24"/>
              </w:rPr>
              <w:t>地设计、看台设计、景观设计、体育场音响设计、体育场照明配电设计等</w:t>
            </w:r>
            <w:r>
              <w:rPr>
                <w:rFonts w:ascii="仿宋_GB2312" w:hAnsi="仿宋_GB2312" w:cs="仿宋_GB2312" w:eastAsia="仿宋_GB2312"/>
                <w:sz w:val="24"/>
              </w:rPr>
              <w:t>各专业设计、</w:t>
            </w:r>
            <w:r>
              <w:rPr>
                <w:rFonts w:ascii="仿宋_GB2312" w:hAnsi="仿宋_GB2312" w:cs="仿宋_GB2312" w:eastAsia="仿宋_GB2312"/>
                <w:sz w:val="24"/>
              </w:rPr>
              <w:t>施工及竣工验收阶段、质量保修</w:t>
            </w:r>
            <w:r>
              <w:rPr>
                <w:rFonts w:ascii="仿宋_GB2312" w:hAnsi="仿宋_GB2312" w:cs="仿宋_GB2312" w:eastAsia="仿宋_GB2312"/>
                <w:sz w:val="24"/>
              </w:rPr>
              <w:t>期的设计服务等工作以及协助招标人完成各项审批手续办</w:t>
            </w:r>
            <w:r>
              <w:rPr>
                <w:rFonts w:ascii="仿宋_GB2312" w:hAnsi="仿宋_GB2312" w:cs="仿宋_GB2312" w:eastAsia="仿宋_GB2312"/>
                <w:sz w:val="24"/>
              </w:rPr>
              <w:t>理等工作。具体内容包括总图、</w:t>
            </w:r>
            <w:r>
              <w:rPr>
                <w:rFonts w:ascii="仿宋_GB2312" w:hAnsi="仿宋_GB2312" w:cs="仿宋_GB2312" w:eastAsia="仿宋_GB2312"/>
                <w:sz w:val="24"/>
              </w:rPr>
              <w:t>建筑、结构、给排水、电气、暖通、消防、</w:t>
            </w:r>
            <w:r>
              <w:rPr>
                <w:rFonts w:ascii="仿宋_GB2312" w:hAnsi="仿宋_GB2312" w:cs="仿宋_GB2312" w:eastAsia="仿宋_GB2312"/>
                <w:sz w:val="24"/>
              </w:rPr>
              <w:t>防雷、景观、外管网、红线范围</w:t>
            </w:r>
            <w:r>
              <w:rPr>
                <w:rFonts w:ascii="仿宋_GB2312" w:hAnsi="仿宋_GB2312" w:cs="仿宋_GB2312" w:eastAsia="仿宋_GB2312"/>
                <w:sz w:val="21"/>
              </w:rPr>
              <w:t xml:space="preserve"> </w:t>
            </w:r>
            <w:r>
              <w:rPr>
                <w:rFonts w:ascii="仿宋_GB2312" w:hAnsi="仿宋_GB2312" w:cs="仿宋_GB2312" w:eastAsia="仿宋_GB2312"/>
                <w:sz w:val="24"/>
              </w:rPr>
              <w:t>内的道路边坡挡墙等本项目所有内容的设计。</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spacing w:before="105" w:after="30"/>
              <w:jc w:val="left"/>
              <w:outlineLvl w:val="2"/>
            </w:pPr>
            <w:r>
              <w:rPr>
                <w:rFonts w:ascii="仿宋_GB2312" w:hAnsi="仿宋_GB2312" w:cs="仿宋_GB2312" w:eastAsia="仿宋_GB2312"/>
                <w:sz w:val="24"/>
                <w:b/>
                <w:shd w:fill="FFFFFF" w:val="clear"/>
              </w:rPr>
              <w:t>四、设计成果</w:t>
            </w:r>
          </w:p>
          <w:p>
            <w:pPr>
              <w:pStyle w:val="null5"/>
              <w:ind w:firstLine="476"/>
              <w:jc w:val="both"/>
            </w:pPr>
            <w:r>
              <w:rPr>
                <w:rFonts w:ascii="仿宋_GB2312" w:hAnsi="仿宋_GB2312" w:cs="仿宋_GB2312" w:eastAsia="仿宋_GB2312"/>
                <w:sz w:val="24"/>
              </w:rPr>
              <w:t>方案设计说明书：包括项目概述、设计依据、设计理念、场地规划、设施配置、材料选用等内容，详细阐述设计思路和技术方案。</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总平面图：比例为</w:t>
            </w:r>
            <w:r>
              <w:rPr>
                <w:rFonts w:ascii="仿宋_GB2312" w:hAnsi="仿宋_GB2312" w:cs="仿宋_GB2312" w:eastAsia="仿宋_GB2312"/>
                <w:sz w:val="24"/>
              </w:rPr>
              <w:t xml:space="preserve"> 1:500 或 1:1000，标注场地的位置、尺寸、功能分区、出入口、周边道路及建筑物等。</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场地平面图：比例为</w:t>
            </w:r>
            <w:r>
              <w:rPr>
                <w:rFonts w:ascii="仿宋_GB2312" w:hAnsi="仿宋_GB2312" w:cs="仿宋_GB2312" w:eastAsia="仿宋_GB2312"/>
                <w:sz w:val="24"/>
              </w:rPr>
              <w:t xml:space="preserve"> 1:200 或 1:300，详细标注比赛场区、无障碍区、各功能区域的尺寸和位置，以及球网、网柱、围网、照明设施等的布置。</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剖面图和立面图：展示场地的竖向设计、看台或座椅的高度和形式、围网的高度和结构、照明灯具的安装位置等。</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效果图：提供场地的整体鸟瞰图、主要入口效果图、观众区效果图、比赛场区效果图等，直观展示场地建成后的效果。</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设施设备清单：列出场地建设所需的球网、网柱、围网、照明灯具、座椅、计分牌等设施设备的规格、数量和品牌建议。</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24"/>
                <w:b/>
                <w:shd w:fill="FFFFFF" w:val="clear"/>
              </w:rPr>
              <w:t>五、设计进度</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第一阶段：完成项目的现场勘查和资料收集，与甲方进行充分沟通，明确设计要求和功能需求，制定初步设计方案</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第二阶段：根据甲方的反馈意见，对初步设计方案进行修改和完善，完成方案设计说明书、总平面图、场地平面图、剖面图、立面图、效果图等设计成果，提交甲方审核</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第三阶段：根据甲方的审核意见，对设计方案进行进一步优化和调整，提交最终设计成果</w:t>
            </w:r>
            <w:r>
              <w:rPr>
                <w:rFonts w:ascii="仿宋_GB2312" w:hAnsi="仿宋_GB2312" w:cs="仿宋_GB2312" w:eastAsia="仿宋_GB2312"/>
                <w:sz w:val="24"/>
              </w:rPr>
              <w:t>。</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both"/>
            </w:pPr>
            <w:r>
              <w:rPr>
                <w:rFonts w:ascii="仿宋_GB2312" w:hAnsi="仿宋_GB2312" w:cs="仿宋_GB2312" w:eastAsia="仿宋_GB2312"/>
                <w:sz w:val="24"/>
                <w:b/>
                <w:shd w:fill="FFFFFF" w:val="clear"/>
              </w:rPr>
              <w:t>六、其他要求</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安全性：设计应充分考虑运动员、观众和工作人员的安全，确保场地设施和设备的稳定性、可靠性，避免出现安全隐患。</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实用性：注重场地的实用性和功能性，满足排球比赛和日常训练的需求，同时考虑到草原村</w:t>
            </w:r>
            <w:r>
              <w:rPr>
                <w:rFonts w:ascii="仿宋_GB2312" w:hAnsi="仿宋_GB2312" w:cs="仿宋_GB2312" w:eastAsia="仿宋_GB2312"/>
                <w:sz w:val="24"/>
              </w:rPr>
              <w:t>排</w:t>
            </w:r>
            <w:r>
              <w:rPr>
                <w:rFonts w:ascii="仿宋_GB2312" w:hAnsi="仿宋_GB2312" w:cs="仿宋_GB2312" w:eastAsia="仿宋_GB2312"/>
                <w:sz w:val="24"/>
              </w:rPr>
              <w:t>的实际情况和经济条件，合理控制建设成本。</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美观性：结合草原村</w:t>
            </w:r>
            <w:r>
              <w:rPr>
                <w:rFonts w:ascii="仿宋_GB2312" w:hAnsi="仿宋_GB2312" w:cs="仿宋_GB2312" w:eastAsia="仿宋_GB2312"/>
                <w:sz w:val="24"/>
              </w:rPr>
              <w:t>排</w:t>
            </w:r>
            <w:r>
              <w:rPr>
                <w:rFonts w:ascii="仿宋_GB2312" w:hAnsi="仿宋_GB2312" w:cs="仿宋_GB2312" w:eastAsia="仿宋_GB2312"/>
                <w:sz w:val="24"/>
              </w:rPr>
              <w:t>的地域特色和文化氛围，进行整体的景观设计和环境营造，使排球场地成为草原上的一道亮丽风景线。</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环保性：在材料选择和施工过程中，应遵循环保原则，尽量选用环保材料，减少对环境的污染和破坏。</w:t>
            </w:r>
          </w:p>
          <w:p>
            <w:pPr>
              <w:pStyle w:val="null5"/>
              <w:jc w:val="both"/>
            </w:pPr>
            <w:r>
              <w:rPr>
                <w:rFonts w:ascii="仿宋_GB2312" w:hAnsi="仿宋_GB2312" w:cs="仿宋_GB2312" w:eastAsia="仿宋_GB2312"/>
                <w:sz w:val="24"/>
              </w:rPr>
              <w:t>5、</w:t>
            </w:r>
            <w:r>
              <w:rPr>
                <w:rFonts w:ascii="仿宋_GB2312" w:hAnsi="仿宋_GB2312" w:cs="仿宋_GB2312" w:eastAsia="仿宋_GB2312"/>
                <w:sz w:val="24"/>
              </w:rPr>
              <w:t>可持续性：考虑场地的长期使用和维护，采用耐用、易维护的材料和设施，确保场地的可持续发展。</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审查供应商提供的具有良好的商业信誉和健全的财务会计制度的相关材料。（提供相关承诺函或声明函或相关证明材料，格式自拟）</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审查供应商提供的依法缴纳税收和社会保障资金的相关材料。（提供相关承诺函或声明函或相关证明材料，格式自拟）</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审查供应商提供的具有履行合同所必需的设备和专业技术能力的证明材料。（提供相关承诺函或声明函或相关证明材料，格式自拟）</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供应商资质要求</w:t>
            </w:r>
          </w:p>
        </w:tc>
        <w:tc>
          <w:tcPr>
            <w:tcW w:type="dxa" w:w="4984"/>
          </w:tcPr>
          <w:p>
            <w:pPr>
              <w:pStyle w:val="null5"/>
              <w:jc w:val="left"/>
            </w:pPr>
            <w:r>
              <w:rPr>
                <w:rFonts w:ascii="仿宋_GB2312" w:hAnsi="仿宋_GB2312" w:cs="仿宋_GB2312" w:eastAsia="仿宋_GB2312"/>
              </w:rPr>
              <w:t>供应商须具备建设行政主管部门颁发的【工程设计综合甲级资质】或【工程设计建筑行业乙级资质】或【建筑行业（建筑工程）专业乙级资质】，并在人员、设备、资金等方面具有相应的能力。（投标文件须附资质证书原件扫描件）。</w:t>
            </w:r>
          </w:p>
        </w:tc>
      </w:tr>
      <w:tr>
        <w:tc>
          <w:tcPr>
            <w:tcW w:type="dxa" w:w="3322"/>
          </w:tcPr>
          <w:p>
            <w:pPr>
              <w:pStyle w:val="null5"/>
              <w:jc w:val="left"/>
            </w:pPr>
            <w:r>
              <w:rPr>
                <w:rFonts w:ascii="仿宋_GB2312" w:hAnsi="仿宋_GB2312" w:cs="仿宋_GB2312" w:eastAsia="仿宋_GB2312"/>
              </w:rPr>
              <w:t>项目负责人要求</w:t>
            </w:r>
          </w:p>
        </w:tc>
        <w:tc>
          <w:tcPr>
            <w:tcW w:type="dxa" w:w="4984"/>
          </w:tcPr>
          <w:p>
            <w:pPr>
              <w:pStyle w:val="null5"/>
              <w:jc w:val="left"/>
            </w:pPr>
            <w:r>
              <w:rPr>
                <w:rFonts w:ascii="仿宋_GB2312" w:hAnsi="仿宋_GB2312" w:cs="仿宋_GB2312" w:eastAsia="仿宋_GB2312"/>
              </w:rPr>
              <w:t>拟派项目负责人须具备二级注册建筑师资格且具备建筑工程相关专业中级（含）以上技术职称，且必须在本单位注册。（以注册建筑师证、技术职称证为准，投标文件中须附证书原件扫描件）。</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总体设计方案</w:t>
            </w:r>
          </w:p>
        </w:tc>
        <w:tc>
          <w:tcPr>
            <w:tcW w:type="dxa" w:w="3115"/>
          </w:tcPr>
          <w:p>
            <w:pPr>
              <w:pStyle w:val="null5"/>
              <w:jc w:val="left"/>
            </w:pPr>
            <w:r>
              <w:rPr>
                <w:rFonts w:ascii="仿宋_GB2312" w:hAnsi="仿宋_GB2312" w:cs="仿宋_GB2312" w:eastAsia="仿宋_GB2312"/>
              </w:rPr>
              <w:t>一．根据供应商提供的总体设计方案，包含整体规划及配套功能性设施等。例如鸟瞰图、总平面图、竖向分析图、座位布置图等必要图纸。要求总体设计分区合理、安全、 经济、适用，方案符合项目特点及相应需求。对以上内容进行综合评审。（1）内容非常完善、功能布局清晰， 科学合理得10分；（2）内容较为完善、功能布局清晰，科学合理得7分；（3）内容基 本满足采购需求、功能布局较为清晰，科学合理性一般得3分；（4）差或未提供不得分 。</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整体规划及环境营造方案</w:t>
            </w:r>
          </w:p>
        </w:tc>
        <w:tc>
          <w:tcPr>
            <w:tcW w:type="dxa" w:w="3115"/>
          </w:tcPr>
          <w:p>
            <w:pPr>
              <w:pStyle w:val="null5"/>
              <w:jc w:val="left"/>
            </w:pPr>
            <w:r>
              <w:rPr>
                <w:rFonts w:ascii="仿宋_GB2312" w:hAnsi="仿宋_GB2312" w:cs="仿宋_GB2312" w:eastAsia="仿宋_GB2312"/>
              </w:rPr>
              <w:t>根据供应商提供的整体规划和环境营造方案，包含场地整体布局、构筑物造型效果 、消防疏散分析、交通流线分析、景观设计、硬化等内容综合评审。（1）内容的科学性、合理性与完整性强，得10分；（2）内容的科学性、合理性与完整性较强得7分；（3）内容的科学性、合理性与完整性一般，得3分；（4）差或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环保节能设计方案</w:t>
            </w:r>
          </w:p>
        </w:tc>
        <w:tc>
          <w:tcPr>
            <w:tcW w:type="dxa" w:w="3115"/>
          </w:tcPr>
          <w:p>
            <w:pPr>
              <w:pStyle w:val="null5"/>
              <w:jc w:val="left"/>
            </w:pPr>
            <w:r>
              <w:rPr>
                <w:rFonts w:ascii="仿宋_GB2312" w:hAnsi="仿宋_GB2312" w:cs="仿宋_GB2312" w:eastAsia="仿宋_GB2312"/>
              </w:rPr>
              <w:t>根据供应商提供的节能环保设计方案，融入低碳、生态、智慧、绿色等设计理念以及应用成熟的新技术、新材料、新设备和新工艺满足各项环保、节能指标等进行综合评审。（1）内容的科学性、合理性与完整性强，得10分； （2）内容的科学性、合理性与完整性较强，得7分； （3）内容的科学性、合理性与完整性一般，得3分； （4）差或未提供不得分。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造价控制措施及建议</w:t>
            </w:r>
          </w:p>
        </w:tc>
        <w:tc>
          <w:tcPr>
            <w:tcW w:type="dxa" w:w="3115"/>
          </w:tcPr>
          <w:p>
            <w:pPr>
              <w:pStyle w:val="null5"/>
              <w:jc w:val="left"/>
            </w:pPr>
            <w:r>
              <w:rPr>
                <w:rFonts w:ascii="仿宋_GB2312" w:hAnsi="仿宋_GB2312" w:cs="仿宋_GB2312" w:eastAsia="仿宋_GB2312"/>
              </w:rPr>
              <w:t>根据供应商提供的造价控制措施及建议进行评审。（1）造价控制措施及建议安排，实用性，措施及针对性强得10分；（2）造价控制措施及建议安排，实用性，措施及针对性较强得7分；（3）设计中对造价控制措施及建议安排，实用性，措施及针对性一般得3分。（4）差或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w:t>
            </w:r>
          </w:p>
        </w:tc>
        <w:tc>
          <w:tcPr>
            <w:tcW w:type="dxa" w:w="3115"/>
          </w:tcPr>
          <w:p>
            <w:pPr>
              <w:pStyle w:val="null5"/>
              <w:jc w:val="left"/>
            </w:pPr>
            <w:r>
              <w:rPr>
                <w:rFonts w:ascii="仿宋_GB2312" w:hAnsi="仿宋_GB2312" w:cs="仿宋_GB2312" w:eastAsia="仿宋_GB2312"/>
              </w:rPr>
              <w:t>根据供应商提供的设计进度保证措施进行评审。 （1）设计进度保证措施安排，实用性、措施及针对性强得10分； （2）设计进度保证措施安排，实用性、措施及针对性较强得7分； （3）设计进度保证措施安排，实用性 、措施及针对性一般得3分。 （4）差或未提供不得分。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技术支持服务配合工作</w:t>
            </w:r>
          </w:p>
        </w:tc>
        <w:tc>
          <w:tcPr>
            <w:tcW w:type="dxa" w:w="3115"/>
          </w:tcPr>
          <w:p>
            <w:pPr>
              <w:pStyle w:val="null5"/>
              <w:jc w:val="left"/>
            </w:pPr>
            <w:r>
              <w:rPr>
                <w:rFonts w:ascii="仿宋_GB2312" w:hAnsi="仿宋_GB2312" w:cs="仿宋_GB2312" w:eastAsia="仿宋_GB2312"/>
              </w:rPr>
              <w:t>根据本项目不同实施阶段，供应商能够提供强有力的技术支持以及服务保障； （1）内容非常完善、合理性强得10分； （2）内容较为完善、合理较强得7分； （3）内容合理性一般得3分； （4）差或未提供不得分。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设计质量保证措施</w:t>
            </w:r>
          </w:p>
        </w:tc>
        <w:tc>
          <w:tcPr>
            <w:tcW w:type="dxa" w:w="3115"/>
          </w:tcPr>
          <w:p>
            <w:pPr>
              <w:pStyle w:val="null5"/>
              <w:jc w:val="left"/>
            </w:pPr>
            <w:r>
              <w:rPr>
                <w:rFonts w:ascii="仿宋_GB2312" w:hAnsi="仿宋_GB2312" w:cs="仿宋_GB2312" w:eastAsia="仿宋_GB2312"/>
              </w:rPr>
              <w:t>根据供应商提供设计质量保证措施进行评审。 （1）设计质量保证措施科学、合理、全面性强得10分； （2）设计质量保证措施科学、合理、全面性一般得7分； （3）设计质量保证措施科学、合理、全面性一般得3分； （4）差或未提供不得分。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供应商业绩</w:t>
            </w:r>
          </w:p>
        </w:tc>
        <w:tc>
          <w:tcPr>
            <w:tcW w:type="dxa" w:w="3115"/>
          </w:tcPr>
          <w:p>
            <w:pPr>
              <w:pStyle w:val="null5"/>
              <w:jc w:val="left"/>
            </w:pPr>
            <w:r>
              <w:rPr>
                <w:rFonts w:ascii="仿宋_GB2312" w:hAnsi="仿宋_GB2312" w:cs="仿宋_GB2312" w:eastAsia="仿宋_GB2312"/>
              </w:rPr>
              <w:t>近年（2022年1月1日至今，以合同签订时间为准），供应商承揽过设计类业绩的，每提供一项加3分，最多加12分。（须提供合同原件扫描件）</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其他人员配置</w:t>
            </w:r>
          </w:p>
        </w:tc>
        <w:tc>
          <w:tcPr>
            <w:tcW w:type="dxa" w:w="3115"/>
          </w:tcPr>
          <w:p>
            <w:pPr>
              <w:pStyle w:val="null5"/>
              <w:jc w:val="left"/>
            </w:pPr>
            <w:r>
              <w:rPr>
                <w:rFonts w:ascii="仿宋_GB2312" w:hAnsi="仿宋_GB2312" w:cs="仿宋_GB2312" w:eastAsia="仿宋_GB2312"/>
              </w:rPr>
              <w:t>除资格性审查中特定资格所要求的拟派项目管理机构人员外，另外每配备1名建筑或结构或电气等相关专业一级注册建筑师的，得2分，最高得4分。（投标文件须提供注册证扫描件）；除项目负责人以外，拟派该注册建筑师中，每有1人具备工程类相关专业中级职称的得2分，最高得4分。（投标文件须提供职称证扫描件）</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