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鄂托克前旗政务大厅内装饰维修改造工程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鄂托克前旗机关事务服务中心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中纳恒业项目管理有限公司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ESZCQQS-C-G-250011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中纳恒业项目管理有限公司</w:t>
      </w:r>
      <w:r>
        <w:rPr>
          <w:rFonts w:ascii="仿宋_GB2312" w:hAnsi="仿宋_GB2312" w:cs="仿宋_GB2312" w:eastAsia="仿宋_GB2312"/>
        </w:rPr>
        <w:t xml:space="preserve"> 受 </w:t>
      </w:r>
      <w:r>
        <w:rPr>
          <w:rFonts w:ascii="仿宋_GB2312" w:hAnsi="仿宋_GB2312" w:cs="仿宋_GB2312" w:eastAsia="仿宋_GB2312"/>
        </w:rPr>
        <w:t>鄂托克前旗机关事务服务中心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鄂托克前旗政务大厅内装饰维修改造工程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鄂托克前旗政务大厅内装饰维修改造工程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ESZCQQS-C-G-250011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431[2025]00110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2,588,917.00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鄂托克前旗政务大厅内装饰维修改造工程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2,588,917.00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1、资格要求：供应商须具备建设行政主管部门颁发的【建筑工程施工总承包叁级】（含) 以上资质（响应文件须附资质证书原件扫描件）</w:t>
      </w:r>
    </w:p>
    <w:p>
      <w:pPr>
        <w:pStyle w:val="null5"/>
        <w:jc w:val="left"/>
      </w:pPr>
      <w:r>
        <w:rPr>
          <w:rFonts w:ascii="仿宋_GB2312" w:hAnsi="仿宋_GB2312" w:cs="仿宋_GB2312" w:eastAsia="仿宋_GB2312"/>
        </w:rPr>
        <w:t>2、项目负责人要求：项目负责人须具备[建筑工程二级]（含）以上建造师，须在投标单位注册，同时具备有效的B类安全生产考核合格证书（以建造师注册证、执业资格证、B类安全生产考核合格证为准，响应文件中须附原件扫描件）且未担任其他在建工程的项目经理（提供承诺书，格式自拟）</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中纳恒业项目管理有限公司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四川省成都市锦江区四川省成都市锦江区汇源北路324号附20号2楼(自编号1868)</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杨秀丽</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13947373664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鄂托克前旗机关事务服务中心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鄂尔多斯市鄂托克前旗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乌宁</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13847766753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代理服务费收费标准：中标价*1.2%计取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鄂托克前旗机关事务服务中心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中纳恒业项目管理有限公司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按照国家的规程、规范和技术条例，根据装饰维修改造任务书的内容，对政务大厅内装饰维修改造。</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合同签订后45日历天内交付</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鄂托克前旗敖勒召其镇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1、根据工程进度支付工程款，达到付款条件起7日，支付合同总金额的100.00%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标的名称：鄂托克前旗政务大厅内装饰维修改造工程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详见工程量清单，投标文件须附已标价工程量清单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审查供应商提供的具有良好的商业信誉和健全的财务会计制度的相关材料。“提供相关承诺函或声明函，格式自拟”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审查供应商提供的依法缴纳税收和社会保障资金的相关材料。“提供相关承诺函或声明函，格式自拟”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审查供应商提供的具有履行合同所必需的设备和专业技术能力的证明材料。“提供相关承诺函或声明函，格式自拟”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供应商须具备建设行政主管部门颁发的【建筑工程施工总承包叁级】（含) 以上资质（响应文件须附资质证书原件扫描件）</w:t>
            </w:r>
          </w:p>
        </w:tc>
      </w:tr>
      <w:tr>
        <w:tc>
          <w:tcPr>
            <w:tcW w:type="dxa" w:w="3322"/>
          </w:tcPr>
          <w:p>
            <w:pPr>
              <w:pStyle w:val="null5"/>
              <w:jc w:val="left"/>
            </w:pPr>
            <w:r>
              <w:rPr>
                <w:rFonts w:ascii="仿宋_GB2312" w:hAnsi="仿宋_GB2312" w:cs="仿宋_GB2312" w:eastAsia="仿宋_GB2312"/>
              </w:rPr>
              <w:t>项目负责人要求</w:t>
            </w:r>
          </w:p>
        </w:tc>
        <w:tc>
          <w:tcPr>
            <w:tcW w:type="dxa" w:w="4984"/>
          </w:tcPr>
          <w:p>
            <w:pPr>
              <w:pStyle w:val="null5"/>
              <w:jc w:val="left"/>
            </w:pPr>
            <w:r>
              <w:rPr>
                <w:rFonts w:ascii="仿宋_GB2312" w:hAnsi="仿宋_GB2312" w:cs="仿宋_GB2312" w:eastAsia="仿宋_GB2312"/>
              </w:rPr>
              <w:t>项目负责人须具备[建筑工程二级]（含）以上建造师，须在投标单位注册，同时具备有效的B类安全生产考核合格证书（以建造师注册证、执业资格证、B类安全生产考核合格证为准，响应文件中须附原件扫描件）且未担任其他在建工程的项目经理（提供承诺书，格式自拟）</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施工技术方案</w:t>
            </w:r>
          </w:p>
        </w:tc>
        <w:tc>
          <w:tcPr>
            <w:tcW w:type="dxa" w:w="3115"/>
          </w:tcPr>
          <w:p>
            <w:pPr>
              <w:pStyle w:val="null5"/>
              <w:jc w:val="left"/>
            </w:pPr>
            <w:r>
              <w:rPr>
                <w:rFonts w:ascii="仿宋_GB2312" w:hAnsi="仿宋_GB2312" w:cs="仿宋_GB2312" w:eastAsia="仿宋_GB2312"/>
              </w:rPr>
              <w:t>施工技术方案合理且能指导施工，内容具体且有针对性，施工部署全面的,得10分；施工技术方案较为合理且能指导施工，施工措施、施工部署较为全面的，得7.5分；施工技术方案基本合理，对施工指导性基本可行，施工措施、施工部署基本合理的，得5分；施工技术方案不够合理，施工指导性不够，施工措施、施工部署不合理的，得2.5分;无施工技术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主要施工工序</w:t>
            </w:r>
          </w:p>
        </w:tc>
        <w:tc>
          <w:tcPr>
            <w:tcW w:type="dxa" w:w="3115"/>
          </w:tcPr>
          <w:p>
            <w:pPr>
              <w:pStyle w:val="null5"/>
              <w:jc w:val="left"/>
            </w:pPr>
            <w:r>
              <w:rPr>
                <w:rFonts w:ascii="仿宋_GB2312" w:hAnsi="仿宋_GB2312" w:cs="仿宋_GB2312" w:eastAsia="仿宋_GB2312"/>
              </w:rPr>
              <w:t>主要施工工序阐述明晰、全面、合理，主要施工方法得当，且对本项目关键技术、工艺有明确深入的表述，可行的，得10分； 主要施工工序阐述较为明晰、全面、合理，主要施工方法较为得当，且对本项目关键技术、工艺有较为明确的表述，较为可行的，得7.5分；主要施工工序 阐述一般明晰、全面、合理，对本项目关键技术、工艺了解一般，一般可行的，得5分； 施工工序阐述混乱、不够合理，主要施工方法与项目不贴切，无针对本项目关键技术的表述或不够合理，得2.5分;无主要施工工序得0分。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根据安全文明目标资源配备计划满足磋商文件要求，安全管理体系健全、安全防护方案符合国家及地方管理规定，防护措施有针对性等进行评审。安全管理体系计划具体、完整、可行，保证措施合理、先进、针对性强的, 得10分； 安全管理体系计划较为具体、完整、可行，保证措施较为合理、针对性较为合理的，得7.5分；安全管理体系计划一般，保证措施针对性一般的，得5分；安全管理体系计划不合理，保证措施无针对性的得2.5分；无安全管理体系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质量保证措施严格按照施工技术规范、标准编制且针对性合理的，得10分；质量保证措施按照施工技术规范、标准编制且针对性较为合理的，得7.5分；质量保证措施基本按照施工技术规范、标准编制且针对性基本合理的，得5分；质量保证措施没有按照施工技术规范、标准编制且针对性不合理的，得2.5分；无质量保证措施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施工进度计划严格按采购要求安排，工序搭配逻辑关系和关键线路清晰、合理，并能指导施工且针对性合理的，得10分；施工进度计采购文件要求安排，工序搭配逻辑关系和关键线路较为清晰、合理，并能指导施工且针对性较为合理的，得7.5分；施工进度计划按采购要求安排，工序搭配逻辑关系和关键线路基本合理，针对性基本合理的，得5分；施工进度计划未按采购要求安排，工序搭配逻辑关系和关键线路不合理，针对性不够合理的，得2.5分；无施工进度计划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根据环境保护管理体系健全、污染物处理及排放符合国家及地方环境保护标准、技术及管理措施到位情况，综合评定。 环境保护管理体系计划内容 完善、合理，完全满足本项目需求得10分；环境保护管理体系计划内容比较完善、比较合理，较满足本项目需求得7.5分；环境保护管理体系计划内容基本完善、基本合理，基本满足本项目需求得5分；环境保护管理体系计划内容缺失或者不够合理得2.5分；无环境保护管理体系与措施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承诺投入的劳动力与施工设备数量、种类完整、合理、可靠、可行性高、针对性强得10分；承诺投入的劳动力与施工设备数量、种类较完整，合理、可靠、可行性较高、针对性较强得7.5分；承诺投入的劳动力与施工设备数量、种类一般、针对性一般得5分；承诺投入的劳动力与施工设备数量、种类较差、无针对性得2.5分；无资源配备计划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近三年（2022年1月1日至开标当日）每承揽过一项工程类施工业绩（不限规模、不限合同价）得4分，最多得16分（须附合同原件扫描件）</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拟派项目负责人具备工程类相关专业中级（含）以上职称得4分；（投标文件须附证书原件扫描件）</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