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CAC0A4">
      <w:pPr>
        <w:keepNext w:val="0"/>
        <w:keepLines w:val="0"/>
        <w:widowControl/>
        <w:suppressLineNumbers w:val="0"/>
        <w:jc w:val="center"/>
        <w:rPr>
          <w:rFonts w:hint="eastAsia" w:asciiTheme="majorEastAsia" w:hAnsiTheme="majorEastAsia" w:eastAsiaTheme="majorEastAsia"/>
          <w:b/>
          <w:bCs/>
          <w:sz w:val="40"/>
          <w:szCs w:val="40"/>
          <w:lang w:val="en-US" w:eastAsia="zh-CN"/>
        </w:rPr>
      </w:pPr>
      <w:r>
        <w:rPr>
          <w:rFonts w:hint="eastAsia" w:asciiTheme="majorEastAsia" w:hAnsiTheme="majorEastAsia" w:eastAsiaTheme="majorEastAsia"/>
          <w:b/>
          <w:bCs/>
          <w:sz w:val="40"/>
          <w:szCs w:val="40"/>
          <w:lang w:val="en-US" w:eastAsia="zh-CN"/>
        </w:rPr>
        <w:t>招标工程量清单编制说明</w:t>
      </w:r>
    </w:p>
    <w:p w14:paraId="077AA98E">
      <w:pPr>
        <w:keepNext w:val="0"/>
        <w:keepLines w:val="0"/>
        <w:widowControl/>
        <w:suppressLineNumbers w:val="0"/>
        <w:jc w:val="center"/>
        <w:rPr>
          <w:rFonts w:hint="eastAsia" w:asciiTheme="majorEastAsia" w:hAnsiTheme="majorEastAsia" w:eastAsiaTheme="majorEastAsia"/>
          <w:b/>
          <w:bCs/>
          <w:sz w:val="40"/>
          <w:szCs w:val="40"/>
          <w:lang w:val="en-US" w:eastAsia="zh-CN"/>
        </w:rPr>
      </w:pPr>
    </w:p>
    <w:p w14:paraId="339B8225">
      <w:pPr>
        <w:pStyle w:val="4"/>
        <w:keepNext w:val="0"/>
        <w:keepLines w:val="0"/>
        <w:widowControl/>
        <w:numPr>
          <w:ilvl w:val="0"/>
          <w:numId w:val="1"/>
        </w:numPr>
        <w:suppressLineNumbers w:val="0"/>
        <w:spacing w:before="0" w:beforeAutospacing="0" w:after="0" w:afterAutospacing="0"/>
        <w:ind w:left="0" w:right="0" w:firstLine="0"/>
        <w:rPr>
          <w:rFonts w:hint="eastAsia" w:ascii="宋体" w:hAnsi="宋体" w:eastAsia="宋体" w:cs="宋体"/>
          <w:kern w:val="2"/>
          <w:sz w:val="28"/>
          <w:szCs w:val="28"/>
          <w:lang w:val="en-US" w:eastAsia="zh-CN" w:bidi="ar-SA"/>
        </w:rPr>
      </w:pPr>
      <w:r>
        <w:rPr>
          <w:rFonts w:hint="eastAsia" w:ascii="宋体" w:hAnsi="宋体" w:cs="宋体"/>
          <w:b/>
          <w:sz w:val="28"/>
          <w:szCs w:val="28"/>
        </w:rPr>
        <w:t>工程</w:t>
      </w:r>
      <w:r>
        <w:rPr>
          <w:rFonts w:hint="eastAsia" w:ascii="宋体" w:hAnsi="宋体" w:cs="宋体"/>
          <w:b/>
          <w:sz w:val="28"/>
          <w:szCs w:val="28"/>
          <w:lang w:val="en-US" w:eastAsia="zh-CN"/>
        </w:rPr>
        <w:t>名称</w:t>
      </w:r>
      <w:r>
        <w:rPr>
          <w:rFonts w:hint="eastAsia" w:ascii="宋体" w:hAnsi="宋体" w:cs="宋体"/>
          <w:b/>
          <w:sz w:val="28"/>
          <w:szCs w:val="28"/>
        </w:rPr>
        <w:t>：</w:t>
      </w:r>
      <w:r>
        <w:rPr>
          <w:rFonts w:hint="eastAsia" w:ascii="宋体" w:hAnsi="宋体" w:cs="宋体"/>
          <w:kern w:val="2"/>
          <w:sz w:val="28"/>
          <w:szCs w:val="28"/>
          <w:lang w:val="en-US" w:eastAsia="zh-CN" w:bidi="ar-SA"/>
        </w:rPr>
        <w:t>鄂托克前旗敖勒召其镇雅什木都搬迁安置区雨水排水改造项目</w:t>
      </w:r>
    </w:p>
    <w:p w14:paraId="6BED45DA">
      <w:pPr>
        <w:pStyle w:val="4"/>
        <w:keepNext w:val="0"/>
        <w:keepLines w:val="0"/>
        <w:widowControl/>
        <w:numPr>
          <w:ilvl w:val="0"/>
          <w:numId w:val="1"/>
        </w:numPr>
        <w:suppressLineNumbers w:val="0"/>
        <w:spacing w:before="0" w:beforeAutospacing="0" w:after="0" w:afterAutospacing="0"/>
        <w:ind w:left="0" w:right="0" w:firstLine="0"/>
        <w:rPr>
          <w:rFonts w:hint="default" w:ascii="宋体" w:hAnsi="宋体" w:cs="宋体"/>
          <w:sz w:val="28"/>
          <w:szCs w:val="28"/>
          <w:lang w:val="en-US" w:eastAsia="zh-CN"/>
        </w:rPr>
      </w:pPr>
      <w:r>
        <w:rPr>
          <w:rFonts w:hint="eastAsia" w:ascii="宋体" w:hAnsi="宋体" w:cs="宋体"/>
          <w:b/>
          <w:sz w:val="28"/>
          <w:szCs w:val="28"/>
        </w:rPr>
        <w:t>招标范围：</w:t>
      </w:r>
      <w:r>
        <w:rPr>
          <w:rFonts w:hint="eastAsia" w:ascii="宋体" w:hAnsi="宋体" w:cs="宋体"/>
          <w:kern w:val="2"/>
          <w:sz w:val="28"/>
          <w:szCs w:val="28"/>
          <w:lang w:val="en-US" w:eastAsia="zh-CN" w:bidi="ar-SA"/>
        </w:rPr>
        <w:t>鄂托克前旗敖勒召其镇雅什木都搬迁安置区雨水排水改造项目</w:t>
      </w:r>
      <w:r>
        <w:rPr>
          <w:rFonts w:hint="eastAsia" w:ascii="宋体" w:hAnsi="宋体" w:cs="宋体"/>
          <w:sz w:val="28"/>
          <w:szCs w:val="28"/>
          <w:lang w:val="en-US" w:eastAsia="zh-CN"/>
        </w:rPr>
        <w:t>；</w:t>
      </w:r>
    </w:p>
    <w:p w14:paraId="3812F06F">
      <w:pPr>
        <w:rPr>
          <w:rFonts w:hint="default" w:ascii="宋体" w:hAnsi="宋体" w:eastAsia="宋体" w:cs="宋体"/>
          <w:sz w:val="28"/>
          <w:szCs w:val="28"/>
          <w:lang w:val="en-US" w:eastAsia="zh-CN"/>
        </w:rPr>
      </w:pPr>
      <w:r>
        <w:rPr>
          <w:rFonts w:hint="eastAsia" w:ascii="宋体" w:hAnsi="宋体" w:cs="宋体"/>
          <w:b/>
          <w:sz w:val="28"/>
          <w:szCs w:val="28"/>
        </w:rPr>
        <w:t>三、建设地点：</w:t>
      </w:r>
      <w:r>
        <w:rPr>
          <w:rFonts w:hint="eastAsia" w:ascii="宋体" w:hAnsi="宋体" w:cs="宋体"/>
          <w:sz w:val="28"/>
          <w:szCs w:val="28"/>
        </w:rPr>
        <w:t>鄂托克前旗</w:t>
      </w:r>
    </w:p>
    <w:p w14:paraId="29DC191D">
      <w:pPr>
        <w:rPr>
          <w:rFonts w:hint="default" w:ascii="宋体" w:hAnsi="宋体" w:cs="宋体"/>
          <w:sz w:val="28"/>
          <w:szCs w:val="28"/>
          <w:lang w:val="en-US" w:eastAsia="zh-CN"/>
        </w:rPr>
      </w:pPr>
      <w:r>
        <w:rPr>
          <w:rFonts w:hint="eastAsia" w:ascii="宋体" w:hAnsi="宋体" w:cs="宋体"/>
          <w:b/>
          <w:sz w:val="28"/>
          <w:szCs w:val="28"/>
        </w:rPr>
        <w:t>四、建设单位：</w:t>
      </w:r>
      <w:r>
        <w:rPr>
          <w:rFonts w:hint="eastAsia" w:ascii="宋体" w:hAnsi="宋体" w:cs="宋体"/>
          <w:sz w:val="28"/>
          <w:szCs w:val="28"/>
          <w:lang w:val="en-US" w:eastAsia="zh-CN"/>
        </w:rPr>
        <w:t>鄂托克前旗敖勒召其镇人民政府</w:t>
      </w:r>
    </w:p>
    <w:p w14:paraId="1114138D">
      <w:pPr>
        <w:rPr>
          <w:rFonts w:ascii="宋体" w:hAnsi="宋体" w:cs="宋体"/>
          <w:b/>
          <w:sz w:val="28"/>
          <w:szCs w:val="28"/>
        </w:rPr>
      </w:pPr>
      <w:r>
        <w:rPr>
          <w:rFonts w:hint="eastAsia" w:ascii="宋体" w:hAnsi="宋体" w:cs="宋体"/>
          <w:b/>
          <w:sz w:val="28"/>
          <w:szCs w:val="28"/>
        </w:rPr>
        <w:t>五、编制依据：</w:t>
      </w:r>
    </w:p>
    <w:p w14:paraId="078C8EB6">
      <w:pPr>
        <w:ind w:firstLine="560" w:firstLineChars="200"/>
        <w:rPr>
          <w:rFonts w:hint="default" w:ascii="宋体" w:hAnsi="宋体" w:eastAsia="宋体" w:cs="宋体"/>
          <w:sz w:val="28"/>
          <w:szCs w:val="28"/>
          <w:lang w:val="en-US" w:eastAsia="zh-CN"/>
        </w:rPr>
      </w:pPr>
      <w:r>
        <w:rPr>
          <w:rFonts w:hint="eastAsia" w:ascii="宋体" w:hAnsi="宋体" w:cs="宋体"/>
          <w:sz w:val="28"/>
          <w:szCs w:val="28"/>
        </w:rPr>
        <w:t>1</w:t>
      </w:r>
      <w:r>
        <w:rPr>
          <w:rFonts w:hint="eastAsia" w:ascii="宋体" w:hAnsi="宋体" w:cs="宋体"/>
          <w:sz w:val="28"/>
          <w:szCs w:val="28"/>
          <w:lang w:val="en-US" w:eastAsia="zh-CN"/>
        </w:rPr>
        <w:t>.</w:t>
      </w:r>
      <w:r>
        <w:rPr>
          <w:rFonts w:hint="eastAsia" w:ascii="宋体" w:hAnsi="宋体" w:cs="宋体"/>
          <w:sz w:val="28"/>
          <w:szCs w:val="28"/>
        </w:rPr>
        <w:t>建设单位</w:t>
      </w:r>
      <w:r>
        <w:rPr>
          <w:rFonts w:hint="eastAsia" w:ascii="宋体" w:hAnsi="宋体" w:cs="宋体"/>
          <w:sz w:val="28"/>
          <w:szCs w:val="28"/>
          <w:lang w:val="en-US" w:eastAsia="zh-CN"/>
        </w:rPr>
        <w:t>提供的设计图纸</w:t>
      </w:r>
    </w:p>
    <w:p w14:paraId="2F689C01">
      <w:pPr>
        <w:ind w:firstLine="560" w:firstLineChars="200"/>
        <w:rPr>
          <w:rFonts w:ascii="宋体" w:hAnsi="宋体" w:cs="宋体"/>
          <w:sz w:val="28"/>
          <w:szCs w:val="28"/>
        </w:rPr>
      </w:pPr>
      <w:r>
        <w:rPr>
          <w:rFonts w:hint="eastAsia" w:ascii="宋体" w:hAnsi="宋体" w:cs="宋体"/>
          <w:sz w:val="28"/>
          <w:szCs w:val="28"/>
        </w:rPr>
        <w:t>2</w:t>
      </w:r>
      <w:r>
        <w:rPr>
          <w:rFonts w:hint="eastAsia" w:ascii="宋体" w:hAnsi="宋体" w:cs="宋体"/>
          <w:sz w:val="28"/>
          <w:szCs w:val="28"/>
          <w:lang w:val="en-US" w:eastAsia="zh-CN"/>
        </w:rPr>
        <w:t>.</w:t>
      </w:r>
      <w:r>
        <w:rPr>
          <w:rFonts w:hint="eastAsia" w:ascii="宋体" w:hAnsi="宋体" w:cs="宋体"/>
          <w:sz w:val="28"/>
          <w:szCs w:val="28"/>
        </w:rPr>
        <w:t>《2013年建设工程工程量清单计价规范》GB 50500-2013、《内蒙古自治区房屋建筑与装饰工程预算定额》（DNM3-101-2017）、《内蒙古自治区通用安装工程预算定额》（DNM3-10210-2017）、《内蒙古自治区市政工程预算定额》（DNM3-10302-2017）、《内蒙古自治区建设工程费用定额》（DNM3-200-2017）、《房屋建筑与装饰工程消耗定额》（TY01-31-2015）、《通用安装工程消耗量定额》（TY02-31-2015）。</w:t>
      </w:r>
    </w:p>
    <w:p w14:paraId="31DB6B78">
      <w:pPr>
        <w:ind w:firstLine="560" w:firstLineChars="200"/>
        <w:rPr>
          <w:rFonts w:ascii="宋体" w:hAnsi="宋体" w:cs="宋体"/>
          <w:sz w:val="28"/>
          <w:szCs w:val="28"/>
        </w:rPr>
      </w:pPr>
      <w:r>
        <w:rPr>
          <w:rFonts w:hint="eastAsia" w:ascii="宋体" w:hAnsi="宋体" w:cs="宋体"/>
          <w:sz w:val="28"/>
          <w:szCs w:val="28"/>
        </w:rPr>
        <w:t>3</w:t>
      </w:r>
      <w:r>
        <w:rPr>
          <w:rFonts w:hint="eastAsia" w:ascii="宋体" w:hAnsi="宋体" w:cs="宋体"/>
          <w:sz w:val="28"/>
          <w:szCs w:val="28"/>
          <w:lang w:val="en-US" w:eastAsia="zh-CN"/>
        </w:rPr>
        <w:t>.</w:t>
      </w:r>
      <w:r>
        <w:rPr>
          <w:rFonts w:hint="eastAsia" w:ascii="宋体" w:hAnsi="宋体" w:cs="宋体"/>
          <w:sz w:val="28"/>
          <w:szCs w:val="28"/>
        </w:rPr>
        <w:t>税金执行（内建标[2019]113号）《关于调整内蒙古自治区建设工程计价依据增值税税率的通知》文件，税金为9% 。</w:t>
      </w:r>
    </w:p>
    <w:p w14:paraId="3DF450ED">
      <w:pPr>
        <w:ind w:firstLine="560" w:firstLineChars="200"/>
        <w:rPr>
          <w:rFonts w:hint="eastAsia" w:ascii="宋体" w:hAnsi="宋体" w:cs="宋体"/>
          <w:sz w:val="28"/>
          <w:szCs w:val="28"/>
        </w:rPr>
      </w:pPr>
      <w:r>
        <w:rPr>
          <w:rFonts w:hint="eastAsia" w:ascii="宋体" w:hAnsi="宋体" w:cs="宋体"/>
          <w:sz w:val="28"/>
          <w:szCs w:val="28"/>
        </w:rPr>
        <w:t>4</w:t>
      </w:r>
      <w:r>
        <w:rPr>
          <w:rFonts w:hint="eastAsia" w:ascii="宋体" w:hAnsi="宋体" w:cs="宋体"/>
          <w:sz w:val="28"/>
          <w:szCs w:val="28"/>
          <w:lang w:val="en-US" w:eastAsia="zh-CN"/>
        </w:rPr>
        <w:t>.</w:t>
      </w:r>
      <w:r>
        <w:rPr>
          <w:rFonts w:hint="eastAsia" w:ascii="宋体" w:hAnsi="宋体" w:cs="宋体"/>
          <w:sz w:val="28"/>
          <w:szCs w:val="28"/>
        </w:rPr>
        <w:t>规费执行《关于调整内蒙古自治区建设工程计价依据规费中养老保险费率的通知》（内建标函【2019】468号）,规费为19%（养老失业保险10.5%、基本医疗保险3.7%、工伤保险费0.4%、生育保险费0.3%、住房公积金3.7%、水利建设基金0.4%）。</w:t>
      </w:r>
    </w:p>
    <w:p w14:paraId="4FC14A23">
      <w:pPr>
        <w:rPr>
          <w:rFonts w:ascii="宋体" w:hAnsi="宋体" w:cs="宋体"/>
          <w:sz w:val="28"/>
          <w:szCs w:val="28"/>
        </w:rPr>
      </w:pPr>
      <w:r>
        <w:rPr>
          <w:rFonts w:hint="eastAsia" w:ascii="宋体" w:hAnsi="宋体" w:cs="宋体"/>
          <w:b/>
          <w:sz w:val="28"/>
          <w:szCs w:val="28"/>
        </w:rPr>
        <w:t>六、计价方式：</w:t>
      </w:r>
      <w:r>
        <w:rPr>
          <w:rFonts w:hint="eastAsia" w:ascii="宋体" w:hAnsi="宋体" w:cs="宋体"/>
          <w:sz w:val="28"/>
          <w:szCs w:val="28"/>
        </w:rPr>
        <w:t>本工程采用2013工程量清单计价法。</w:t>
      </w:r>
    </w:p>
    <w:p w14:paraId="20AC526E">
      <w:pPr>
        <w:rPr>
          <w:rFonts w:ascii="宋体" w:hAnsi="宋体" w:cs="宋体"/>
          <w:b/>
          <w:sz w:val="28"/>
          <w:szCs w:val="28"/>
        </w:rPr>
      </w:pPr>
      <w:r>
        <w:rPr>
          <w:rFonts w:hint="eastAsia" w:ascii="宋体" w:hAnsi="宋体" w:cs="宋体"/>
          <w:b/>
          <w:sz w:val="28"/>
          <w:szCs w:val="28"/>
          <w:lang w:eastAsia="zh-CN"/>
        </w:rPr>
        <w:t>七</w:t>
      </w:r>
      <w:r>
        <w:rPr>
          <w:rFonts w:hint="eastAsia" w:ascii="宋体" w:hAnsi="宋体" w:cs="宋体"/>
          <w:b/>
          <w:sz w:val="28"/>
          <w:szCs w:val="28"/>
        </w:rPr>
        <w:t>、价格调整及其他项目：</w:t>
      </w:r>
    </w:p>
    <w:p w14:paraId="4DD2A46D">
      <w:pPr>
        <w:ind w:firstLine="560" w:firstLineChars="200"/>
        <w:rPr>
          <w:rFonts w:ascii="宋体" w:hAnsi="宋体" w:cs="宋体"/>
          <w:sz w:val="28"/>
          <w:szCs w:val="28"/>
        </w:rPr>
      </w:pPr>
      <w:r>
        <w:rPr>
          <w:rFonts w:hint="eastAsia" w:ascii="宋体" w:hAnsi="宋体" w:cs="宋体"/>
          <w:sz w:val="28"/>
          <w:szCs w:val="28"/>
        </w:rPr>
        <w:t>1</w:t>
      </w:r>
      <w:r>
        <w:rPr>
          <w:rFonts w:hint="eastAsia" w:ascii="宋体" w:hAnsi="宋体" w:cs="宋体"/>
          <w:sz w:val="28"/>
          <w:szCs w:val="28"/>
          <w:lang w:val="en-US" w:eastAsia="zh-CN"/>
        </w:rPr>
        <w:t>.</w:t>
      </w:r>
      <w:r>
        <w:rPr>
          <w:rFonts w:hint="eastAsia" w:ascii="宋体" w:hAnsi="宋体" w:cs="宋体"/>
          <w:sz w:val="28"/>
          <w:szCs w:val="28"/>
        </w:rPr>
        <w:t>本工程材料价格执行鄂托克前旗202</w:t>
      </w:r>
      <w:r>
        <w:rPr>
          <w:rFonts w:hint="eastAsia" w:ascii="宋体" w:hAnsi="宋体" w:cs="宋体"/>
          <w:sz w:val="28"/>
          <w:szCs w:val="28"/>
          <w:lang w:val="en-US" w:eastAsia="zh-CN"/>
        </w:rPr>
        <w:t>5</w:t>
      </w:r>
      <w:r>
        <w:rPr>
          <w:rFonts w:hint="eastAsia" w:ascii="宋体" w:hAnsi="宋体" w:cs="宋体"/>
          <w:sz w:val="28"/>
          <w:szCs w:val="28"/>
        </w:rPr>
        <w:t>年</w:t>
      </w:r>
      <w:r>
        <w:rPr>
          <w:rFonts w:hint="eastAsia" w:ascii="宋体" w:hAnsi="宋体" w:cs="宋体"/>
          <w:sz w:val="28"/>
          <w:szCs w:val="28"/>
          <w:lang w:val="en-US" w:eastAsia="zh-CN"/>
        </w:rPr>
        <w:t>第一期</w:t>
      </w:r>
      <w:r>
        <w:rPr>
          <w:rFonts w:hint="eastAsia" w:ascii="宋体" w:hAnsi="宋体" w:cs="宋体"/>
          <w:sz w:val="28"/>
          <w:szCs w:val="28"/>
        </w:rPr>
        <w:t xml:space="preserve">工程造价信息，鄂托克前旗信息价未涉及部分参考东胜地区信息价，东胜地区信息价未涉及部分采取市场询价价格计入。 </w:t>
      </w:r>
    </w:p>
    <w:p w14:paraId="68F2CEDF">
      <w:pPr>
        <w:ind w:firstLine="560" w:firstLineChars="200"/>
        <w:rPr>
          <w:rFonts w:hint="eastAsia" w:ascii="宋体" w:hAnsi="宋体" w:cs="宋体"/>
          <w:sz w:val="28"/>
          <w:szCs w:val="28"/>
          <w:lang w:val="en-US" w:eastAsia="zh-CN"/>
        </w:rPr>
      </w:pPr>
      <w:r>
        <w:rPr>
          <w:rFonts w:hint="eastAsia" w:ascii="宋体" w:hAnsi="宋体" w:cs="宋体"/>
          <w:sz w:val="28"/>
          <w:szCs w:val="28"/>
        </w:rPr>
        <w:t>2</w:t>
      </w:r>
      <w:r>
        <w:rPr>
          <w:rFonts w:hint="eastAsia" w:ascii="宋体" w:hAnsi="宋体" w:cs="宋体"/>
          <w:sz w:val="28"/>
          <w:szCs w:val="28"/>
          <w:lang w:val="en-US" w:eastAsia="zh-CN"/>
        </w:rPr>
        <w:t>.</w:t>
      </w:r>
      <w:r>
        <w:rPr>
          <w:rFonts w:hint="eastAsia" w:ascii="宋体" w:hAnsi="宋体" w:cs="宋体"/>
          <w:sz w:val="28"/>
          <w:szCs w:val="28"/>
        </w:rPr>
        <w:t>本工程</w:t>
      </w:r>
      <w:r>
        <w:rPr>
          <w:rFonts w:hint="eastAsia" w:ascii="宋体" w:hAnsi="宋体" w:cs="宋体"/>
          <w:sz w:val="28"/>
          <w:szCs w:val="28"/>
          <w:lang w:val="en-US" w:eastAsia="zh-CN"/>
        </w:rPr>
        <w:t>无</w:t>
      </w:r>
      <w:r>
        <w:rPr>
          <w:rFonts w:hint="eastAsia" w:ascii="宋体" w:hAnsi="宋体" w:cs="宋体"/>
          <w:sz w:val="28"/>
          <w:szCs w:val="28"/>
        </w:rPr>
        <w:t>暂列金</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p>
    <w:p w14:paraId="09A44A0A">
      <w:pPr>
        <w:ind w:firstLine="560" w:firstLineChars="200"/>
        <w:rPr>
          <w:rFonts w:hint="eastAsia" w:ascii="宋体" w:hAnsi="宋体" w:cs="宋体"/>
          <w:sz w:val="28"/>
          <w:szCs w:val="28"/>
        </w:rPr>
      </w:pPr>
      <w:r>
        <w:rPr>
          <w:rFonts w:hint="eastAsia" w:ascii="宋体" w:hAnsi="宋体" w:cs="宋体"/>
          <w:sz w:val="28"/>
          <w:szCs w:val="28"/>
        </w:rPr>
        <w:t>3</w:t>
      </w:r>
      <w:r>
        <w:rPr>
          <w:rFonts w:hint="eastAsia" w:ascii="宋体" w:hAnsi="宋体" w:cs="宋体"/>
          <w:sz w:val="28"/>
          <w:szCs w:val="28"/>
          <w:lang w:val="en-US" w:eastAsia="zh-CN"/>
        </w:rPr>
        <w:t>.</w:t>
      </w:r>
      <w:r>
        <w:rPr>
          <w:rFonts w:hint="eastAsia" w:ascii="宋体" w:hAnsi="宋体" w:cs="宋体"/>
          <w:sz w:val="28"/>
          <w:szCs w:val="28"/>
        </w:rPr>
        <w:t>本工程</w:t>
      </w:r>
      <w:r>
        <w:rPr>
          <w:rFonts w:hint="eastAsia" w:ascii="宋体" w:hAnsi="宋体" w:cs="宋体"/>
          <w:b/>
          <w:bCs/>
          <w:sz w:val="28"/>
          <w:szCs w:val="28"/>
          <w:u w:val="single"/>
          <w:lang w:val="en-US" w:eastAsia="zh-CN"/>
        </w:rPr>
        <w:t>无</w:t>
      </w:r>
      <w:r>
        <w:rPr>
          <w:rFonts w:hint="eastAsia" w:ascii="宋体" w:hAnsi="宋体" w:cs="宋体"/>
          <w:sz w:val="28"/>
          <w:szCs w:val="28"/>
          <w:lang w:val="en-US" w:eastAsia="zh-CN"/>
        </w:rPr>
        <w:t>综合单价</w:t>
      </w:r>
      <w:r>
        <w:rPr>
          <w:rFonts w:hint="eastAsia" w:ascii="宋体" w:hAnsi="宋体" w:cs="宋体"/>
          <w:sz w:val="28"/>
          <w:szCs w:val="28"/>
        </w:rPr>
        <w:t>暂估。</w:t>
      </w:r>
      <w:bookmarkStart w:id="0" w:name="_GoBack"/>
      <w:bookmarkEnd w:id="0"/>
    </w:p>
    <w:p w14:paraId="383DD373">
      <w:pPr>
        <w:ind w:firstLine="560" w:firstLineChars="200"/>
        <w:rPr>
          <w:rFonts w:hint="eastAsia"/>
          <w:sz w:val="28"/>
          <w:szCs w:val="28"/>
        </w:rPr>
      </w:pPr>
      <w:r>
        <w:rPr>
          <w:rFonts w:hint="eastAsia"/>
          <w:sz w:val="28"/>
          <w:szCs w:val="28"/>
        </w:rPr>
        <w:t>4</w:t>
      </w:r>
      <w:r>
        <w:rPr>
          <w:rFonts w:hint="eastAsia"/>
          <w:sz w:val="28"/>
          <w:szCs w:val="28"/>
          <w:lang w:val="en-US" w:eastAsia="zh-CN"/>
        </w:rPr>
        <w:t>.</w:t>
      </w:r>
      <w:r>
        <w:rPr>
          <w:rFonts w:hint="eastAsia"/>
          <w:sz w:val="28"/>
          <w:szCs w:val="28"/>
        </w:rPr>
        <w:t>本工程</w:t>
      </w:r>
      <w:r>
        <w:rPr>
          <w:rFonts w:hint="eastAsia"/>
          <w:b/>
          <w:bCs/>
          <w:sz w:val="28"/>
          <w:szCs w:val="28"/>
          <w:u w:val="single"/>
          <w:lang w:val="en-US" w:eastAsia="zh-CN"/>
        </w:rPr>
        <w:t>无</w:t>
      </w:r>
      <w:r>
        <w:rPr>
          <w:rFonts w:hint="eastAsia"/>
          <w:sz w:val="28"/>
          <w:szCs w:val="28"/>
        </w:rPr>
        <w:t>专业工程暂估。</w:t>
      </w:r>
    </w:p>
    <w:p w14:paraId="4865AC89">
      <w:pPr>
        <w:ind w:firstLine="560" w:firstLineChars="200"/>
        <w:rPr>
          <w:rFonts w:hint="eastAsia" w:asciiTheme="minorEastAsia" w:hAnsiTheme="minorEastAsia"/>
          <w:color w:val="auto"/>
          <w:sz w:val="28"/>
          <w:szCs w:val="28"/>
          <w:lang w:val="en-US" w:eastAsia="zh-CN"/>
        </w:rPr>
      </w:pPr>
      <w:r>
        <w:rPr>
          <w:rFonts w:hint="eastAsia" w:ascii="宋体" w:hAnsi="宋体" w:cs="宋体"/>
          <w:sz w:val="28"/>
          <w:szCs w:val="28"/>
          <w:lang w:val="en-US" w:eastAsia="zh-CN"/>
        </w:rPr>
        <w:t>5.人工费的调整</w:t>
      </w:r>
      <w:r>
        <w:rPr>
          <w:rFonts w:hint="eastAsia"/>
          <w:sz w:val="28"/>
          <w:szCs w:val="28"/>
        </w:rPr>
        <w:t>执行</w:t>
      </w:r>
      <w:r>
        <w:rPr>
          <w:rFonts w:hint="eastAsia" w:asciiTheme="minorEastAsia" w:hAnsiTheme="minorEastAsia"/>
          <w:color w:val="auto"/>
          <w:sz w:val="28"/>
          <w:szCs w:val="28"/>
          <w:lang w:val="en-US" w:eastAsia="zh-CN"/>
        </w:rPr>
        <w:t>内蒙古自治区住房和城乡建设厅发布的（内建标</w:t>
      </w:r>
      <w:r>
        <w:rPr>
          <w:rFonts w:hint="eastAsia" w:ascii="宋体" w:hAnsi="宋体" w:cs="宋体"/>
          <w:sz w:val="28"/>
          <w:szCs w:val="28"/>
        </w:rPr>
        <w:t>[</w:t>
      </w:r>
      <w:r>
        <w:rPr>
          <w:rFonts w:hint="eastAsia" w:asciiTheme="minorEastAsia" w:hAnsiTheme="minorEastAsia"/>
          <w:color w:val="auto"/>
          <w:sz w:val="28"/>
          <w:szCs w:val="28"/>
          <w:lang w:val="en-US" w:eastAsia="zh-CN"/>
        </w:rPr>
        <w:t>2021</w:t>
      </w:r>
      <w:r>
        <w:rPr>
          <w:rFonts w:hint="eastAsia" w:ascii="宋体" w:hAnsi="宋体" w:cs="宋体"/>
          <w:sz w:val="28"/>
          <w:szCs w:val="28"/>
        </w:rPr>
        <w:t>]</w:t>
      </w:r>
      <w:r>
        <w:rPr>
          <w:rFonts w:hint="eastAsia" w:asciiTheme="minorEastAsia" w:hAnsiTheme="minorEastAsia"/>
          <w:color w:val="auto"/>
          <w:sz w:val="28"/>
          <w:szCs w:val="28"/>
          <w:lang w:val="en-US" w:eastAsia="zh-CN"/>
        </w:rPr>
        <w:t>148号文件）。</w:t>
      </w:r>
    </w:p>
    <w:p w14:paraId="4090A527">
      <w:pPr>
        <w:ind w:firstLine="560" w:firstLineChars="200"/>
        <w:rPr>
          <w:rFonts w:hint="default" w:asciiTheme="minorEastAsia" w:hAnsiTheme="minorEastAsia"/>
          <w:color w:val="auto"/>
          <w:sz w:val="28"/>
          <w:szCs w:val="28"/>
          <w:lang w:val="en-US" w:eastAsia="zh-CN"/>
        </w:rPr>
      </w:pPr>
    </w:p>
    <w:sectPr>
      <w:pgSz w:w="11906" w:h="16838"/>
      <w:pgMar w:top="1440"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B1128D"/>
    <w:multiLevelType w:val="singleLevel"/>
    <w:tmpl w:val="F6B1128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ZWJiZTZiZTBmZjkxNmEzM2UyOTRkNmFlMWNiZDIifQ=="/>
  </w:docVars>
  <w:rsids>
    <w:rsidRoot w:val="44C02A75"/>
    <w:rsid w:val="00014969"/>
    <w:rsid w:val="00027409"/>
    <w:rsid w:val="00057264"/>
    <w:rsid w:val="0006014C"/>
    <w:rsid w:val="000934F3"/>
    <w:rsid w:val="00096CD3"/>
    <w:rsid w:val="000E34A1"/>
    <w:rsid w:val="000E53C0"/>
    <w:rsid w:val="00130553"/>
    <w:rsid w:val="00143AF2"/>
    <w:rsid w:val="00147A36"/>
    <w:rsid w:val="001719E7"/>
    <w:rsid w:val="001A721D"/>
    <w:rsid w:val="001D7DD0"/>
    <w:rsid w:val="001E66A2"/>
    <w:rsid w:val="002247A1"/>
    <w:rsid w:val="0026709D"/>
    <w:rsid w:val="00275500"/>
    <w:rsid w:val="002874BC"/>
    <w:rsid w:val="0029751C"/>
    <w:rsid w:val="002A499B"/>
    <w:rsid w:val="002C4A0B"/>
    <w:rsid w:val="002F22D5"/>
    <w:rsid w:val="0033008B"/>
    <w:rsid w:val="003375F8"/>
    <w:rsid w:val="003479A2"/>
    <w:rsid w:val="00352AFD"/>
    <w:rsid w:val="00392883"/>
    <w:rsid w:val="00397BA4"/>
    <w:rsid w:val="003B72EC"/>
    <w:rsid w:val="003D3799"/>
    <w:rsid w:val="00412B06"/>
    <w:rsid w:val="004402B0"/>
    <w:rsid w:val="00453ADC"/>
    <w:rsid w:val="005027A9"/>
    <w:rsid w:val="00510B7C"/>
    <w:rsid w:val="0051221F"/>
    <w:rsid w:val="005173A5"/>
    <w:rsid w:val="00531B0E"/>
    <w:rsid w:val="00541A77"/>
    <w:rsid w:val="005A4DF2"/>
    <w:rsid w:val="005D1BCE"/>
    <w:rsid w:val="00607115"/>
    <w:rsid w:val="00647035"/>
    <w:rsid w:val="00656ED0"/>
    <w:rsid w:val="006638FA"/>
    <w:rsid w:val="006E002B"/>
    <w:rsid w:val="006E6649"/>
    <w:rsid w:val="00702E13"/>
    <w:rsid w:val="00723480"/>
    <w:rsid w:val="00725D03"/>
    <w:rsid w:val="00762863"/>
    <w:rsid w:val="007C3C7B"/>
    <w:rsid w:val="007E6E2D"/>
    <w:rsid w:val="00881720"/>
    <w:rsid w:val="008C2CA2"/>
    <w:rsid w:val="008C5780"/>
    <w:rsid w:val="008D2387"/>
    <w:rsid w:val="008F0603"/>
    <w:rsid w:val="00987963"/>
    <w:rsid w:val="00992A80"/>
    <w:rsid w:val="00A07F19"/>
    <w:rsid w:val="00A15B97"/>
    <w:rsid w:val="00A2092E"/>
    <w:rsid w:val="00A368D0"/>
    <w:rsid w:val="00A56E6B"/>
    <w:rsid w:val="00A8401A"/>
    <w:rsid w:val="00AC275D"/>
    <w:rsid w:val="00AD60D3"/>
    <w:rsid w:val="00AF7F07"/>
    <w:rsid w:val="00B303B3"/>
    <w:rsid w:val="00B3691C"/>
    <w:rsid w:val="00BE0688"/>
    <w:rsid w:val="00BF4ADA"/>
    <w:rsid w:val="00C22AF9"/>
    <w:rsid w:val="00C27AA1"/>
    <w:rsid w:val="00C3247B"/>
    <w:rsid w:val="00C93321"/>
    <w:rsid w:val="00C9442A"/>
    <w:rsid w:val="00C95200"/>
    <w:rsid w:val="00C97974"/>
    <w:rsid w:val="00CF5F9B"/>
    <w:rsid w:val="00D124B3"/>
    <w:rsid w:val="00D16908"/>
    <w:rsid w:val="00D342AC"/>
    <w:rsid w:val="00D431D7"/>
    <w:rsid w:val="00D4786C"/>
    <w:rsid w:val="00D67C22"/>
    <w:rsid w:val="00D86FDE"/>
    <w:rsid w:val="00DA4FF0"/>
    <w:rsid w:val="00DC4DF2"/>
    <w:rsid w:val="00DD39BA"/>
    <w:rsid w:val="00DF2721"/>
    <w:rsid w:val="00E6621F"/>
    <w:rsid w:val="00ED795F"/>
    <w:rsid w:val="00EE3E18"/>
    <w:rsid w:val="00EF0AC0"/>
    <w:rsid w:val="00F02009"/>
    <w:rsid w:val="00F27D2B"/>
    <w:rsid w:val="00F364D3"/>
    <w:rsid w:val="00F502F7"/>
    <w:rsid w:val="00F5131C"/>
    <w:rsid w:val="00F7265B"/>
    <w:rsid w:val="00F827C0"/>
    <w:rsid w:val="00F8532B"/>
    <w:rsid w:val="00F91739"/>
    <w:rsid w:val="00FB65E7"/>
    <w:rsid w:val="00FD010F"/>
    <w:rsid w:val="00FD5D20"/>
    <w:rsid w:val="027B1EAA"/>
    <w:rsid w:val="02E94439"/>
    <w:rsid w:val="04A705A7"/>
    <w:rsid w:val="04E42851"/>
    <w:rsid w:val="07007D55"/>
    <w:rsid w:val="07EE495B"/>
    <w:rsid w:val="08931F10"/>
    <w:rsid w:val="097805D4"/>
    <w:rsid w:val="0C292B70"/>
    <w:rsid w:val="0CA6497C"/>
    <w:rsid w:val="0E11590D"/>
    <w:rsid w:val="0F3432B7"/>
    <w:rsid w:val="0FB339FC"/>
    <w:rsid w:val="11356D40"/>
    <w:rsid w:val="184F59C3"/>
    <w:rsid w:val="197D2F64"/>
    <w:rsid w:val="1C106F54"/>
    <w:rsid w:val="22A80B79"/>
    <w:rsid w:val="23541AC7"/>
    <w:rsid w:val="24492A7D"/>
    <w:rsid w:val="246F4F01"/>
    <w:rsid w:val="24C4126E"/>
    <w:rsid w:val="2525035B"/>
    <w:rsid w:val="278E7E5D"/>
    <w:rsid w:val="289E4541"/>
    <w:rsid w:val="293E4E51"/>
    <w:rsid w:val="2D7717C5"/>
    <w:rsid w:val="2E5413BA"/>
    <w:rsid w:val="2F157F78"/>
    <w:rsid w:val="30026127"/>
    <w:rsid w:val="304459DD"/>
    <w:rsid w:val="315809B2"/>
    <w:rsid w:val="32E40079"/>
    <w:rsid w:val="33404396"/>
    <w:rsid w:val="377406A3"/>
    <w:rsid w:val="39600C36"/>
    <w:rsid w:val="3D1E2307"/>
    <w:rsid w:val="3DB25C4D"/>
    <w:rsid w:val="41E5378E"/>
    <w:rsid w:val="42264E34"/>
    <w:rsid w:val="44C02A75"/>
    <w:rsid w:val="450F6D79"/>
    <w:rsid w:val="4623460D"/>
    <w:rsid w:val="46D86E1D"/>
    <w:rsid w:val="47E1590E"/>
    <w:rsid w:val="48242619"/>
    <w:rsid w:val="493B13D3"/>
    <w:rsid w:val="4B360710"/>
    <w:rsid w:val="4B8935A8"/>
    <w:rsid w:val="51AD3047"/>
    <w:rsid w:val="537E2270"/>
    <w:rsid w:val="542F0E2F"/>
    <w:rsid w:val="54982408"/>
    <w:rsid w:val="56CF47AA"/>
    <w:rsid w:val="57512095"/>
    <w:rsid w:val="5A756DD8"/>
    <w:rsid w:val="5B997141"/>
    <w:rsid w:val="60C23998"/>
    <w:rsid w:val="662B70B0"/>
    <w:rsid w:val="66FF7E54"/>
    <w:rsid w:val="679471A8"/>
    <w:rsid w:val="68F230BB"/>
    <w:rsid w:val="6BDF4621"/>
    <w:rsid w:val="6CC6678E"/>
    <w:rsid w:val="756F5B70"/>
    <w:rsid w:val="7707437C"/>
    <w:rsid w:val="7AEB476B"/>
    <w:rsid w:val="7BF1784E"/>
    <w:rsid w:val="7DFD0B0D"/>
    <w:rsid w:val="7F656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qFormat/>
    <w:uiPriority w:val="0"/>
    <w:pPr>
      <w:tabs>
        <w:tab w:val="center" w:pos="4153"/>
        <w:tab w:val="right" w:pos="8306"/>
      </w:tabs>
      <w:snapToGrid w:val="0"/>
      <w:jc w:val="left"/>
    </w:pPr>
    <w:rPr>
      <w:sz w:val="18"/>
      <w:szCs w:val="18"/>
    </w:rPr>
  </w:style>
  <w:style w:type="paragraph" w:styleId="3">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customStyle="1" w:styleId="7">
    <w:name w:val="msonormal msonormal"/>
    <w:basedOn w:val="1"/>
    <w:autoRedefine/>
    <w:qFormat/>
    <w:uiPriority w:val="99"/>
    <w:pPr>
      <w:widowControl/>
      <w:spacing w:before="100" w:beforeAutospacing="1" w:after="100" w:afterAutospacing="1"/>
      <w:jc w:val="left"/>
    </w:pPr>
    <w:rPr>
      <w:rFonts w:ascii="宋体" w:hAnsi="宋体" w:cs="宋体"/>
      <w:kern w:val="0"/>
      <w:sz w:val="24"/>
    </w:rPr>
  </w:style>
  <w:style w:type="character" w:customStyle="1" w:styleId="8">
    <w:name w:val="页眉 Char"/>
    <w:basedOn w:val="6"/>
    <w:link w:val="3"/>
    <w:autoRedefine/>
    <w:qFormat/>
    <w:uiPriority w:val="0"/>
    <w:rPr>
      <w:kern w:val="2"/>
      <w:sz w:val="18"/>
      <w:szCs w:val="18"/>
    </w:rPr>
  </w:style>
  <w:style w:type="character" w:customStyle="1" w:styleId="9">
    <w:name w:val="页脚 Char"/>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2</Pages>
  <Words>596</Words>
  <Characters>741</Characters>
  <Lines>11</Lines>
  <Paragraphs>3</Paragraphs>
  <TotalTime>3</TotalTime>
  <ScaleCrop>false</ScaleCrop>
  <LinksUpToDate>false</LinksUpToDate>
  <CharactersWithSpaces>745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2019-09-23T15:17:00Z</dcterms:created>
  <dc:creator>饕餮</dc:creator>
  <cp:lastModifiedBy>饕餮</cp:lastModifiedBy>
  <cp:lastPrinted>2024-03-20T00:42:00Z</cp:lastPrinted>
  <dcterms:modified xsi:type="dcterms:W3CDTF">2025-04-15T08:25:20Z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7066131CE0AD449EB376CAC7DDA40289_13</vt:lpwstr>
  </property>
  <property fmtid="{D5CDD505-2E9C-101B-9397-08002B2CF9AE}" pid="4" name="KSOTemplateDocerSaveRecord">
    <vt:lpwstr>eyJoZGlkIjoiOGQ5Y2RmZjYwN2VhOWY2ZTAyNmIyMzMyMGNiMzQ3M2EiLCJ1c2VySWQiOiIyNTY1NjgwNjUifQ==</vt:lpwstr>
  </property>
</Properties>
</file>