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B2E18">
      <w:pPr>
        <w:keepNext w:val="0"/>
        <w:keepLines w:val="0"/>
        <w:pageBreakBefore w:val="0"/>
        <w:widowControl w:val="0"/>
        <w:kinsoku/>
        <w:wordWrap/>
        <w:overflowPunct/>
        <w:topLinePunct w:val="0"/>
        <w:autoSpaceDE/>
        <w:autoSpaceDN/>
        <w:bidi w:val="0"/>
        <w:adjustRightInd/>
        <w:snapToGrid w:val="0"/>
        <w:spacing w:before="0" w:after="0" w:line="800" w:lineRule="exact"/>
        <w:jc w:val="center"/>
        <w:textAlignment w:val="auto"/>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40"/>
          <w:szCs w:val="40"/>
          <w:u w:val="none"/>
          <w:lang w:val="en-US" w:eastAsia="zh-CN" w:bidi="ar"/>
        </w:rPr>
        <w:t>鄂托克前旗上海庙镇区域养老服务中心项目</w:t>
      </w:r>
    </w:p>
    <w:p w14:paraId="0F18CD8E">
      <w:pPr>
        <w:keepNext w:val="0"/>
        <w:keepLines w:val="0"/>
        <w:pageBreakBefore w:val="0"/>
        <w:widowControl w:val="0"/>
        <w:kinsoku/>
        <w:wordWrap/>
        <w:overflowPunct/>
        <w:topLinePunct w:val="0"/>
        <w:autoSpaceDE/>
        <w:autoSpaceDN/>
        <w:bidi w:val="0"/>
        <w:adjustRightInd/>
        <w:snapToGrid w:val="0"/>
        <w:spacing w:before="0" w:after="0" w:line="800" w:lineRule="exact"/>
        <w:jc w:val="center"/>
        <w:textAlignment w:val="auto"/>
        <w:rPr>
          <w:rFonts w:hint="eastAsia" w:ascii="宋体" w:hAnsi="宋体" w:eastAsia="宋体" w:cs="宋体"/>
          <w:b/>
          <w:color w:val="000000"/>
          <w:sz w:val="40"/>
        </w:rPr>
      </w:pPr>
      <w:r>
        <w:rPr>
          <w:rFonts w:hint="eastAsia" w:ascii="宋体" w:hAnsi="宋体" w:eastAsia="宋体" w:cs="宋体"/>
          <w:b/>
          <w:color w:val="000000"/>
          <w:sz w:val="40"/>
          <w:lang w:val="en-US" w:eastAsia="zh-CN"/>
        </w:rPr>
        <w:t>编制说明</w:t>
      </w:r>
    </w:p>
    <w:p w14:paraId="6E2C4030">
      <w:pPr>
        <w:pStyle w:val="16"/>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ascii="宋体" w:hAnsi="宋体" w:eastAsia="宋体" w:cs="宋体"/>
          <w:b/>
          <w:sz w:val="28"/>
          <w:szCs w:val="28"/>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rPr>
        <w:t>工程概况</w:t>
      </w:r>
    </w:p>
    <w:p w14:paraId="4F5B38EE">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highlight w:val="none"/>
        </w:rPr>
        <w:t>工程名称：</w:t>
      </w:r>
      <w:r>
        <w:rPr>
          <w:rFonts w:hint="eastAsia" w:ascii="宋体" w:hAnsi="宋体" w:eastAsia="宋体" w:cs="宋体"/>
          <w:sz w:val="28"/>
          <w:szCs w:val="28"/>
          <w:lang w:val="en-US" w:eastAsia="zh-CN"/>
        </w:rPr>
        <w:t>鄂托克前旗上海庙镇区域养老服务中心项目</w:t>
      </w:r>
    </w:p>
    <w:p w14:paraId="6706A1E9">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highlight w:val="none"/>
          <w:lang w:val="en-US" w:eastAsia="zh-CN"/>
        </w:rPr>
        <w:t>工程地点：</w:t>
      </w:r>
      <w:r>
        <w:rPr>
          <w:rFonts w:hint="eastAsia" w:ascii="宋体" w:hAnsi="宋体" w:eastAsia="宋体" w:cs="宋体"/>
          <w:sz w:val="28"/>
          <w:szCs w:val="28"/>
          <w:lang w:val="en-US" w:eastAsia="zh-CN"/>
        </w:rPr>
        <w:t>上海庙镇</w:t>
      </w:r>
    </w:p>
    <w:p w14:paraId="48A2BAB3">
      <w:pPr>
        <w:pStyle w:val="1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firstLine="0" w:firstLineChars="0"/>
        <w:textAlignment w:val="auto"/>
        <w:rPr>
          <w:rFonts w:hint="eastAsia" w:ascii="宋体" w:hAnsi="宋体" w:eastAsia="宋体" w:cs="宋体"/>
          <w:b/>
          <w:sz w:val="28"/>
          <w:szCs w:val="28"/>
          <w:highlight w:val="none"/>
        </w:rPr>
      </w:pPr>
      <w:bookmarkStart w:id="0" w:name="_GoBack"/>
      <w:bookmarkEnd w:id="0"/>
      <w:r>
        <w:rPr>
          <w:rFonts w:hint="eastAsia" w:ascii="宋体" w:hAnsi="宋体" w:eastAsia="宋体" w:cs="宋体"/>
          <w:b/>
          <w:sz w:val="28"/>
          <w:szCs w:val="28"/>
          <w:highlight w:val="none"/>
        </w:rPr>
        <w:t>编制范围</w:t>
      </w:r>
    </w:p>
    <w:p w14:paraId="50D6BC76">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b/>
          <w:sz w:val="28"/>
          <w:szCs w:val="28"/>
          <w:highlight w:val="none"/>
          <w:lang w:val="en-US" w:eastAsia="zh-CN"/>
        </w:rPr>
        <w:t xml:space="preserve">    </w:t>
      </w:r>
      <w:r>
        <w:rPr>
          <w:rFonts w:hint="eastAsia" w:ascii="宋体" w:hAnsi="宋体" w:eastAsia="宋体" w:cs="宋体"/>
          <w:b/>
          <w:color w:val="0000FF"/>
          <w:sz w:val="28"/>
          <w:szCs w:val="28"/>
          <w:highlight w:val="none"/>
          <w:lang w:val="en-US" w:eastAsia="zh-CN"/>
        </w:rPr>
        <w:t xml:space="preserve"> </w:t>
      </w:r>
      <w:r>
        <w:rPr>
          <w:rFonts w:hint="eastAsia" w:ascii="宋体" w:hAnsi="宋体" w:eastAsia="宋体" w:cs="宋体"/>
          <w:color w:val="333333"/>
          <w:kern w:val="2"/>
          <w:sz w:val="28"/>
          <w:szCs w:val="28"/>
          <w:highlight w:val="none"/>
          <w:lang w:val="en-US" w:eastAsia="zh-CN" w:bidi="ar-SA"/>
        </w:rPr>
        <w:t>本招标项目包括已提供的工程量明细表。</w:t>
      </w:r>
    </w:p>
    <w:p w14:paraId="1B674A1D">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ascii="宋体" w:hAnsi="宋体" w:eastAsia="宋体" w:cs="宋体"/>
          <w:b/>
          <w:sz w:val="28"/>
          <w:szCs w:val="28"/>
          <w:highlight w:val="none"/>
        </w:rPr>
      </w:pPr>
      <w:r>
        <w:rPr>
          <w:rFonts w:hint="eastAsia" w:ascii="宋体" w:hAnsi="宋体" w:eastAsia="宋体" w:cs="宋体"/>
          <w:b/>
          <w:sz w:val="28"/>
          <w:szCs w:val="28"/>
          <w:highlight w:val="none"/>
          <w:lang w:val="en-US" w:eastAsia="zh-CN"/>
        </w:rPr>
        <w:t>三</w:t>
      </w:r>
      <w:r>
        <w:rPr>
          <w:rFonts w:hint="eastAsia" w:ascii="宋体" w:hAnsi="宋体" w:eastAsia="宋体" w:cs="宋体"/>
          <w:b/>
          <w:sz w:val="28"/>
          <w:szCs w:val="28"/>
          <w:highlight w:val="none"/>
        </w:rPr>
        <w:t>、编制依据</w:t>
      </w:r>
    </w:p>
    <w:p w14:paraId="718557D7">
      <w:pPr>
        <w:pStyle w:val="9"/>
        <w:keepNext w:val="0"/>
        <w:keepLines w:val="0"/>
        <w:widowControl/>
        <w:suppressLineNumbers w:val="0"/>
        <w:spacing w:before="60" w:beforeAutospacing="0" w:after="120" w:afterAutospacing="0" w:line="500" w:lineRule="exact"/>
        <w:ind w:right="0" w:firstLine="560" w:firstLineChars="200"/>
        <w:jc w:val="both"/>
      </w:pPr>
      <w:r>
        <w:rPr>
          <w:rFonts w:hint="eastAsia" w:ascii="宋体" w:hAnsi="宋体" w:eastAsia="宋体" w:cs="宋体"/>
          <w:sz w:val="28"/>
          <w:szCs w:val="28"/>
          <w:highlight w:val="none"/>
          <w:lang w:val="en-US" w:eastAsia="zh-CN"/>
        </w:rPr>
        <w:t>1、清单依据：</w:t>
      </w:r>
      <w:r>
        <w:rPr>
          <w:rFonts w:hint="eastAsia" w:ascii="宋体" w:hAnsi="宋体" w:eastAsia="宋体" w:cs="宋体"/>
          <w:sz w:val="28"/>
          <w:szCs w:val="28"/>
          <w:highlight w:val="none"/>
          <w:lang w:eastAsia="zh-CN"/>
        </w:rPr>
        <w:t>《建设工程工程</w:t>
      </w:r>
      <w:r>
        <w:rPr>
          <w:rFonts w:hint="eastAsia" w:ascii="宋体" w:hAnsi="宋体" w:eastAsia="宋体" w:cs="宋体"/>
          <w:sz w:val="28"/>
          <w:szCs w:val="28"/>
          <w:highlight w:val="none"/>
          <w:lang w:val="en-US" w:eastAsia="zh-CN"/>
        </w:rPr>
        <w:t>量</w:t>
      </w:r>
      <w:r>
        <w:rPr>
          <w:rFonts w:hint="eastAsia" w:ascii="宋体" w:hAnsi="宋体" w:eastAsia="宋体" w:cs="宋体"/>
          <w:sz w:val="28"/>
          <w:szCs w:val="28"/>
          <w:highlight w:val="none"/>
          <w:lang w:eastAsia="zh-CN"/>
        </w:rPr>
        <w:t>清单计价规范》GB50500-2013、《房屋建筑与装饰工程工程量清单计算规范》GB50854-2013、《通用安装工程工程量计算规范》GB50856-2013、</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《市政工程工程量计算规范》GB 50857-2013</w:t>
      </w:r>
      <w:r>
        <w:rPr>
          <w:rFonts w:hint="eastAsia" w:ascii="宋体" w:hAnsi="宋体" w:eastAsia="宋体" w:cs="宋体"/>
          <w:b w:val="0"/>
          <w:bCs w:val="0"/>
          <w:i w:val="0"/>
          <w:iCs w:val="0"/>
          <w:color w:val="333333"/>
          <w:spacing w:val="0"/>
          <w:w w:val="100"/>
          <w:sz w:val="28"/>
          <w:szCs w:val="28"/>
          <w:vertAlign w:val="baseline"/>
        </w:rPr>
        <w:t>及相关的清单计价编制依据。</w:t>
      </w:r>
    </w:p>
    <w:p w14:paraId="7296B0B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2、定额执行</w:t>
      </w:r>
      <w:r>
        <w:rPr>
          <w:rFonts w:hint="eastAsia" w:ascii="宋体" w:hAnsi="宋体" w:eastAsia="宋体" w:cs="宋体"/>
          <w:sz w:val="28"/>
          <w:szCs w:val="28"/>
          <w:highlight w:val="none"/>
          <w:lang w:eastAsia="zh-CN"/>
        </w:rPr>
        <w:t>《内蒙古自治区房屋建筑与装饰工程预算定额（2017）》、《内蒙古自治区通用安装工程预算定额（2017）》</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lang w:eastAsia="zh-CN"/>
        </w:rPr>
        <w:t>《内蒙古自治区市政工程预算定额（2017）》</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lang w:eastAsia="zh-CN"/>
        </w:rPr>
        <w:t>《内蒙古自治区</w:t>
      </w:r>
      <w:r>
        <w:rPr>
          <w:rFonts w:hint="eastAsia" w:ascii="宋体" w:hAnsi="宋体" w:eastAsia="宋体" w:cs="宋体"/>
          <w:sz w:val="28"/>
          <w:szCs w:val="28"/>
          <w:highlight w:val="none"/>
          <w:lang w:val="en-US" w:eastAsia="zh-CN"/>
        </w:rPr>
        <w:t>修缮工程</w:t>
      </w:r>
      <w:r>
        <w:rPr>
          <w:rFonts w:hint="eastAsia" w:ascii="宋体" w:hAnsi="宋体" w:eastAsia="宋体" w:cs="宋体"/>
          <w:sz w:val="28"/>
          <w:szCs w:val="28"/>
          <w:highlight w:val="none"/>
          <w:lang w:eastAsia="zh-CN"/>
        </w:rPr>
        <w:t>预算定额（201</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eastAsia="zh-CN"/>
        </w:rPr>
        <w:t>）》、《内蒙古自治区建设工程费用定额（2017）》。</w:t>
      </w:r>
    </w:p>
    <w:p w14:paraId="09FBCFC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3、税金执行</w:t>
      </w:r>
      <w:r>
        <w:rPr>
          <w:rFonts w:hint="eastAsia" w:ascii="宋体" w:hAnsi="宋体" w:eastAsia="宋体" w:cs="宋体"/>
          <w:sz w:val="28"/>
          <w:szCs w:val="28"/>
          <w:highlight w:val="none"/>
          <w:lang w:eastAsia="zh-CN"/>
        </w:rPr>
        <w:t>内建标【2019】113号关于调整内蒙古自治区建设工程计价依据增值税税率的通知。</w:t>
      </w:r>
    </w:p>
    <w:p w14:paraId="01B56AE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规费中养老保险执行</w:t>
      </w:r>
      <w:r>
        <w:rPr>
          <w:rFonts w:hint="eastAsia" w:ascii="宋体" w:hAnsi="宋体" w:eastAsia="宋体" w:cs="宋体"/>
          <w:sz w:val="28"/>
          <w:szCs w:val="28"/>
          <w:highlight w:val="none"/>
          <w:lang w:eastAsia="zh-CN"/>
        </w:rPr>
        <w:t>内建标函【2019】468号文件关于调整内蒙古自治区建设工程计价依据规费中养老保险费率的通知。</w:t>
      </w:r>
    </w:p>
    <w:p w14:paraId="0059401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5、人工费执行</w:t>
      </w:r>
      <w:r>
        <w:rPr>
          <w:rFonts w:hint="eastAsia" w:ascii="宋体" w:hAnsi="宋体" w:eastAsia="宋体" w:cs="宋体"/>
          <w:sz w:val="28"/>
          <w:szCs w:val="28"/>
          <w:highlight w:val="none"/>
          <w:lang w:eastAsia="zh-CN"/>
        </w:rPr>
        <w:t>内建标函【20</w:t>
      </w:r>
      <w:r>
        <w:rPr>
          <w:rFonts w:hint="eastAsia" w:ascii="宋体" w:hAnsi="宋体" w:eastAsia="宋体" w:cs="宋体"/>
          <w:sz w:val="28"/>
          <w:szCs w:val="28"/>
          <w:highlight w:val="none"/>
          <w:lang w:val="en-US" w:eastAsia="zh-CN"/>
        </w:rPr>
        <w:t>21</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14</w:t>
      </w:r>
      <w:r>
        <w:rPr>
          <w:rFonts w:hint="eastAsia" w:ascii="宋体" w:hAnsi="宋体" w:eastAsia="宋体" w:cs="宋体"/>
          <w:sz w:val="28"/>
          <w:szCs w:val="28"/>
          <w:highlight w:val="none"/>
          <w:lang w:eastAsia="zh-CN"/>
        </w:rPr>
        <w:t>8号内蒙古自治区住房和城乡建设厅关于调整内蒙古自治区建设工程现行预算定额人工费的通知。</w:t>
      </w:r>
    </w:p>
    <w:p w14:paraId="74EC188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lang w:eastAsia="zh-CN"/>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lang w:eastAsia="zh-CN"/>
        </w:rPr>
        <w:t>材</w:t>
      </w:r>
      <w:r>
        <w:rPr>
          <w:rFonts w:hint="eastAsia" w:ascii="宋体" w:hAnsi="宋体" w:eastAsia="宋体" w:cs="宋体"/>
          <w:color w:val="auto"/>
          <w:sz w:val="28"/>
          <w:szCs w:val="28"/>
          <w:highlight w:val="none"/>
          <w:lang w:eastAsia="zh-CN"/>
        </w:rPr>
        <w:t>料</w:t>
      </w:r>
      <w:r>
        <w:rPr>
          <w:rFonts w:hint="eastAsia" w:ascii="宋体" w:hAnsi="宋体" w:eastAsia="宋体" w:cs="宋体"/>
          <w:color w:val="auto"/>
          <w:sz w:val="28"/>
          <w:szCs w:val="28"/>
          <w:highlight w:val="none"/>
          <w:lang w:val="en-US" w:eastAsia="zh-CN"/>
        </w:rPr>
        <w:t>费执行</w:t>
      </w:r>
      <w:r>
        <w:rPr>
          <w:rFonts w:hint="eastAsia" w:ascii="宋体" w:hAnsi="宋体" w:eastAsia="宋体" w:cs="宋体"/>
          <w:color w:val="333333"/>
          <w:kern w:val="2"/>
          <w:sz w:val="28"/>
          <w:szCs w:val="28"/>
          <w:highlight w:val="none"/>
          <w:lang w:val="en-US" w:eastAsia="zh-CN" w:bidi="ar-SA"/>
        </w:rPr>
        <w:t>《鄂尔多斯工程造价信息》2024年11-12月鄂托克前旗信息价，鄂托克前旗信息价没有的依次执行东胜地区信息价及市场询价；</w:t>
      </w:r>
    </w:p>
    <w:p w14:paraId="5540296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default"/>
          <w:lang w:val="en-US" w:eastAsia="zh-CN"/>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lang w:eastAsia="zh-CN"/>
        </w:rPr>
        <w:t>、电子版</w:t>
      </w:r>
      <w:r>
        <w:rPr>
          <w:rFonts w:hint="eastAsia" w:ascii="宋体" w:hAnsi="宋体" w:eastAsia="宋体" w:cs="宋体"/>
          <w:sz w:val="28"/>
          <w:szCs w:val="28"/>
          <w:highlight w:val="none"/>
          <w:lang w:val="en-US" w:eastAsia="zh-CN"/>
        </w:rPr>
        <w:t>招标工程量明细表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技术规范书.</w:t>
      </w:r>
    </w:p>
    <w:p w14:paraId="5A27909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四、其他项目费说明</w:t>
      </w:r>
    </w:p>
    <w:p w14:paraId="1BBB6CE1">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1、本次招标项目不设暂列金额；</w:t>
      </w:r>
    </w:p>
    <w:p w14:paraId="2C5F76A1">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2、本次招标项目不计取建筑工人实名制费；</w:t>
      </w:r>
    </w:p>
    <w:p w14:paraId="14A21A7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五、投标人须知</w:t>
      </w:r>
    </w:p>
    <w:p w14:paraId="61CC81ED">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hint="eastAsia"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rPr>
        <w:t>1、本工程垃圾外运运距施工单位自行考虑，运输过程满足环保要求；</w:t>
      </w:r>
    </w:p>
    <w:p w14:paraId="78B2F4FF">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hint="eastAsia"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rPr>
        <w:t>2、其他未尽事宜详见招标文件和清单。</w:t>
      </w:r>
    </w:p>
    <w:p w14:paraId="38A445E3">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lang w:val="en-US" w:eastAsia="zh-CN"/>
        </w:rPr>
        <w:t>3</w:t>
      </w:r>
      <w:r>
        <w:rPr>
          <w:rFonts w:ascii="宋体" w:hAnsi="宋体" w:eastAsia="宋体" w:cs="宋体"/>
          <w:color w:val="333333"/>
          <w:spacing w:val="-13"/>
          <w:sz w:val="28"/>
          <w:szCs w:val="28"/>
          <w:highlight w:val="none"/>
        </w:rPr>
        <w:t>、工程量清单中的项目特征描述、工程量不得调整；</w:t>
      </w:r>
    </w:p>
    <w:p w14:paraId="52A7A636">
      <w:pPr>
        <w:bidi w:val="0"/>
        <w:rPr>
          <w:rFonts w:hint="eastAsia"/>
          <w:lang w:val="en-US" w:eastAsia="zh-CN"/>
        </w:rPr>
      </w:pPr>
    </w:p>
    <w:p w14:paraId="29BAFA14">
      <w:pPr>
        <w:pStyle w:val="11"/>
        <w:ind w:left="0" w:leftChars="0" w:firstLine="0" w:firstLineChars="0"/>
        <w:rPr>
          <w:rFonts w:hint="eastAsia"/>
          <w:lang w:val="en-US" w:eastAsia="zh-CN"/>
        </w:rPr>
      </w:pPr>
    </w:p>
    <w:p w14:paraId="1D81EE9C">
      <w:pPr>
        <w:pStyle w:val="11"/>
        <w:ind w:left="0" w:leftChars="0" w:firstLine="0" w:firstLineChars="0"/>
      </w:pPr>
    </w:p>
    <w:sectPr>
      <w:pgSz w:w="11905" w:h="16838"/>
      <w:pgMar w:top="1361" w:right="1417" w:bottom="1361" w:left="1417" w:header="720" w:footer="720" w:gutter="0"/>
      <w:pgBorders>
        <w:top w:val="none" w:sz="0" w:space="0"/>
        <w:left w:val="none" w:sz="0" w:space="0"/>
        <w:bottom w:val="none" w:sz="0" w:space="0"/>
        <w:right w:val="none" w:sz="0" w:space="0"/>
      </w:pgBorders>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325C46"/>
    <w:multiLevelType w:val="singleLevel"/>
    <w:tmpl w:val="56325C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4MGNiNmYwOThmYzY3ZmMxYWFlNGRiN2FjMDAyYjQifQ=="/>
  </w:docVars>
  <w:rsids>
    <w:rsidRoot w:val="009D6944"/>
    <w:rsid w:val="00212611"/>
    <w:rsid w:val="0037752A"/>
    <w:rsid w:val="004C184F"/>
    <w:rsid w:val="004F7C0E"/>
    <w:rsid w:val="006654FA"/>
    <w:rsid w:val="006B6D1F"/>
    <w:rsid w:val="00786AC4"/>
    <w:rsid w:val="00883E21"/>
    <w:rsid w:val="009742D3"/>
    <w:rsid w:val="009D6944"/>
    <w:rsid w:val="00A53D90"/>
    <w:rsid w:val="00B758C5"/>
    <w:rsid w:val="00D27933"/>
    <w:rsid w:val="00D8793D"/>
    <w:rsid w:val="00E16C68"/>
    <w:rsid w:val="014C6BE2"/>
    <w:rsid w:val="020C5A2F"/>
    <w:rsid w:val="0246401D"/>
    <w:rsid w:val="029F53A6"/>
    <w:rsid w:val="03B54C19"/>
    <w:rsid w:val="03E15982"/>
    <w:rsid w:val="04E84DE3"/>
    <w:rsid w:val="062F45C1"/>
    <w:rsid w:val="06565D7C"/>
    <w:rsid w:val="06A04558"/>
    <w:rsid w:val="075F336A"/>
    <w:rsid w:val="07897A11"/>
    <w:rsid w:val="097D47A3"/>
    <w:rsid w:val="09C80D3F"/>
    <w:rsid w:val="09E57FEA"/>
    <w:rsid w:val="0A0D6695"/>
    <w:rsid w:val="0A844221"/>
    <w:rsid w:val="0BAE51B2"/>
    <w:rsid w:val="0BD66E27"/>
    <w:rsid w:val="0CBD0903"/>
    <w:rsid w:val="0F283534"/>
    <w:rsid w:val="0F8F699F"/>
    <w:rsid w:val="10CD79C6"/>
    <w:rsid w:val="10FB40F0"/>
    <w:rsid w:val="11C049F1"/>
    <w:rsid w:val="14AE45AC"/>
    <w:rsid w:val="177961E0"/>
    <w:rsid w:val="18CE7054"/>
    <w:rsid w:val="19EE76D0"/>
    <w:rsid w:val="19EF40C6"/>
    <w:rsid w:val="1A0F5460"/>
    <w:rsid w:val="1AAB4490"/>
    <w:rsid w:val="1ACB068F"/>
    <w:rsid w:val="1C9E1917"/>
    <w:rsid w:val="1EB7274A"/>
    <w:rsid w:val="1F352885"/>
    <w:rsid w:val="222803CA"/>
    <w:rsid w:val="22DF57F7"/>
    <w:rsid w:val="22F159E4"/>
    <w:rsid w:val="2355234E"/>
    <w:rsid w:val="244330AF"/>
    <w:rsid w:val="271E0008"/>
    <w:rsid w:val="28FA6A9D"/>
    <w:rsid w:val="29EA5969"/>
    <w:rsid w:val="2A0A1FC2"/>
    <w:rsid w:val="2AD0584D"/>
    <w:rsid w:val="2C570615"/>
    <w:rsid w:val="2D6A1CAA"/>
    <w:rsid w:val="2D811A38"/>
    <w:rsid w:val="2DB444AD"/>
    <w:rsid w:val="2E5868F3"/>
    <w:rsid w:val="3180038B"/>
    <w:rsid w:val="31A135DC"/>
    <w:rsid w:val="31A35A6A"/>
    <w:rsid w:val="332D5F33"/>
    <w:rsid w:val="33851301"/>
    <w:rsid w:val="35112F2A"/>
    <w:rsid w:val="35571045"/>
    <w:rsid w:val="376153D7"/>
    <w:rsid w:val="389C29AE"/>
    <w:rsid w:val="38A65E3F"/>
    <w:rsid w:val="38D54826"/>
    <w:rsid w:val="3A7A7AAB"/>
    <w:rsid w:val="3A811B61"/>
    <w:rsid w:val="3C530170"/>
    <w:rsid w:val="3C9536BD"/>
    <w:rsid w:val="3CE43D7D"/>
    <w:rsid w:val="3CFE29A0"/>
    <w:rsid w:val="3DF265CF"/>
    <w:rsid w:val="3F55692A"/>
    <w:rsid w:val="411476C5"/>
    <w:rsid w:val="415F7EC5"/>
    <w:rsid w:val="41B05FC1"/>
    <w:rsid w:val="42E30E0A"/>
    <w:rsid w:val="44454EE4"/>
    <w:rsid w:val="44D8188B"/>
    <w:rsid w:val="4531633F"/>
    <w:rsid w:val="45670113"/>
    <w:rsid w:val="467A410A"/>
    <w:rsid w:val="471B4EC0"/>
    <w:rsid w:val="47B506BF"/>
    <w:rsid w:val="48E4183C"/>
    <w:rsid w:val="48E87D4A"/>
    <w:rsid w:val="4BEA4E78"/>
    <w:rsid w:val="4D553C64"/>
    <w:rsid w:val="4DCF4E66"/>
    <w:rsid w:val="4DEC6E00"/>
    <w:rsid w:val="4E141CCA"/>
    <w:rsid w:val="4E3D4189"/>
    <w:rsid w:val="4E3E57CD"/>
    <w:rsid w:val="50E62426"/>
    <w:rsid w:val="53C83F18"/>
    <w:rsid w:val="54F82C0F"/>
    <w:rsid w:val="55055BB4"/>
    <w:rsid w:val="56155C36"/>
    <w:rsid w:val="568D4E60"/>
    <w:rsid w:val="588A4969"/>
    <w:rsid w:val="58FA2406"/>
    <w:rsid w:val="59FC32D0"/>
    <w:rsid w:val="5A011A11"/>
    <w:rsid w:val="5A773D8D"/>
    <w:rsid w:val="5A982DB8"/>
    <w:rsid w:val="5B3F184B"/>
    <w:rsid w:val="5B517E11"/>
    <w:rsid w:val="5D164899"/>
    <w:rsid w:val="6042508C"/>
    <w:rsid w:val="606240F6"/>
    <w:rsid w:val="60674154"/>
    <w:rsid w:val="6067671A"/>
    <w:rsid w:val="61160B4B"/>
    <w:rsid w:val="61656152"/>
    <w:rsid w:val="61B3386C"/>
    <w:rsid w:val="63100D1A"/>
    <w:rsid w:val="63FF0976"/>
    <w:rsid w:val="640D0E35"/>
    <w:rsid w:val="65157AF4"/>
    <w:rsid w:val="65E120E1"/>
    <w:rsid w:val="66A55805"/>
    <w:rsid w:val="693D60AB"/>
    <w:rsid w:val="6C450EF0"/>
    <w:rsid w:val="6D6A56EB"/>
    <w:rsid w:val="6E2B13B6"/>
    <w:rsid w:val="6F7D6A5B"/>
    <w:rsid w:val="6F834B31"/>
    <w:rsid w:val="6FF751DF"/>
    <w:rsid w:val="705A5E6C"/>
    <w:rsid w:val="71EE207F"/>
    <w:rsid w:val="739906A4"/>
    <w:rsid w:val="73C14381"/>
    <w:rsid w:val="73EC2A60"/>
    <w:rsid w:val="748E5EBF"/>
    <w:rsid w:val="75DB5EA0"/>
    <w:rsid w:val="764011B2"/>
    <w:rsid w:val="7736177B"/>
    <w:rsid w:val="79217561"/>
    <w:rsid w:val="79657CDE"/>
    <w:rsid w:val="7A3E49BE"/>
    <w:rsid w:val="7ACF47A6"/>
    <w:rsid w:val="7AF75AAB"/>
    <w:rsid w:val="7B0F1047"/>
    <w:rsid w:val="7B16574E"/>
    <w:rsid w:val="7C29117A"/>
    <w:rsid w:val="7C30077B"/>
    <w:rsid w:val="7EDB0CE4"/>
    <w:rsid w:val="7F97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pPr>
      <w:spacing w:after="120"/>
    </w:pPr>
    <w:rPr>
      <w:szCs w:val="24"/>
    </w:rPr>
  </w:style>
  <w:style w:type="paragraph" w:styleId="7">
    <w:name w:val="footer"/>
    <w:basedOn w:val="1"/>
    <w:link w:val="15"/>
    <w:unhideWhenUsed/>
    <w:qFormat/>
    <w:uiPriority w:val="99"/>
    <w:pPr>
      <w:tabs>
        <w:tab w:val="center" w:pos="4153"/>
        <w:tab w:val="right" w:pos="8306"/>
      </w:tabs>
      <w:spacing w:line="240" w:lineRule="auto"/>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Body Text First Indent"/>
    <w:basedOn w:val="6"/>
    <w:qFormat/>
    <w:uiPriority w:val="99"/>
    <w:pPr>
      <w:spacing w:line="312" w:lineRule="auto"/>
      <w:ind w:firstLine="420"/>
    </w:pPr>
  </w:style>
  <w:style w:type="character" w:customStyle="1" w:styleId="14">
    <w:name w:val="页眉 字符"/>
    <w:basedOn w:val="13"/>
    <w:link w:val="8"/>
    <w:qFormat/>
    <w:uiPriority w:val="99"/>
    <w:rPr>
      <w:sz w:val="18"/>
      <w:szCs w:val="18"/>
    </w:rPr>
  </w:style>
  <w:style w:type="character" w:customStyle="1" w:styleId="15">
    <w:name w:val="页脚 字符"/>
    <w:basedOn w:val="13"/>
    <w:link w:val="7"/>
    <w:qFormat/>
    <w:uiPriority w:val="99"/>
    <w:rPr>
      <w:sz w:val="18"/>
      <w:szCs w:val="18"/>
    </w:rPr>
  </w:style>
  <w:style w:type="paragraph" w:customStyle="1" w:styleId="16">
    <w:name w:val="列出段落1"/>
    <w:basedOn w:val="1"/>
    <w:qFormat/>
    <w:uiPriority w:val="0"/>
    <w:pPr>
      <w:ind w:firstLine="420" w:firstLineChars="200"/>
    </w:pPr>
    <w:rPr>
      <w:rFonts w:ascii="Calibri" w:hAnsi="Calibri"/>
      <w:szCs w:val="22"/>
    </w:rPr>
  </w:style>
  <w:style w:type="character" w:customStyle="1" w:styleId="17">
    <w:name w:val="font112"/>
    <w:basedOn w:val="13"/>
    <w:qFormat/>
    <w:uiPriority w:val="0"/>
    <w:rPr>
      <w:rFonts w:ascii="仿宋" w:hAnsi="仿宋" w:eastAsia="仿宋" w:cs="仿宋"/>
      <w:color w:val="000000"/>
      <w:sz w:val="28"/>
      <w:szCs w:val="28"/>
      <w:u w:val="none"/>
    </w:rPr>
  </w:style>
  <w:style w:type="character" w:customStyle="1" w:styleId="18">
    <w:name w:val="font41"/>
    <w:basedOn w:val="13"/>
    <w:qFormat/>
    <w:uiPriority w:val="0"/>
    <w:rPr>
      <w:rFonts w:hint="eastAsia" w:ascii="仿宋" w:hAnsi="仿宋" w:eastAsia="仿宋" w:cs="仿宋"/>
      <w:color w:val="333333"/>
      <w:sz w:val="20"/>
      <w:szCs w:val="20"/>
      <w:u w:val="none"/>
    </w:rPr>
  </w:style>
  <w:style w:type="character" w:customStyle="1" w:styleId="19">
    <w:name w:val="font121"/>
    <w:basedOn w:val="13"/>
    <w:qFormat/>
    <w:uiPriority w:val="0"/>
    <w:rPr>
      <w:rFonts w:hint="eastAsia" w:ascii="仿宋" w:hAnsi="仿宋" w:eastAsia="仿宋" w:cs="仿宋"/>
      <w:color w:val="000000"/>
      <w:sz w:val="24"/>
      <w:szCs w:val="24"/>
      <w:u w:val="none"/>
    </w:rPr>
  </w:style>
  <w:style w:type="character" w:customStyle="1" w:styleId="20">
    <w:name w:val="font51"/>
    <w:basedOn w:val="13"/>
    <w:qFormat/>
    <w:uiPriority w:val="0"/>
    <w:rPr>
      <w:rFonts w:ascii="仿宋" w:hAnsi="仿宋" w:eastAsia="仿宋" w:cs="仿宋"/>
      <w:color w:val="000000"/>
      <w:sz w:val="28"/>
      <w:szCs w:val="28"/>
      <w:u w:val="none"/>
    </w:rPr>
  </w:style>
  <w:style w:type="character" w:customStyle="1" w:styleId="21">
    <w:name w:val="font21"/>
    <w:basedOn w:val="13"/>
    <w:qFormat/>
    <w:uiPriority w:val="0"/>
    <w:rPr>
      <w:rFonts w:hint="eastAsia" w:ascii="仿宋" w:hAnsi="仿宋" w:eastAsia="仿宋" w:cs="仿宋"/>
      <w:color w:val="333333"/>
      <w:sz w:val="20"/>
      <w:szCs w:val="20"/>
      <w:u w:val="none"/>
    </w:rPr>
  </w:style>
  <w:style w:type="character" w:customStyle="1" w:styleId="22">
    <w:name w:val="font11"/>
    <w:basedOn w:val="13"/>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8301E-F1B3-4B62-9F1C-1E18ABE2BAB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670</Words>
  <Characters>750</Characters>
  <Lines>15</Lines>
  <Paragraphs>4</Paragraphs>
  <TotalTime>25</TotalTime>
  <ScaleCrop>false</ScaleCrop>
  <LinksUpToDate>false</LinksUpToDate>
  <CharactersWithSpaces>757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2022-03-14T16:00:00Z</dcterms:created>
  <dc:creator>Administrator</dc:creator>
  <cp:lastModifiedBy></cp:lastModifiedBy>
  <cp:lastPrinted>2022-03-31T09:53:00Z</cp:lastPrinted>
  <dcterms:modified xsi:type="dcterms:W3CDTF">2025-04-29T04:28:03Z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CFC2F31A9AD14C5787C068D6472D8D65</vt:lpwstr>
  </property>
  <property fmtid="{D5CDD505-2E9C-101B-9397-08002B2CF9AE}" pid="4" name="commondata">
    <vt:lpwstr>eyJoZGlkIjoiNDJkZGI3OTdkYTUzNjJmYmMwYjVlOTNkZDcwMTVkZDgifQ==</vt:lpwstr>
  </property>
  <property fmtid="{D5CDD505-2E9C-101B-9397-08002B2CF9AE}" pid="5" name="KSOTemplateDocerSaveRecord">
    <vt:lpwstr>eyJoZGlkIjoiYzdlNDE2NmZlZTQ0MzljMDA1ODk4ZmI2NGY4ZTYxMTIiLCJ1c2VySWQiOiIyODU0OTI1OTIifQ==</vt:lpwstr>
  </property>
</Properties>
</file>