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3532E">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lang w:val="en-US" w:eastAsia="zh-CN"/>
        </w:rPr>
      </w:pPr>
      <w:r>
        <w:rPr>
          <w:rFonts w:hint="eastAsia" w:ascii="宋体" w:hAnsi="宋体" w:eastAsia="宋体" w:cs="宋体"/>
          <w:b/>
          <w:sz w:val="36"/>
          <w:szCs w:val="36"/>
          <w:lang w:val="en-US" w:eastAsia="zh-CN"/>
        </w:rPr>
        <w:t>编制说明</w:t>
      </w:r>
    </w:p>
    <w:p w14:paraId="18AF0D5C">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一、工程概况</w:t>
      </w:r>
    </w:p>
    <w:p w14:paraId="55074AB0">
      <w:pPr>
        <w:pStyle w:val="10"/>
        <w:keepNext w:val="0"/>
        <w:keepLines w:val="0"/>
        <w:pageBreakBefore w:val="0"/>
        <w:widowControl w:val="0"/>
        <w:kinsoku/>
        <w:wordWrap/>
        <w:overflowPunct/>
        <w:topLinePunct w:val="0"/>
        <w:autoSpaceDE/>
        <w:autoSpaceDN/>
        <w:bidi w:val="0"/>
        <w:adjustRightInd/>
        <w:snapToGrid/>
        <w:spacing w:line="360" w:lineRule="auto"/>
        <w:ind w:left="1800" w:leftChars="0" w:hanging="1800" w:hangingChars="600"/>
        <w:textAlignment w:val="auto"/>
        <w:rPr>
          <w:rFonts w:hint="eastAsia" w:ascii="仿宋" w:hAnsi="仿宋" w:eastAsia="仿宋" w:cs="仿宋"/>
          <w:sz w:val="30"/>
          <w:szCs w:val="30"/>
          <w:lang w:val="en-US"/>
        </w:rPr>
      </w:pPr>
      <w:r>
        <w:rPr>
          <w:rFonts w:hint="eastAsia" w:ascii="仿宋" w:hAnsi="仿宋" w:eastAsia="仿宋" w:cs="仿宋"/>
          <w:sz w:val="30"/>
          <w:szCs w:val="30"/>
          <w:lang w:val="en-US" w:eastAsia="zh-CN"/>
        </w:rPr>
        <w:t>1、</w:t>
      </w:r>
      <w:r>
        <w:rPr>
          <w:rFonts w:hint="eastAsia" w:ascii="仿宋" w:hAnsi="仿宋" w:eastAsia="仿宋" w:cs="仿宋"/>
          <w:sz w:val="30"/>
          <w:szCs w:val="30"/>
        </w:rPr>
        <w:t>工程名称</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乡村振兴地磅建设项目</w:t>
      </w:r>
    </w:p>
    <w:p w14:paraId="107835E1">
      <w:pPr>
        <w:pStyle w:val="10"/>
        <w:keepNext w:val="0"/>
        <w:keepLines w:val="0"/>
        <w:pageBreakBefore w:val="0"/>
        <w:widowControl w:val="0"/>
        <w:kinsoku/>
        <w:wordWrap/>
        <w:overflowPunct/>
        <w:topLinePunct w:val="0"/>
        <w:autoSpaceDE/>
        <w:autoSpaceDN/>
        <w:bidi w:val="0"/>
        <w:adjustRightInd/>
        <w:snapToGrid/>
        <w:spacing w:line="360" w:lineRule="auto"/>
        <w:ind w:left="1800" w:leftChars="0" w:hanging="1800" w:hangingChars="6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建设单位：</w:t>
      </w:r>
      <w:r>
        <w:rPr>
          <w:rFonts w:hint="eastAsia" w:ascii="仿宋" w:hAnsi="仿宋" w:eastAsia="仿宋" w:cs="仿宋"/>
          <w:sz w:val="30"/>
          <w:szCs w:val="30"/>
          <w:lang w:val="en-US" w:eastAsia="zh-CN"/>
        </w:rPr>
        <w:t>鄂托克前旗乡村振兴实业发展中心</w:t>
      </w:r>
    </w:p>
    <w:p w14:paraId="34690AF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3、设计单位：</w:t>
      </w:r>
      <w:r>
        <w:rPr>
          <w:rFonts w:hint="eastAsia" w:ascii="仿宋" w:hAnsi="仿宋" w:eastAsia="仿宋" w:cs="仿宋"/>
          <w:kern w:val="2"/>
          <w:sz w:val="30"/>
          <w:szCs w:val="30"/>
          <w:lang w:val="en-US" w:eastAsia="zh-CN" w:bidi="ar-SA"/>
        </w:rPr>
        <w:t>中平筑业设计有限公司</w:t>
      </w:r>
    </w:p>
    <w:p w14:paraId="5EE49E81">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30"/>
          <w:szCs w:val="30"/>
          <w:highlight w:val="yellow"/>
          <w:lang w:val="en-US" w:eastAsia="zh-CN"/>
        </w:rPr>
      </w:pP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rPr>
        <w:t>建设地点：</w:t>
      </w:r>
      <w:r>
        <w:rPr>
          <w:rFonts w:hint="eastAsia" w:ascii="仿宋" w:hAnsi="仿宋" w:eastAsia="仿宋" w:cs="仿宋"/>
          <w:sz w:val="30"/>
          <w:szCs w:val="30"/>
          <w:lang w:val="en-US" w:eastAsia="zh-CN"/>
        </w:rPr>
        <w:t>鄂托克前旗</w:t>
      </w:r>
    </w:p>
    <w:p w14:paraId="5A28ABA3">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二、招标内容</w:t>
      </w:r>
    </w:p>
    <w:p w14:paraId="0BFFE01B">
      <w:pPr>
        <w:keepNext w:val="0"/>
        <w:keepLines w:val="0"/>
        <w:pageBreakBefore w:val="0"/>
        <w:numPr>
          <w:ilvl w:val="0"/>
          <w:numId w:val="0"/>
        </w:numPr>
        <w:kinsoku/>
        <w:wordWrap/>
        <w:overflowPunct/>
        <w:topLinePunct w:val="0"/>
        <w:autoSpaceDE/>
        <w:autoSpaceDN/>
        <w:bidi w:val="0"/>
        <w:adjustRightInd/>
        <w:snapToGrid/>
        <w:spacing w:line="360" w:lineRule="auto"/>
        <w:ind w:left="140" w:leftChars="0" w:firstLine="600" w:firstLineChars="200"/>
        <w:textAlignment w:val="auto"/>
        <w:rPr>
          <w:rFonts w:hint="eastAsia" w:ascii="仿宋" w:hAnsi="仿宋" w:eastAsia="仿宋" w:cs="仿宋"/>
          <w:color w:val="000000"/>
          <w:kern w:val="0"/>
          <w:sz w:val="30"/>
          <w:szCs w:val="30"/>
          <w:highlight w:val="none"/>
          <w:lang w:val="en-US" w:eastAsia="zh-CN" w:bidi="ar-SA"/>
        </w:rPr>
      </w:pPr>
      <w:r>
        <w:rPr>
          <w:rFonts w:hint="eastAsia" w:ascii="仿宋" w:hAnsi="仿宋" w:eastAsia="仿宋" w:cs="仿宋"/>
          <w:sz w:val="30"/>
          <w:szCs w:val="30"/>
          <w:lang w:val="en-US" w:eastAsia="zh-CN"/>
        </w:rPr>
        <w:t>鄂托克前旗乡村振兴实业发展中心提供的乡村振兴地磅建设项目</w:t>
      </w:r>
      <w:r>
        <w:rPr>
          <w:rFonts w:hint="eastAsia" w:ascii="仿宋" w:hAnsi="仿宋" w:eastAsia="仿宋" w:cs="仿宋"/>
          <w:color w:val="000000"/>
          <w:kern w:val="0"/>
          <w:sz w:val="30"/>
          <w:szCs w:val="30"/>
          <w:highlight w:val="none"/>
          <w:lang w:val="en-US" w:eastAsia="zh-CN" w:bidi="ar-SA"/>
        </w:rPr>
        <w:t>施工图范围内的全部工程。</w:t>
      </w:r>
    </w:p>
    <w:p w14:paraId="6CBABD45">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 xml:space="preserve">编制依据 </w:t>
      </w:r>
    </w:p>
    <w:p w14:paraId="457289EE">
      <w:pPr>
        <w:pStyle w:val="2"/>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1、中平筑业设计有限公司提供的设计图纸PDF版。</w:t>
      </w:r>
    </w:p>
    <w:p w14:paraId="6AAFD128">
      <w:pPr>
        <w:keepNext w:val="0"/>
        <w:keepLines w:val="0"/>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清单执行《建设工程工程量清单计价规范(GB50500-2013)》及解释和勘误。定额执行2017届《内蒙古通用安装工程预算定额》、2017届《内蒙古自治区房屋建筑与装饰工程预算定额》、2017届《内蒙古自治区建设工程费用定额》、2017届《内蒙古自治区建设工程计价依据》及现行相关政策性文件等。</w:t>
      </w:r>
    </w:p>
    <w:p w14:paraId="00565245">
      <w:pPr>
        <w:keepNext w:val="0"/>
        <w:keepLines w:val="0"/>
        <w:pageBreakBefore w:val="0"/>
        <w:numPr>
          <w:ilvl w:val="0"/>
          <w:numId w:val="0"/>
        </w:numPr>
        <w:kinsoku/>
        <w:wordWrap/>
        <w:overflowPunct/>
        <w:topLinePunct w:val="0"/>
        <w:autoSpaceDE/>
        <w:autoSpaceDN/>
        <w:bidi w:val="0"/>
        <w:adjustRightInd/>
        <w:snapToGrid/>
        <w:spacing w:line="360" w:lineRule="auto"/>
        <w:ind w:left="14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3、规费执行《内蒙古自治区住房和城乡建设厅文件关于调整内蒙古自治区建设工程计价依据规费中养老保险费率的通知》内建标〔2019〕468 号文件，规费费率为19%。 </w:t>
      </w:r>
    </w:p>
    <w:p w14:paraId="741CE029">
      <w:pPr>
        <w:keepNext w:val="0"/>
        <w:keepLines w:val="0"/>
        <w:pageBreakBefore w:val="0"/>
        <w:tabs>
          <w:tab w:val="left" w:pos="355"/>
        </w:tabs>
        <w:kinsoku/>
        <w:wordWrap/>
        <w:overflowPunct/>
        <w:topLinePunct w:val="0"/>
        <w:autoSpaceDE/>
        <w:autoSpaceDN/>
        <w:bidi w:val="0"/>
        <w:adjustRightInd/>
        <w:snapToGrid/>
        <w:spacing w:line="360" w:lineRule="auto"/>
        <w:ind w:firstLine="600" w:firstLineChars="200"/>
        <w:contextualSpacing/>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4、税金执行《关于调整内蒙古自治区建设工程计价依据增值税税 率的通知》内建标[2019]113号文件，税率为9%。</w:t>
      </w:r>
    </w:p>
    <w:p w14:paraId="48BAE802">
      <w:pPr>
        <w:keepNext w:val="0"/>
        <w:keepLines w:val="0"/>
        <w:pageBreakBefore w:val="0"/>
        <w:tabs>
          <w:tab w:val="left" w:pos="355"/>
        </w:tabs>
        <w:kinsoku/>
        <w:wordWrap/>
        <w:overflowPunct/>
        <w:topLinePunct w:val="0"/>
        <w:autoSpaceDE/>
        <w:autoSpaceDN/>
        <w:bidi w:val="0"/>
        <w:adjustRightInd/>
        <w:snapToGrid/>
        <w:spacing w:line="360" w:lineRule="auto"/>
        <w:ind w:firstLine="600" w:firstLineChars="200"/>
        <w:contextualSpacing/>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5、人工费执行内建标【2021】148号文件《关于内蒙古自治区住房和城乡建设厅关于调整内蒙古自治区建设工程现行预算定额人工费的通知》。</w:t>
      </w:r>
    </w:p>
    <w:p w14:paraId="5C9132D9">
      <w:pPr>
        <w:pStyle w:val="3"/>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6、</w:t>
      </w:r>
      <w:r>
        <w:rPr>
          <w:rFonts w:hint="eastAsia" w:ascii="仿宋" w:hAnsi="仿宋" w:eastAsia="仿宋" w:cs="仿宋"/>
          <w:b w:val="0"/>
          <w:bCs w:val="0"/>
          <w:color w:val="000000"/>
          <w:sz w:val="30"/>
          <w:szCs w:val="30"/>
          <w:highlight w:val="none"/>
          <w:lang w:val="en-US" w:eastAsia="zh-CN"/>
        </w:rPr>
        <w:t>材料价格依据：</w:t>
      </w:r>
      <w:r>
        <w:rPr>
          <w:rFonts w:hint="eastAsia" w:ascii="仿宋" w:hAnsi="仿宋" w:eastAsia="仿宋" w:cs="仿宋"/>
          <w:kern w:val="2"/>
          <w:sz w:val="30"/>
          <w:szCs w:val="30"/>
          <w:lang w:val="en-US" w:eastAsia="zh-CN" w:bidi="ar-SA"/>
        </w:rPr>
        <w:t>材料市场价优先采用</w:t>
      </w:r>
      <w:r>
        <w:rPr>
          <w:rFonts w:hint="eastAsia" w:ascii="仿宋" w:hAnsi="仿宋" w:eastAsia="仿宋" w:cs="仿宋"/>
          <w:sz w:val="30"/>
          <w:szCs w:val="30"/>
          <w:lang w:val="en-US" w:eastAsia="zh-CN"/>
        </w:rPr>
        <w:t>鄂托克前旗</w:t>
      </w:r>
      <w:r>
        <w:rPr>
          <w:rFonts w:hint="eastAsia" w:ascii="仿宋" w:hAnsi="仿宋" w:eastAsia="仿宋" w:cs="仿宋"/>
          <w:kern w:val="2"/>
          <w:sz w:val="30"/>
          <w:szCs w:val="30"/>
          <w:lang w:val="en-US" w:eastAsia="zh-CN" w:bidi="ar-SA"/>
        </w:rPr>
        <w:t>2025年6月份建设工程造价信息信息价，不足部分参考东胜地区2025年6月份信息价，对于《建设工程造价信息》没有发布价格信息的材料，其价格参照编制期专业测定价、广材网及市场价格。</w:t>
      </w:r>
    </w:p>
    <w:p w14:paraId="3E8208B5">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四</w:t>
      </w:r>
      <w:r>
        <w:rPr>
          <w:rFonts w:hint="eastAsia" w:ascii="仿宋" w:hAnsi="仿宋" w:eastAsia="仿宋" w:cs="仿宋"/>
          <w:b/>
          <w:bCs/>
          <w:sz w:val="30"/>
          <w:szCs w:val="30"/>
        </w:rPr>
        <w:t>、</w:t>
      </w:r>
      <w:r>
        <w:rPr>
          <w:rFonts w:hint="eastAsia" w:ascii="仿宋" w:hAnsi="仿宋" w:eastAsia="仿宋" w:cs="仿宋"/>
          <w:b/>
          <w:bCs/>
          <w:sz w:val="30"/>
          <w:szCs w:val="30"/>
          <w:lang w:val="en-US" w:eastAsia="zh-CN"/>
        </w:rPr>
        <w:t>编制说明</w:t>
      </w:r>
      <w:r>
        <w:rPr>
          <w:rFonts w:hint="eastAsia" w:ascii="仿宋" w:hAnsi="仿宋" w:eastAsia="仿宋" w:cs="仿宋"/>
          <w:sz w:val="30"/>
          <w:szCs w:val="30"/>
        </w:rPr>
        <w:t xml:space="preserve"> </w:t>
      </w:r>
    </w:p>
    <w:p w14:paraId="670CB7E9">
      <w:pPr>
        <w:keepNext w:val="0"/>
        <w:keepLines w:val="0"/>
        <w:pageBreakBefore w:val="0"/>
        <w:numPr>
          <w:ilvl w:val="0"/>
          <w:numId w:val="0"/>
        </w:numPr>
        <w:kinsoku/>
        <w:wordWrap/>
        <w:overflowPunct/>
        <w:topLinePunct w:val="0"/>
        <w:autoSpaceDE/>
        <w:autoSpaceDN/>
        <w:bidi w:val="0"/>
        <w:adjustRightInd/>
        <w:snapToGrid/>
        <w:spacing w:line="360" w:lineRule="auto"/>
        <w:ind w:left="14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1、经与委托单位沟通本项目控制价不计取暂列金。</w:t>
      </w:r>
    </w:p>
    <w:p w14:paraId="60577F33">
      <w:pPr>
        <w:keepNext w:val="0"/>
        <w:keepLines w:val="0"/>
        <w:pageBreakBefore w:val="0"/>
        <w:numPr>
          <w:ilvl w:val="0"/>
          <w:numId w:val="0"/>
        </w:numPr>
        <w:kinsoku/>
        <w:wordWrap/>
        <w:overflowPunct/>
        <w:topLinePunct w:val="0"/>
        <w:autoSpaceDE/>
        <w:autoSpaceDN/>
        <w:bidi w:val="0"/>
        <w:adjustRightInd/>
        <w:snapToGrid/>
        <w:spacing w:line="360" w:lineRule="auto"/>
        <w:ind w:left="14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2、商品混凝土及预拌砂浆的泵送费及运费投标单位自主报价，结算时不予调整。</w:t>
      </w:r>
    </w:p>
    <w:p w14:paraId="1C192FDB">
      <w:pPr>
        <w:keepNext w:val="0"/>
        <w:keepLines w:val="0"/>
        <w:pageBreakBefore w:val="0"/>
        <w:numPr>
          <w:ilvl w:val="0"/>
          <w:numId w:val="0"/>
        </w:numPr>
        <w:kinsoku/>
        <w:wordWrap/>
        <w:overflowPunct/>
        <w:topLinePunct w:val="0"/>
        <w:autoSpaceDE/>
        <w:autoSpaceDN/>
        <w:bidi w:val="0"/>
        <w:adjustRightInd/>
        <w:snapToGrid/>
        <w:spacing w:line="360" w:lineRule="auto"/>
        <w:ind w:left="14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3、土方运距按15Km考虑计入造价，施工方自主报价，结算不予调整。</w:t>
      </w:r>
    </w:p>
    <w:p w14:paraId="4FAF9F91">
      <w:pPr>
        <w:keepNext w:val="0"/>
        <w:keepLines w:val="0"/>
        <w:pageBreakBefore w:val="0"/>
        <w:numPr>
          <w:ilvl w:val="0"/>
          <w:numId w:val="0"/>
        </w:numPr>
        <w:kinsoku/>
        <w:wordWrap/>
        <w:overflowPunct/>
        <w:topLinePunct w:val="0"/>
        <w:autoSpaceDE/>
        <w:autoSpaceDN/>
        <w:bidi w:val="0"/>
        <w:adjustRightInd/>
        <w:snapToGrid/>
        <w:spacing w:line="360" w:lineRule="auto"/>
        <w:ind w:left="140" w:leftChars="0" w:firstLine="600" w:firstLineChars="200"/>
        <w:textAlignment w:val="auto"/>
        <w:rPr>
          <w:rFonts w:hint="default"/>
          <w:lang w:val="en-US" w:eastAsia="zh-CN"/>
        </w:rPr>
      </w:pPr>
      <w:r>
        <w:rPr>
          <w:rFonts w:hint="eastAsia" w:ascii="仿宋" w:hAnsi="仿宋" w:eastAsia="仿宋" w:cs="仿宋"/>
          <w:sz w:val="30"/>
          <w:szCs w:val="30"/>
          <w:lang w:val="en-US" w:eastAsia="zh-CN"/>
        </w:rPr>
        <w:t>4、本次控制价中砂砾石铺设厚度按40cm厚计入造价。</w:t>
      </w:r>
    </w:p>
    <w:p w14:paraId="7E941FA3">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kern w:val="0"/>
          <w:sz w:val="30"/>
          <w:szCs w:val="30"/>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30"/>
          <w:szCs w:val="30"/>
          <w:highlight w:val="none"/>
          <w:lang w:val="en-US" w:eastAsia="zh-CN" w:bidi="ar-SA"/>
          <w14:textFill>
            <w14:solidFill>
              <w14:schemeClr w14:val="tx1"/>
            </w14:solidFill>
          </w14:textFill>
        </w:rPr>
        <w:t>五、其他说明</w:t>
      </w:r>
    </w:p>
    <w:p w14:paraId="79DC3E72">
      <w:pPr>
        <w:keepNext w:val="0"/>
        <w:keepLines w:val="0"/>
        <w:pageBreakBefore w:val="0"/>
        <w:widowControl w:val="0"/>
        <w:tabs>
          <w:tab w:val="left" w:pos="355"/>
        </w:tabs>
        <w:kinsoku/>
        <w:wordWrap/>
        <w:overflowPunct/>
        <w:topLinePunct w:val="0"/>
        <w:autoSpaceDE/>
        <w:autoSpaceDN/>
        <w:bidi w:val="0"/>
        <w:adjustRightInd/>
        <w:snapToGrid/>
        <w:spacing w:line="360" w:lineRule="auto"/>
        <w:ind w:firstLine="600" w:firstLineChars="200"/>
        <w:contextualSpacing/>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1、图纸不明确内容按常规计入。</w:t>
      </w:r>
    </w:p>
    <w:p w14:paraId="64884DEE">
      <w:pPr>
        <w:keepNext w:val="0"/>
        <w:keepLines w:val="0"/>
        <w:pageBreakBefore w:val="0"/>
        <w:widowControl w:val="0"/>
        <w:tabs>
          <w:tab w:val="left" w:pos="355"/>
        </w:tabs>
        <w:kinsoku/>
        <w:wordWrap/>
        <w:overflowPunct/>
        <w:topLinePunct w:val="0"/>
        <w:autoSpaceDE/>
        <w:autoSpaceDN/>
        <w:bidi w:val="0"/>
        <w:adjustRightInd/>
        <w:snapToGrid/>
        <w:spacing w:line="360" w:lineRule="auto"/>
        <w:ind w:firstLine="600" w:firstLineChars="200"/>
        <w:contextualSpacing/>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2、本说明未尽事项，以计价规范、工程量计算规范、计价管理办法、招标文件以及有关的法律、法规、建设行政主管部门颁发的文件为准。</w:t>
      </w:r>
    </w:p>
    <w:p w14:paraId="63128AD9">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14:paraId="762CACC9">
      <w:pPr>
        <w:keepNext w:val="0"/>
        <w:keepLines w:val="0"/>
        <w:pageBreakBefore w:val="0"/>
        <w:widowControl w:val="0"/>
        <w:tabs>
          <w:tab w:val="left" w:pos="355"/>
        </w:tabs>
        <w:kinsoku/>
        <w:wordWrap/>
        <w:overflowPunct/>
        <w:topLinePunct w:val="0"/>
        <w:autoSpaceDE/>
        <w:autoSpaceDN/>
        <w:bidi w:val="0"/>
        <w:adjustRightInd/>
        <w:snapToGrid/>
        <w:spacing w:line="360" w:lineRule="auto"/>
        <w:contextualSpacing/>
        <w:textAlignment w:val="auto"/>
        <w:rPr>
          <w:rFonts w:hint="eastAsia" w:ascii="仿宋" w:hAnsi="仿宋" w:eastAsia="仿宋" w:cs="仿宋"/>
          <w:sz w:val="30"/>
          <w:szCs w:val="30"/>
          <w:lang w:val="en-US" w:eastAsia="zh-CN"/>
        </w:rPr>
      </w:pPr>
    </w:p>
    <w:p w14:paraId="7AA312E5">
      <w:pPr>
        <w:keepNext w:val="0"/>
        <w:keepLines w:val="0"/>
        <w:pageBreakBefore w:val="0"/>
        <w:widowControl w:val="0"/>
        <w:tabs>
          <w:tab w:val="left" w:pos="355"/>
        </w:tabs>
        <w:kinsoku/>
        <w:wordWrap/>
        <w:overflowPunct/>
        <w:topLinePunct w:val="0"/>
        <w:autoSpaceDE/>
        <w:autoSpaceDN/>
        <w:bidi w:val="0"/>
        <w:adjustRightInd/>
        <w:snapToGrid/>
        <w:spacing w:line="360" w:lineRule="auto"/>
        <w:contextualSpacing/>
        <w:jc w:val="right"/>
        <w:textAlignment w:val="auto"/>
        <w:rPr>
          <w:rFonts w:hint="eastAsia" w:ascii="仿宋" w:hAnsi="仿宋" w:eastAsia="仿宋" w:cs="仿宋"/>
          <w:sz w:val="30"/>
          <w:szCs w:val="30"/>
          <w:lang w:val="en-US" w:eastAsia="zh-CN"/>
        </w:rPr>
      </w:pPr>
      <w:bookmarkStart w:id="0" w:name="_GoBack"/>
      <w:bookmarkEnd w:id="0"/>
      <w:r>
        <w:rPr>
          <w:rFonts w:hint="eastAsia" w:ascii="仿宋" w:hAnsi="仿宋" w:eastAsia="仿宋" w:cs="仿宋"/>
          <w:sz w:val="30"/>
          <w:szCs w:val="3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3ZGYyMWM2ODk3M2Y0ZjRiZDI0MjYzNmQ5MDUwNzQifQ=="/>
  </w:docVars>
  <w:rsids>
    <w:rsidRoot w:val="4CBD4AF1"/>
    <w:rsid w:val="002752CC"/>
    <w:rsid w:val="002B402E"/>
    <w:rsid w:val="00507AEC"/>
    <w:rsid w:val="00537C28"/>
    <w:rsid w:val="00BA63E3"/>
    <w:rsid w:val="01323CE1"/>
    <w:rsid w:val="013637D1"/>
    <w:rsid w:val="019C271E"/>
    <w:rsid w:val="02FA1368"/>
    <w:rsid w:val="03367AB9"/>
    <w:rsid w:val="0385459C"/>
    <w:rsid w:val="04097146"/>
    <w:rsid w:val="0414147C"/>
    <w:rsid w:val="041A2F36"/>
    <w:rsid w:val="04854128"/>
    <w:rsid w:val="04F574FF"/>
    <w:rsid w:val="05C644A5"/>
    <w:rsid w:val="063521D9"/>
    <w:rsid w:val="066B5CCB"/>
    <w:rsid w:val="067803E8"/>
    <w:rsid w:val="067A5F0E"/>
    <w:rsid w:val="06A411DD"/>
    <w:rsid w:val="06F537E7"/>
    <w:rsid w:val="07B45450"/>
    <w:rsid w:val="084606EF"/>
    <w:rsid w:val="0858402D"/>
    <w:rsid w:val="08D57783"/>
    <w:rsid w:val="08ED515F"/>
    <w:rsid w:val="095742E5"/>
    <w:rsid w:val="099948FD"/>
    <w:rsid w:val="0A066CA2"/>
    <w:rsid w:val="0A935730"/>
    <w:rsid w:val="0AFA5870"/>
    <w:rsid w:val="0B304DED"/>
    <w:rsid w:val="0B4D32E9"/>
    <w:rsid w:val="0B5C3E34"/>
    <w:rsid w:val="0BAE2DFD"/>
    <w:rsid w:val="0BF73B5D"/>
    <w:rsid w:val="0C540FAF"/>
    <w:rsid w:val="0CD5495A"/>
    <w:rsid w:val="0CDD51F8"/>
    <w:rsid w:val="0D215336"/>
    <w:rsid w:val="0D350DE1"/>
    <w:rsid w:val="0DA6583B"/>
    <w:rsid w:val="0E680651"/>
    <w:rsid w:val="0E9658AF"/>
    <w:rsid w:val="0ED463D8"/>
    <w:rsid w:val="0F291812"/>
    <w:rsid w:val="0F661726"/>
    <w:rsid w:val="0F87169C"/>
    <w:rsid w:val="0FB029A1"/>
    <w:rsid w:val="0FFC3E38"/>
    <w:rsid w:val="10AE38F2"/>
    <w:rsid w:val="11477335"/>
    <w:rsid w:val="11755C50"/>
    <w:rsid w:val="11C71B92"/>
    <w:rsid w:val="12F31522"/>
    <w:rsid w:val="13547AE7"/>
    <w:rsid w:val="13F35552"/>
    <w:rsid w:val="14D64C58"/>
    <w:rsid w:val="14F74BCE"/>
    <w:rsid w:val="154178B8"/>
    <w:rsid w:val="15610A32"/>
    <w:rsid w:val="15633FDE"/>
    <w:rsid w:val="15FD6BB0"/>
    <w:rsid w:val="168A6AFF"/>
    <w:rsid w:val="1743234C"/>
    <w:rsid w:val="1776627E"/>
    <w:rsid w:val="17D7362C"/>
    <w:rsid w:val="184F4570"/>
    <w:rsid w:val="18992D98"/>
    <w:rsid w:val="19272887"/>
    <w:rsid w:val="193277BF"/>
    <w:rsid w:val="19707D2A"/>
    <w:rsid w:val="19FC7B17"/>
    <w:rsid w:val="1A6D6122"/>
    <w:rsid w:val="1A7C004F"/>
    <w:rsid w:val="1A8446CF"/>
    <w:rsid w:val="1B387DF6"/>
    <w:rsid w:val="1B9511D7"/>
    <w:rsid w:val="1C33298F"/>
    <w:rsid w:val="1CA87EA8"/>
    <w:rsid w:val="1CEB6EF8"/>
    <w:rsid w:val="1D5202A2"/>
    <w:rsid w:val="1D631052"/>
    <w:rsid w:val="1D94745E"/>
    <w:rsid w:val="1EE73F05"/>
    <w:rsid w:val="1EEC5078"/>
    <w:rsid w:val="1F264A2D"/>
    <w:rsid w:val="1F7312F5"/>
    <w:rsid w:val="1FE30BCD"/>
    <w:rsid w:val="2178119C"/>
    <w:rsid w:val="21C50FC0"/>
    <w:rsid w:val="21FC7CC7"/>
    <w:rsid w:val="223D54FF"/>
    <w:rsid w:val="23075C07"/>
    <w:rsid w:val="230E63A2"/>
    <w:rsid w:val="2322550C"/>
    <w:rsid w:val="233314C7"/>
    <w:rsid w:val="234436D4"/>
    <w:rsid w:val="23906919"/>
    <w:rsid w:val="246758CC"/>
    <w:rsid w:val="24821EA2"/>
    <w:rsid w:val="24BE74B6"/>
    <w:rsid w:val="24C06D8A"/>
    <w:rsid w:val="24C148B0"/>
    <w:rsid w:val="24CD6C52"/>
    <w:rsid w:val="259D1D17"/>
    <w:rsid w:val="25DF6149"/>
    <w:rsid w:val="25FB496D"/>
    <w:rsid w:val="26395046"/>
    <w:rsid w:val="268838D8"/>
    <w:rsid w:val="26E256DE"/>
    <w:rsid w:val="26E66850"/>
    <w:rsid w:val="2759419E"/>
    <w:rsid w:val="27F01E97"/>
    <w:rsid w:val="29DF4157"/>
    <w:rsid w:val="2A554419"/>
    <w:rsid w:val="2A933C86"/>
    <w:rsid w:val="2A9F7442"/>
    <w:rsid w:val="2C245E51"/>
    <w:rsid w:val="2CA927FA"/>
    <w:rsid w:val="2CE63FAE"/>
    <w:rsid w:val="2D4479FD"/>
    <w:rsid w:val="2D595F44"/>
    <w:rsid w:val="2D7B7CF2"/>
    <w:rsid w:val="2E67471B"/>
    <w:rsid w:val="2F132433"/>
    <w:rsid w:val="2F340AA1"/>
    <w:rsid w:val="2F5702EB"/>
    <w:rsid w:val="2F8F35CF"/>
    <w:rsid w:val="300F231A"/>
    <w:rsid w:val="303E54A1"/>
    <w:rsid w:val="3052575A"/>
    <w:rsid w:val="30536D05"/>
    <w:rsid w:val="30B874AF"/>
    <w:rsid w:val="310E0E7D"/>
    <w:rsid w:val="31101099"/>
    <w:rsid w:val="31707DDD"/>
    <w:rsid w:val="31C854D0"/>
    <w:rsid w:val="31DB128C"/>
    <w:rsid w:val="322748ED"/>
    <w:rsid w:val="32D65321"/>
    <w:rsid w:val="33105381"/>
    <w:rsid w:val="335C6818"/>
    <w:rsid w:val="33AD497E"/>
    <w:rsid w:val="33C61EE3"/>
    <w:rsid w:val="342804A8"/>
    <w:rsid w:val="344F3C87"/>
    <w:rsid w:val="346D4B12"/>
    <w:rsid w:val="3518676F"/>
    <w:rsid w:val="3521576F"/>
    <w:rsid w:val="35380BBF"/>
    <w:rsid w:val="35542D7C"/>
    <w:rsid w:val="35866730"/>
    <w:rsid w:val="35BC70FA"/>
    <w:rsid w:val="35C67F79"/>
    <w:rsid w:val="363870C8"/>
    <w:rsid w:val="36932551"/>
    <w:rsid w:val="36A6094E"/>
    <w:rsid w:val="37922808"/>
    <w:rsid w:val="37BD7DAD"/>
    <w:rsid w:val="37BF7375"/>
    <w:rsid w:val="37F214F9"/>
    <w:rsid w:val="37F92887"/>
    <w:rsid w:val="38835A75"/>
    <w:rsid w:val="390414E4"/>
    <w:rsid w:val="390C65EA"/>
    <w:rsid w:val="39E10255"/>
    <w:rsid w:val="39FF2609"/>
    <w:rsid w:val="3A8D375B"/>
    <w:rsid w:val="3AD153F6"/>
    <w:rsid w:val="3B263C82"/>
    <w:rsid w:val="3B295232"/>
    <w:rsid w:val="3B392F9B"/>
    <w:rsid w:val="3B445DB0"/>
    <w:rsid w:val="3B716BD9"/>
    <w:rsid w:val="3BAB3E99"/>
    <w:rsid w:val="3BB32D4D"/>
    <w:rsid w:val="3BFE7BEA"/>
    <w:rsid w:val="3C2854E9"/>
    <w:rsid w:val="3C8B5A78"/>
    <w:rsid w:val="3CA1704A"/>
    <w:rsid w:val="3CD1278F"/>
    <w:rsid w:val="3D0A2E41"/>
    <w:rsid w:val="3D231443"/>
    <w:rsid w:val="3D4E1562"/>
    <w:rsid w:val="3D6407A3"/>
    <w:rsid w:val="3D711112"/>
    <w:rsid w:val="3DDC47DD"/>
    <w:rsid w:val="3DE73182"/>
    <w:rsid w:val="3E506F79"/>
    <w:rsid w:val="3EC62D97"/>
    <w:rsid w:val="3EEF7149"/>
    <w:rsid w:val="3F06588A"/>
    <w:rsid w:val="3F2D7F55"/>
    <w:rsid w:val="3F85058F"/>
    <w:rsid w:val="3FA00970"/>
    <w:rsid w:val="409273D5"/>
    <w:rsid w:val="40955117"/>
    <w:rsid w:val="409A6354"/>
    <w:rsid w:val="40A92F99"/>
    <w:rsid w:val="418A09F4"/>
    <w:rsid w:val="428B4A24"/>
    <w:rsid w:val="429B024B"/>
    <w:rsid w:val="429F227D"/>
    <w:rsid w:val="438D5938"/>
    <w:rsid w:val="44143463"/>
    <w:rsid w:val="4475773A"/>
    <w:rsid w:val="449D0A3E"/>
    <w:rsid w:val="462A00B0"/>
    <w:rsid w:val="467D28D5"/>
    <w:rsid w:val="471B77B2"/>
    <w:rsid w:val="472E3BD0"/>
    <w:rsid w:val="47DB78B4"/>
    <w:rsid w:val="47EC7D13"/>
    <w:rsid w:val="47F364C0"/>
    <w:rsid w:val="48141018"/>
    <w:rsid w:val="48CE11C6"/>
    <w:rsid w:val="48E409EA"/>
    <w:rsid w:val="49867CF3"/>
    <w:rsid w:val="4AAA1891"/>
    <w:rsid w:val="4B7E5126"/>
    <w:rsid w:val="4C003D8D"/>
    <w:rsid w:val="4CBD4AF1"/>
    <w:rsid w:val="4CD945DE"/>
    <w:rsid w:val="4E593C28"/>
    <w:rsid w:val="4EB60048"/>
    <w:rsid w:val="4F2064F4"/>
    <w:rsid w:val="4FBD1B21"/>
    <w:rsid w:val="4FFC729B"/>
    <w:rsid w:val="509264D2"/>
    <w:rsid w:val="51051E45"/>
    <w:rsid w:val="510E398A"/>
    <w:rsid w:val="512F0C70"/>
    <w:rsid w:val="51A4340C"/>
    <w:rsid w:val="52CF270B"/>
    <w:rsid w:val="54197041"/>
    <w:rsid w:val="541F6D7A"/>
    <w:rsid w:val="547F0B7F"/>
    <w:rsid w:val="5488491F"/>
    <w:rsid w:val="548D63DA"/>
    <w:rsid w:val="54FE2E33"/>
    <w:rsid w:val="556233C2"/>
    <w:rsid w:val="557118DA"/>
    <w:rsid w:val="55B856D8"/>
    <w:rsid w:val="55CE2806"/>
    <w:rsid w:val="55F8755D"/>
    <w:rsid w:val="563805C7"/>
    <w:rsid w:val="56C9121F"/>
    <w:rsid w:val="56CE4A87"/>
    <w:rsid w:val="57B2668A"/>
    <w:rsid w:val="5806097D"/>
    <w:rsid w:val="584D65AC"/>
    <w:rsid w:val="5870229A"/>
    <w:rsid w:val="58FF53CC"/>
    <w:rsid w:val="5937422C"/>
    <w:rsid w:val="5980475F"/>
    <w:rsid w:val="59C7413C"/>
    <w:rsid w:val="59FD7B5D"/>
    <w:rsid w:val="5A7C4F26"/>
    <w:rsid w:val="5AC73CC7"/>
    <w:rsid w:val="5B170575"/>
    <w:rsid w:val="5B5A6B0F"/>
    <w:rsid w:val="5BBA55DA"/>
    <w:rsid w:val="5BDE751B"/>
    <w:rsid w:val="5C355153"/>
    <w:rsid w:val="5D4B0BE0"/>
    <w:rsid w:val="5EDA3111"/>
    <w:rsid w:val="5EEB4428"/>
    <w:rsid w:val="5EEF48A7"/>
    <w:rsid w:val="5F4F1F59"/>
    <w:rsid w:val="5FDE3F8D"/>
    <w:rsid w:val="5FF65528"/>
    <w:rsid w:val="608D150F"/>
    <w:rsid w:val="60A768C7"/>
    <w:rsid w:val="61FC694D"/>
    <w:rsid w:val="62B86D17"/>
    <w:rsid w:val="62BD2580"/>
    <w:rsid w:val="62F92E8C"/>
    <w:rsid w:val="63816D4D"/>
    <w:rsid w:val="639B5896"/>
    <w:rsid w:val="63A412B9"/>
    <w:rsid w:val="64112ABA"/>
    <w:rsid w:val="64414AEB"/>
    <w:rsid w:val="64D366EF"/>
    <w:rsid w:val="64EC2C9B"/>
    <w:rsid w:val="657B5DDA"/>
    <w:rsid w:val="658D7F5D"/>
    <w:rsid w:val="668F4079"/>
    <w:rsid w:val="66F422E8"/>
    <w:rsid w:val="672A3D18"/>
    <w:rsid w:val="67B57CC9"/>
    <w:rsid w:val="67C9107F"/>
    <w:rsid w:val="6A5A6906"/>
    <w:rsid w:val="6B036F9E"/>
    <w:rsid w:val="6B360F09"/>
    <w:rsid w:val="6B9E2823"/>
    <w:rsid w:val="6C05287B"/>
    <w:rsid w:val="6C066099"/>
    <w:rsid w:val="6DA85BDA"/>
    <w:rsid w:val="6E1B45FE"/>
    <w:rsid w:val="6E3A0F28"/>
    <w:rsid w:val="6E5673E4"/>
    <w:rsid w:val="6E900B48"/>
    <w:rsid w:val="6EA6036C"/>
    <w:rsid w:val="6EF07839"/>
    <w:rsid w:val="6F667AFB"/>
    <w:rsid w:val="6F991C7F"/>
    <w:rsid w:val="6FBE3493"/>
    <w:rsid w:val="704F233D"/>
    <w:rsid w:val="70F71F0C"/>
    <w:rsid w:val="710650F2"/>
    <w:rsid w:val="714300F4"/>
    <w:rsid w:val="71535E5D"/>
    <w:rsid w:val="71752277"/>
    <w:rsid w:val="71810C1C"/>
    <w:rsid w:val="731955B0"/>
    <w:rsid w:val="73770529"/>
    <w:rsid w:val="74404DBF"/>
    <w:rsid w:val="74E7348C"/>
    <w:rsid w:val="75466405"/>
    <w:rsid w:val="76B20403"/>
    <w:rsid w:val="776808B4"/>
    <w:rsid w:val="778E5E41"/>
    <w:rsid w:val="77AD4519"/>
    <w:rsid w:val="79CE4C1B"/>
    <w:rsid w:val="7A57076C"/>
    <w:rsid w:val="7A7237F8"/>
    <w:rsid w:val="7A8E68A8"/>
    <w:rsid w:val="7B1D5512"/>
    <w:rsid w:val="7B8D0FBD"/>
    <w:rsid w:val="7BCD3ECB"/>
    <w:rsid w:val="7BFD4A44"/>
    <w:rsid w:val="7C127041"/>
    <w:rsid w:val="7C3D3992"/>
    <w:rsid w:val="7C776EA4"/>
    <w:rsid w:val="7D584F27"/>
    <w:rsid w:val="7D902913"/>
    <w:rsid w:val="7DBD3900"/>
    <w:rsid w:val="7DC87A78"/>
    <w:rsid w:val="7DF06FDF"/>
    <w:rsid w:val="7F8042C1"/>
    <w:rsid w:val="7F94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pPr>
      <w:spacing w:before="120" w:after="120"/>
      <w:jc w:val="left"/>
    </w:pPr>
    <w:rPr>
      <w:b/>
      <w:caps/>
      <w:sz w:val="20"/>
    </w:rPr>
  </w:style>
  <w:style w:type="paragraph" w:styleId="3">
    <w:name w:val="annotation text"/>
    <w:basedOn w:val="1"/>
    <w:autoRedefine/>
    <w:qFormat/>
    <w:uiPriority w:val="0"/>
    <w:pPr>
      <w:jc w:val="left"/>
    </w:p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7">
    <w:name w:val="font51"/>
    <w:basedOn w:val="6"/>
    <w:autoRedefine/>
    <w:qFormat/>
    <w:uiPriority w:val="0"/>
    <w:rPr>
      <w:rFonts w:hint="eastAsia" w:ascii="方正仿宋_GB2312" w:hAnsi="方正仿宋_GB2312" w:eastAsia="方正仿宋_GB2312" w:cs="方正仿宋_GB2312"/>
      <w:color w:val="FF0000"/>
      <w:sz w:val="24"/>
      <w:szCs w:val="24"/>
      <w:u w:val="none"/>
    </w:rPr>
  </w:style>
  <w:style w:type="character" w:customStyle="1" w:styleId="8">
    <w:name w:val="font11"/>
    <w:basedOn w:val="6"/>
    <w:autoRedefine/>
    <w:qFormat/>
    <w:uiPriority w:val="0"/>
    <w:rPr>
      <w:rFonts w:hint="eastAsia" w:ascii="方正仿宋_GB2312" w:hAnsi="方正仿宋_GB2312" w:eastAsia="方正仿宋_GB2312" w:cs="方正仿宋_GB2312"/>
      <w:color w:val="000000"/>
      <w:sz w:val="24"/>
      <w:szCs w:val="24"/>
      <w:u w:val="none"/>
    </w:rPr>
  </w:style>
  <w:style w:type="character" w:customStyle="1" w:styleId="9">
    <w:name w:val="font41"/>
    <w:basedOn w:val="6"/>
    <w:autoRedefine/>
    <w:qFormat/>
    <w:uiPriority w:val="0"/>
    <w:rPr>
      <w:rFonts w:hint="eastAsia" w:ascii="方正仿宋_GB2312" w:hAnsi="方正仿宋_GB2312" w:eastAsia="方正仿宋_GB2312" w:cs="方正仿宋_GB2312"/>
      <w:color w:val="FF0000"/>
      <w:sz w:val="24"/>
      <w:szCs w:val="24"/>
      <w:u w:val="none"/>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788</Words>
  <Characters>852</Characters>
  <Lines>0</Lines>
  <Paragraphs>0</Paragraphs>
  <TotalTime>25</TotalTime>
  <ScaleCrop>false</ScaleCrop>
  <LinksUpToDate>false</LinksUpToDate>
  <CharactersWithSpaces>993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2024-03-01T08:45:00Z</dcterms:created>
  <dc:creator>薛慧</dc:creator>
  <cp:lastModifiedBy>Lgsbdmsq</cp:lastModifiedBy>
  <cp:lastPrinted>2025-07-14T03:56:00Z</cp:lastPrinted>
  <dcterms:modified xsi:type="dcterms:W3CDTF">2025-08-26T03:28:45Z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489F753A9B3747FE9746465FA291608E_13</vt:lpwstr>
  </property>
  <property fmtid="{D5CDD505-2E9C-101B-9397-08002B2CF9AE}" pid="4" name="KSOTemplateDocerSaveRecord">
    <vt:lpwstr>eyJoZGlkIjoiMmQxMmE3MmQzMTE2NTU2Zjc3YzU2NDY0ZGIxOGUyOGQiLCJ1c2VySWQiOiIyMDc1MjA5MTMifQ==</vt:lpwstr>
  </property>
</Properties>
</file>