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47B19">
      <w:pPr>
        <w:jc w:val="center"/>
        <w:rPr>
          <w:rFonts w:hint="eastAsia" w:ascii="宋体" w:hAnsi="宋体" w:eastAsia="宋体" w:cs="宋体"/>
          <w:b/>
          <w:color w:val="000000"/>
          <w:kern w:val="0"/>
          <w:sz w:val="36"/>
          <w:szCs w:val="36"/>
          <w:lang w:bidi="ar"/>
        </w:rPr>
      </w:pPr>
      <w:r>
        <w:rPr>
          <w:rFonts w:hint="eastAsia" w:ascii="宋体" w:hAnsi="宋体" w:eastAsia="宋体" w:cs="宋体"/>
          <w:b/>
          <w:color w:val="000000"/>
          <w:kern w:val="0"/>
          <w:sz w:val="36"/>
          <w:szCs w:val="36"/>
          <w:lang w:bidi="ar"/>
        </w:rPr>
        <w:t>鄂托克前旗青少年科普项目</w:t>
      </w:r>
    </w:p>
    <w:p w14:paraId="77A5E635">
      <w:pPr>
        <w:jc w:val="center"/>
        <w:rPr>
          <w:rFonts w:hint="eastAsia" w:ascii="宋体" w:hAnsi="宋体" w:eastAsia="宋体" w:cs="宋体"/>
          <w:b/>
          <w:color w:val="000000"/>
          <w:kern w:val="0"/>
          <w:sz w:val="36"/>
          <w:szCs w:val="36"/>
          <w:lang w:bidi="ar"/>
        </w:rPr>
      </w:pPr>
      <w:r>
        <w:rPr>
          <w:rFonts w:hint="eastAsia" w:ascii="宋体" w:hAnsi="宋体" w:eastAsia="宋体" w:cs="宋体"/>
          <w:b/>
          <w:color w:val="000000"/>
          <w:kern w:val="0"/>
          <w:sz w:val="36"/>
          <w:szCs w:val="36"/>
          <w:lang w:bidi="ar"/>
        </w:rPr>
        <w:t>拆除工程</w:t>
      </w:r>
    </w:p>
    <w:p w14:paraId="497DBB67">
      <w:pPr>
        <w:jc w:val="center"/>
        <w:rPr>
          <w:rFonts w:ascii="宋体" w:hAnsi="宋体" w:eastAsia="宋体" w:cs="宋体"/>
          <w:b/>
          <w:bCs/>
          <w:sz w:val="36"/>
          <w:szCs w:val="36"/>
        </w:rPr>
      </w:pPr>
      <w:r>
        <w:rPr>
          <w:rFonts w:hint="eastAsia" w:ascii="宋体" w:hAnsi="宋体" w:eastAsia="宋体" w:cs="宋体"/>
          <w:b/>
          <w:color w:val="000000"/>
          <w:kern w:val="0"/>
          <w:sz w:val="36"/>
          <w:szCs w:val="36"/>
          <w:lang w:bidi="ar"/>
        </w:rPr>
        <w:t>招标工程量清单编制说明</w:t>
      </w:r>
      <w:bookmarkStart w:id="0" w:name="_GoBack"/>
      <w:bookmarkEnd w:id="0"/>
    </w:p>
    <w:p w14:paraId="7C15FAD0">
      <w:pPr>
        <w:jc w:val="center"/>
        <w:rPr>
          <w:rFonts w:hint="eastAsia" w:ascii="宋体" w:hAnsi="宋体" w:eastAsia="宋体" w:cs="宋体"/>
          <w:b/>
          <w:color w:val="000000"/>
          <w:kern w:val="0"/>
          <w:sz w:val="36"/>
          <w:szCs w:val="36"/>
          <w:lang w:bidi="ar"/>
        </w:rPr>
      </w:pPr>
    </w:p>
    <w:p w14:paraId="018CD9A1">
      <w:pPr>
        <w:pStyle w:val="12"/>
        <w:numPr>
          <w:ilvl w:val="0"/>
          <w:numId w:val="1"/>
        </w:numPr>
        <w:snapToGrid/>
        <w:spacing w:line="540" w:lineRule="exact"/>
        <w:ind w:firstLine="0" w:firstLineChars="0"/>
        <w:rPr>
          <w:rFonts w:ascii="宋体" w:hAnsi="宋体" w:eastAsia="宋体" w:cs="宋体"/>
          <w:b/>
          <w:sz w:val="28"/>
          <w:szCs w:val="28"/>
        </w:rPr>
      </w:pPr>
      <w:r>
        <w:rPr>
          <w:rFonts w:hint="eastAsia" w:ascii="宋体" w:hAnsi="宋体" w:eastAsia="宋体" w:cs="宋体"/>
          <w:b/>
          <w:sz w:val="28"/>
          <w:szCs w:val="28"/>
        </w:rPr>
        <w:t>工程概况</w:t>
      </w:r>
    </w:p>
    <w:p w14:paraId="254E3B26">
      <w:pPr>
        <w:snapToGrid/>
        <w:spacing w:line="540" w:lineRule="exact"/>
        <w:ind w:firstLine="560" w:firstLineChars="200"/>
        <w:rPr>
          <w:rFonts w:hint="eastAsia" w:ascii="宋体" w:hAnsi="宋体" w:eastAsia="宋体" w:cs="宋体"/>
          <w:sz w:val="28"/>
          <w:szCs w:val="28"/>
        </w:rPr>
      </w:pPr>
      <w:r>
        <w:rPr>
          <w:rFonts w:hint="eastAsia" w:ascii="宋体" w:hAnsi="宋体" w:eastAsia="宋体" w:cs="宋体"/>
          <w:color w:val="auto"/>
          <w:sz w:val="28"/>
          <w:szCs w:val="28"/>
        </w:rPr>
        <w:t>工程名称：</w:t>
      </w:r>
      <w:r>
        <w:rPr>
          <w:rFonts w:hint="eastAsia" w:ascii="宋体" w:hAnsi="宋体" w:eastAsia="宋体" w:cs="宋体"/>
          <w:sz w:val="28"/>
          <w:szCs w:val="28"/>
        </w:rPr>
        <w:t>鄂托克前旗青少年科普项目拆除工程</w:t>
      </w:r>
    </w:p>
    <w:p w14:paraId="3C5AFF0B">
      <w:pPr>
        <w:snapToGrid/>
        <w:spacing w:line="540" w:lineRule="exact"/>
        <w:ind w:firstLine="560" w:firstLineChars="200"/>
        <w:rPr>
          <w:rFonts w:ascii="宋体" w:hAnsi="宋体" w:eastAsia="宋体" w:cs="宋体"/>
          <w:color w:val="auto"/>
          <w:sz w:val="28"/>
          <w:szCs w:val="28"/>
        </w:rPr>
      </w:pPr>
      <w:r>
        <w:rPr>
          <w:rFonts w:hint="eastAsia" w:ascii="宋体" w:hAnsi="宋体" w:eastAsia="宋体" w:cs="宋体"/>
          <w:sz w:val="28"/>
          <w:szCs w:val="28"/>
        </w:rPr>
        <w:t>工程地点：</w:t>
      </w:r>
      <w:r>
        <w:rPr>
          <w:rFonts w:hint="eastAsia" w:ascii="宋体" w:hAnsi="宋体" w:eastAsia="宋体" w:cs="宋体"/>
          <w:color w:val="auto"/>
          <w:sz w:val="28"/>
          <w:szCs w:val="28"/>
          <w:lang w:val="en-US" w:eastAsia="zh-CN"/>
        </w:rPr>
        <w:t>鄂托克前旗</w:t>
      </w:r>
    </w:p>
    <w:p w14:paraId="51F04DBC">
      <w:pPr>
        <w:pStyle w:val="7"/>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ascii="宋体" w:hAnsi="宋体" w:eastAsia="宋体" w:cs="宋体"/>
          <w:color w:val="0000FF"/>
          <w:sz w:val="28"/>
          <w:szCs w:val="28"/>
          <w:highlight w:val="cyan"/>
        </w:rPr>
      </w:pPr>
      <w:r>
        <w:rPr>
          <w:rFonts w:hint="eastAsia" w:ascii="宋体" w:hAnsi="宋体" w:eastAsia="宋体" w:cs="宋体"/>
          <w:color w:val="auto"/>
          <w:sz w:val="28"/>
          <w:szCs w:val="28"/>
        </w:rPr>
        <w:t>工程概况：</w:t>
      </w:r>
      <w:r>
        <w:rPr>
          <w:rFonts w:hint="eastAsia" w:ascii="宋体" w:hAnsi="宋体" w:eastAsia="宋体" w:cs="宋体"/>
          <w:color w:val="auto"/>
          <w:sz w:val="28"/>
          <w:szCs w:val="28"/>
          <w:lang w:val="en-US" w:eastAsia="zh-CN"/>
        </w:rPr>
        <w:t>拆除</w:t>
      </w:r>
      <w:r>
        <w:rPr>
          <w:rFonts w:hint="eastAsia" w:ascii="宋体" w:hAnsi="宋体" w:eastAsia="宋体" w:cs="宋体"/>
          <w:color w:val="auto"/>
          <w:sz w:val="28"/>
          <w:szCs w:val="28"/>
        </w:rPr>
        <w:t>内容主要包括招标范围内</w:t>
      </w:r>
      <w:r>
        <w:rPr>
          <w:rFonts w:hint="eastAsia" w:ascii="宋体" w:hAnsi="宋体" w:eastAsia="宋体" w:cs="宋体"/>
          <w:color w:val="auto"/>
          <w:sz w:val="28"/>
          <w:szCs w:val="28"/>
          <w:lang w:val="en-US" w:eastAsia="zh-CN"/>
        </w:rPr>
        <w:t>墙体、吊顶、地面、管道、家具、卫生器具等的拆除、外运</w:t>
      </w:r>
      <w:r>
        <w:rPr>
          <w:rFonts w:hint="eastAsia" w:ascii="宋体" w:hAnsi="宋体" w:eastAsia="宋体" w:cs="宋体"/>
          <w:color w:val="333333"/>
          <w:kern w:val="2"/>
          <w:sz w:val="28"/>
          <w:szCs w:val="28"/>
          <w:highlight w:val="none"/>
          <w:lang w:val="en-US" w:eastAsia="zh-CN" w:bidi="ar-SA"/>
        </w:rPr>
        <w:t>。</w:t>
      </w:r>
    </w:p>
    <w:p w14:paraId="7F991C82">
      <w:pPr>
        <w:pStyle w:val="12"/>
        <w:snapToGrid/>
        <w:spacing w:line="540" w:lineRule="exact"/>
        <w:ind w:firstLine="0" w:firstLineChars="0"/>
        <w:rPr>
          <w:rFonts w:ascii="宋体" w:hAnsi="宋体" w:eastAsia="宋体" w:cs="宋体"/>
          <w:b/>
          <w:sz w:val="28"/>
          <w:szCs w:val="28"/>
        </w:rPr>
      </w:pPr>
      <w:r>
        <w:rPr>
          <w:rFonts w:hint="eastAsia" w:ascii="宋体" w:hAnsi="宋体" w:eastAsia="宋体" w:cs="宋体"/>
          <w:b/>
          <w:sz w:val="28"/>
          <w:szCs w:val="28"/>
        </w:rPr>
        <w:t>二、编制范围</w:t>
      </w:r>
    </w:p>
    <w:p w14:paraId="2F237C44">
      <w:pPr>
        <w:pStyle w:val="12"/>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default" w:ascii="宋体" w:hAnsi="宋体" w:eastAsia="宋体" w:cs="宋体"/>
          <w:b/>
          <w:color w:val="0000FF"/>
          <w:sz w:val="28"/>
          <w:szCs w:val="28"/>
          <w:highlight w:val="none"/>
          <w:lang w:val="en-US" w:eastAsia="zh-CN"/>
        </w:rPr>
      </w:pPr>
      <w:r>
        <w:rPr>
          <w:rFonts w:hint="eastAsia" w:ascii="宋体" w:hAnsi="宋体" w:eastAsia="宋体" w:cs="宋体"/>
          <w:color w:val="333333"/>
          <w:kern w:val="2"/>
          <w:sz w:val="28"/>
          <w:szCs w:val="28"/>
          <w:highlight w:val="none"/>
          <w:lang w:val="en-US" w:eastAsia="zh-CN" w:bidi="ar-SA"/>
        </w:rPr>
        <w:t>本招标项目包括拆除建筑内除承重以外所有内容。</w:t>
      </w:r>
    </w:p>
    <w:p w14:paraId="66A9B233">
      <w:pPr>
        <w:snapToGrid/>
        <w:spacing w:line="540" w:lineRule="exact"/>
        <w:rPr>
          <w:rFonts w:ascii="宋体" w:hAnsi="宋体" w:eastAsia="宋体" w:cs="宋体"/>
          <w:b/>
          <w:sz w:val="28"/>
          <w:szCs w:val="28"/>
        </w:rPr>
      </w:pPr>
      <w:r>
        <w:rPr>
          <w:rFonts w:hint="eastAsia" w:ascii="宋体" w:hAnsi="宋体" w:eastAsia="宋体" w:cs="宋体"/>
          <w:b/>
          <w:sz w:val="28"/>
          <w:szCs w:val="28"/>
        </w:rPr>
        <w:t>三、</w:t>
      </w:r>
      <w:r>
        <w:rPr>
          <w:rFonts w:hint="eastAsia" w:ascii="宋体" w:hAnsi="宋体" w:eastAsia="宋体" w:cs="宋体"/>
          <w:b/>
          <w:sz w:val="28"/>
          <w:szCs w:val="28"/>
          <w:lang w:val="en-US" w:eastAsia="zh-CN"/>
        </w:rPr>
        <w:t>招标控制价</w:t>
      </w:r>
      <w:r>
        <w:rPr>
          <w:rFonts w:hint="eastAsia" w:ascii="宋体" w:hAnsi="宋体" w:eastAsia="宋体" w:cs="宋体"/>
          <w:b/>
          <w:sz w:val="28"/>
          <w:szCs w:val="28"/>
        </w:rPr>
        <w:t>编制依据</w:t>
      </w:r>
    </w:p>
    <w:p w14:paraId="6EC6C8D1">
      <w:pPr>
        <w:tabs>
          <w:tab w:val="left" w:pos="426"/>
        </w:tabs>
        <w:snapToGrid/>
        <w:spacing w:line="540" w:lineRule="exact"/>
        <w:ind w:firstLine="560" w:firstLineChars="200"/>
        <w:rPr>
          <w:rFonts w:ascii="宋体" w:hAnsi="宋体" w:eastAsia="宋体" w:cs="宋体"/>
          <w:sz w:val="28"/>
          <w:szCs w:val="28"/>
        </w:rPr>
      </w:pPr>
      <w:r>
        <w:rPr>
          <w:rFonts w:hint="eastAsia" w:ascii="宋体" w:hAnsi="宋体" w:eastAsia="宋体" w:cs="宋体"/>
          <w:sz w:val="28"/>
          <w:szCs w:val="28"/>
        </w:rPr>
        <w:t>1</w:t>
      </w:r>
      <w:r>
        <w:rPr>
          <w:rFonts w:hint="eastAsia" w:ascii="宋体" w:hAnsi="宋体" w:cs="宋体"/>
          <w:sz w:val="28"/>
          <w:szCs w:val="28"/>
        </w:rPr>
        <w:t>、</w:t>
      </w:r>
      <w:r>
        <w:rPr>
          <w:rFonts w:hint="eastAsia" w:ascii="宋体" w:hAnsi="宋体" w:eastAsia="宋体" w:cs="宋体"/>
          <w:color w:val="333333"/>
          <w:kern w:val="2"/>
          <w:sz w:val="28"/>
          <w:szCs w:val="28"/>
          <w:highlight w:val="none"/>
          <w:lang w:val="en-US" w:eastAsia="zh-CN" w:bidi="ar-SA"/>
        </w:rPr>
        <w:t>《建设工程工程量清单计价规范》GB50500-2013、《房屋建筑与装饰工程工程量清单计算规范》GB50854-2013、《通用安装工程工程量计算规范》GB50856-2013、《市政工程工程量计算规范》GB 50857-2013、《园林绿化工程工程量计算规范》GB 50858-2013、及相关的清单计价编制依据。</w:t>
      </w:r>
    </w:p>
    <w:p w14:paraId="6A401E91">
      <w:pPr>
        <w:pStyle w:val="7"/>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hint="eastAsia" w:ascii="宋体" w:hAnsi="宋体" w:eastAsia="宋体" w:cs="宋体"/>
          <w:color w:val="333333"/>
          <w:kern w:val="2"/>
          <w:sz w:val="28"/>
          <w:szCs w:val="28"/>
          <w:highlight w:val="none"/>
          <w:lang w:val="en-US" w:eastAsia="zh-CN" w:bidi="ar-SA"/>
        </w:rPr>
      </w:pPr>
      <w:r>
        <w:rPr>
          <w:rFonts w:hint="eastAsia" w:ascii="宋体" w:hAnsi="宋体" w:eastAsia="宋体" w:cs="宋体"/>
          <w:sz w:val="28"/>
          <w:szCs w:val="28"/>
          <w:lang w:val="en-US" w:eastAsia="zh-CN"/>
        </w:rPr>
        <w:t>2</w:t>
      </w:r>
      <w:r>
        <w:rPr>
          <w:rFonts w:hint="eastAsia" w:ascii="宋体" w:hAnsi="宋体" w:eastAsia="宋体" w:cs="宋体"/>
          <w:sz w:val="28"/>
          <w:szCs w:val="28"/>
        </w:rPr>
        <w:t>、</w:t>
      </w:r>
      <w:r>
        <w:rPr>
          <w:rFonts w:hint="eastAsia" w:ascii="宋体" w:hAnsi="宋体" w:eastAsia="宋体" w:cs="宋体"/>
          <w:color w:val="333333"/>
          <w:kern w:val="2"/>
          <w:sz w:val="28"/>
          <w:szCs w:val="28"/>
          <w:highlight w:val="none"/>
          <w:lang w:val="en-US" w:eastAsia="zh-CN" w:bidi="ar-SA"/>
        </w:rPr>
        <w:t>《内蒙古自治区房屋修缮工程预算定额（2021）》</w:t>
      </w:r>
    </w:p>
    <w:p w14:paraId="71AD37DB">
      <w:pPr>
        <w:pStyle w:val="7"/>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hint="eastAsia"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3、《内蒙古自治区市政维修养护工程预算定额（2021）》</w:t>
      </w:r>
    </w:p>
    <w:p w14:paraId="1D79614D">
      <w:pPr>
        <w:pStyle w:val="7"/>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hint="eastAsia" w:ascii="宋体" w:hAnsi="宋体" w:eastAsia="宋体" w:cs="宋体"/>
          <w:color w:val="333333"/>
          <w:kern w:val="2"/>
          <w:sz w:val="28"/>
          <w:szCs w:val="28"/>
          <w:highlight w:val="none"/>
          <w:lang w:val="en-US" w:eastAsia="zh-CN" w:bidi="ar-SA"/>
        </w:rPr>
      </w:pPr>
      <w:r>
        <w:rPr>
          <w:rFonts w:hint="eastAsia" w:ascii="宋体" w:hAnsi="宋体" w:eastAsia="宋体" w:cs="宋体"/>
          <w:color w:val="333333"/>
          <w:kern w:val="2"/>
          <w:sz w:val="28"/>
          <w:szCs w:val="28"/>
          <w:highlight w:val="none"/>
          <w:lang w:val="en-US" w:eastAsia="zh-CN" w:bidi="ar-SA"/>
        </w:rPr>
        <w:t>4、《内蒙古自治区建设工程费用定额（2017）》</w:t>
      </w:r>
    </w:p>
    <w:p w14:paraId="26168CCF">
      <w:pPr>
        <w:tabs>
          <w:tab w:val="left" w:pos="426"/>
        </w:tabs>
        <w:snapToGrid/>
        <w:spacing w:line="540" w:lineRule="exact"/>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、内建标【2019】113号关于调整内蒙古自治区建设工程计价依据增值税税率的通知。</w:t>
      </w:r>
    </w:p>
    <w:p w14:paraId="71DFE3AE">
      <w:pPr>
        <w:tabs>
          <w:tab w:val="left" w:pos="426"/>
        </w:tabs>
        <w:snapToGrid/>
        <w:spacing w:line="540" w:lineRule="exact"/>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、内建标函【2019】468号文件关于调整内蒙古自治区建设工程计价依据规费中养老保险费率的通知。</w:t>
      </w:r>
    </w:p>
    <w:p w14:paraId="59C2CCCF">
      <w:pPr>
        <w:tabs>
          <w:tab w:val="left" w:pos="426"/>
        </w:tabs>
        <w:snapToGrid/>
        <w:spacing w:line="540" w:lineRule="exact"/>
        <w:ind w:firstLine="560" w:firstLineChars="200"/>
        <w:rPr>
          <w:rFonts w:hint="eastAsia" w:ascii="宋体" w:hAnsi="宋体" w:eastAsia="宋体" w:cs="宋体"/>
          <w:sz w:val="28"/>
          <w:szCs w:val="28"/>
        </w:rPr>
      </w:pPr>
      <w:r>
        <w:rPr>
          <w:rFonts w:hint="eastAsia" w:ascii="宋体" w:hAnsi="宋体" w:cs="宋体"/>
          <w:sz w:val="28"/>
          <w:szCs w:val="28"/>
          <w:lang w:val="en-US" w:eastAsia="zh-CN"/>
        </w:rPr>
        <w:t>7</w:t>
      </w:r>
      <w:r>
        <w:rPr>
          <w:rFonts w:hint="eastAsia" w:ascii="宋体" w:hAnsi="宋体" w:cs="宋体"/>
          <w:sz w:val="28"/>
          <w:szCs w:val="28"/>
        </w:rPr>
        <w:t>、</w:t>
      </w:r>
      <w:r>
        <w:rPr>
          <w:rFonts w:hint="eastAsia" w:ascii="宋体" w:hAnsi="宋体" w:eastAsia="宋体" w:cs="宋体"/>
          <w:sz w:val="28"/>
          <w:szCs w:val="28"/>
        </w:rPr>
        <w:t>内建标函【2021】148号内蒙古自治区住房和城乡建设厅关于调整内蒙古自治区建设工程现行预算定额人工费的通知。</w:t>
      </w:r>
    </w:p>
    <w:p w14:paraId="40EB5D1F">
      <w:pPr>
        <w:pStyle w:val="7"/>
        <w:keepNext w:val="0"/>
        <w:keepLines w:val="0"/>
        <w:pageBreakBefore w:val="0"/>
        <w:widowControl w:val="0"/>
        <w:kinsoku/>
        <w:wordWrap/>
        <w:overflowPunct/>
        <w:topLinePunct w:val="0"/>
        <w:autoSpaceDE/>
        <w:autoSpaceDN/>
        <w:bidi w:val="0"/>
        <w:adjustRightInd w:val="0"/>
        <w:snapToGrid w:val="0"/>
        <w:spacing w:line="500" w:lineRule="exact"/>
        <w:ind w:left="0" w:leftChars="0" w:firstLine="560" w:firstLineChars="200"/>
        <w:textAlignment w:val="auto"/>
        <w:rPr>
          <w:rFonts w:hint="eastAsia" w:ascii="宋体" w:hAnsi="宋体" w:eastAsia="宋体" w:cs="宋体"/>
          <w:sz w:val="28"/>
          <w:szCs w:val="28"/>
        </w:rPr>
      </w:pPr>
      <w:r>
        <w:rPr>
          <w:rFonts w:hint="eastAsia" w:ascii="宋体" w:hAnsi="宋体" w:eastAsia="宋体" w:cs="宋体"/>
          <w:color w:val="333333"/>
          <w:kern w:val="2"/>
          <w:sz w:val="28"/>
          <w:szCs w:val="28"/>
          <w:highlight w:val="none"/>
          <w:lang w:val="en-US" w:eastAsia="zh-CN" w:bidi="ar-SA"/>
        </w:rPr>
        <w:t>8、其他内蒙古现行计价定额标准及政策性调整文件。</w:t>
      </w:r>
    </w:p>
    <w:p w14:paraId="34DFFE81">
      <w:pPr>
        <w:snapToGrid/>
        <w:spacing w:line="540" w:lineRule="exact"/>
        <w:rPr>
          <w:rFonts w:ascii="宋体" w:hAnsi="宋体" w:eastAsia="宋体" w:cs="宋体"/>
          <w:b/>
          <w:sz w:val="28"/>
          <w:szCs w:val="28"/>
        </w:rPr>
      </w:pPr>
      <w:r>
        <w:rPr>
          <w:rFonts w:hint="eastAsia" w:ascii="宋体" w:hAnsi="宋体" w:eastAsia="宋体" w:cs="宋体"/>
          <w:b/>
          <w:sz w:val="28"/>
          <w:szCs w:val="28"/>
        </w:rPr>
        <w:t>四、材料计取</w:t>
      </w:r>
    </w:p>
    <w:p w14:paraId="2118D4A3">
      <w:pPr>
        <w:tabs>
          <w:tab w:val="left" w:pos="312"/>
        </w:tabs>
        <w:snapToGrid/>
        <w:spacing w:line="540" w:lineRule="exact"/>
        <w:ind w:firstLine="560" w:firstLineChars="200"/>
        <w:rPr>
          <w:rFonts w:hint="eastAsia" w:ascii="宋体" w:hAnsi="宋体" w:eastAsia="宋体" w:cs="宋体"/>
          <w:sz w:val="28"/>
          <w:szCs w:val="28"/>
          <w:lang w:eastAsia="zh-CN"/>
        </w:rPr>
      </w:pPr>
      <w:r>
        <w:rPr>
          <w:rFonts w:hint="eastAsia" w:ascii="宋体" w:hAnsi="宋体" w:cs="宋体"/>
          <w:sz w:val="28"/>
          <w:szCs w:val="28"/>
        </w:rPr>
        <w:t>1、</w:t>
      </w:r>
      <w:r>
        <w:rPr>
          <w:rFonts w:hint="eastAsia" w:ascii="宋体" w:hAnsi="宋体" w:eastAsia="宋体" w:cs="宋体"/>
          <w:sz w:val="28"/>
          <w:szCs w:val="28"/>
        </w:rPr>
        <w:t>本次招标项目中主要材料按《关于发布</w:t>
      </w:r>
      <w:r>
        <w:rPr>
          <w:rFonts w:hint="eastAsia" w:ascii="宋体" w:hAnsi="宋体" w:eastAsia="宋体" w:cs="宋体"/>
          <w:sz w:val="28"/>
          <w:szCs w:val="28"/>
          <w:lang w:val="en-US" w:eastAsia="zh-CN"/>
        </w:rPr>
        <w:t>鄂托克前旗</w:t>
      </w:r>
      <w:r>
        <w:rPr>
          <w:rFonts w:hint="eastAsia" w:ascii="宋体" w:hAnsi="宋体" w:eastAsia="宋体" w:cs="宋体"/>
          <w:sz w:val="28"/>
          <w:szCs w:val="28"/>
        </w:rPr>
        <w:t>地区二〇二</w:t>
      </w:r>
      <w:r>
        <w:rPr>
          <w:rFonts w:hint="eastAsia" w:ascii="宋体" w:hAnsi="宋体" w:eastAsia="宋体" w:cs="宋体"/>
          <w:sz w:val="28"/>
          <w:szCs w:val="28"/>
          <w:lang w:val="en-US" w:eastAsia="zh-CN"/>
        </w:rPr>
        <w:t>五</w:t>
      </w:r>
      <w:r>
        <w:rPr>
          <w:rFonts w:hint="eastAsia" w:ascii="宋体" w:hAnsi="宋体" w:eastAsia="宋体" w:cs="宋体"/>
          <w:sz w:val="28"/>
          <w:szCs w:val="28"/>
        </w:rPr>
        <w:t>年</w:t>
      </w:r>
      <w:r>
        <w:rPr>
          <w:rFonts w:hint="eastAsia" w:ascii="宋体" w:hAnsi="宋体" w:eastAsia="宋体" w:cs="宋体"/>
          <w:sz w:val="28"/>
          <w:szCs w:val="28"/>
          <w:lang w:val="en-US" w:eastAsia="zh-CN"/>
        </w:rPr>
        <w:t>七月</w:t>
      </w:r>
      <w:r>
        <w:rPr>
          <w:rFonts w:hint="eastAsia" w:ascii="宋体" w:hAnsi="宋体" w:eastAsia="宋体" w:cs="宋体"/>
          <w:sz w:val="28"/>
          <w:szCs w:val="28"/>
        </w:rPr>
        <w:t>工程造价信息的通知》计取</w:t>
      </w:r>
      <w:r>
        <w:rPr>
          <w:rFonts w:hint="eastAsia" w:ascii="宋体" w:hAnsi="宋体" w:eastAsia="宋体" w:cs="宋体"/>
          <w:sz w:val="28"/>
          <w:szCs w:val="28"/>
          <w:lang w:eastAsia="zh-CN"/>
        </w:rPr>
        <w:t>。</w:t>
      </w:r>
    </w:p>
    <w:p w14:paraId="15EADF03">
      <w:pPr>
        <w:snapToGrid/>
        <w:spacing w:line="540" w:lineRule="exact"/>
        <w:rPr>
          <w:rFonts w:ascii="宋体" w:hAnsi="宋体" w:eastAsia="宋体" w:cs="宋体"/>
          <w:b/>
          <w:sz w:val="28"/>
          <w:szCs w:val="28"/>
        </w:rPr>
      </w:pPr>
      <w:r>
        <w:rPr>
          <w:rFonts w:hint="eastAsia" w:ascii="宋体" w:hAnsi="宋体" w:eastAsia="宋体" w:cs="宋体"/>
          <w:b/>
          <w:sz w:val="28"/>
          <w:szCs w:val="28"/>
        </w:rPr>
        <w:t>五、其他项目费说明</w:t>
      </w:r>
    </w:p>
    <w:p w14:paraId="1EF35270">
      <w:pPr>
        <w:pStyle w:val="7"/>
        <w:snapToGrid/>
        <w:spacing w:line="540" w:lineRule="exact"/>
        <w:ind w:firstLine="560" w:firstLineChars="200"/>
        <w:rPr>
          <w:rFonts w:ascii="宋体" w:hAnsi="宋体" w:eastAsia="宋体" w:cs="宋体"/>
          <w:sz w:val="28"/>
          <w:szCs w:val="28"/>
          <w:highlight w:val="red"/>
        </w:rPr>
      </w:pPr>
      <w:r>
        <w:rPr>
          <w:rFonts w:hint="eastAsia" w:ascii="宋体" w:hAnsi="宋体" w:eastAsia="宋体" w:cs="宋体"/>
          <w:sz w:val="28"/>
          <w:szCs w:val="28"/>
        </w:rPr>
        <w:t>1、</w:t>
      </w:r>
      <w:r>
        <w:rPr>
          <w:rFonts w:hint="eastAsia" w:ascii="宋体" w:hAnsi="宋体" w:eastAsia="宋体" w:cs="宋体"/>
          <w:sz w:val="28"/>
          <w:szCs w:val="28"/>
          <w:highlight w:val="none"/>
        </w:rPr>
        <w:t>本次招标项目暂列金额：</w:t>
      </w:r>
      <w:r>
        <w:rPr>
          <w:rFonts w:hint="eastAsia" w:ascii="宋体" w:hAnsi="宋体" w:eastAsia="宋体" w:cs="宋体"/>
          <w:sz w:val="28"/>
          <w:szCs w:val="28"/>
          <w:highlight w:val="none"/>
          <w:lang w:val="en-US" w:eastAsia="zh-CN"/>
        </w:rPr>
        <w:t>11</w:t>
      </w:r>
      <w:r>
        <w:rPr>
          <w:rFonts w:hint="eastAsia" w:ascii="宋体" w:hAnsi="宋体" w:eastAsia="宋体" w:cs="宋体"/>
          <w:sz w:val="28"/>
          <w:szCs w:val="28"/>
          <w:highlight w:val="none"/>
        </w:rPr>
        <w:t>万元（</w:t>
      </w:r>
      <w:r>
        <w:rPr>
          <w:rFonts w:hint="eastAsia" w:ascii="宋体" w:hAnsi="宋体" w:eastAsia="宋体" w:cs="宋体"/>
          <w:sz w:val="28"/>
          <w:szCs w:val="28"/>
          <w:highlight w:val="none"/>
          <w:lang w:val="en-US" w:eastAsia="zh-CN"/>
        </w:rPr>
        <w:t>不</w:t>
      </w:r>
      <w:r>
        <w:rPr>
          <w:rFonts w:hint="eastAsia" w:ascii="宋体" w:hAnsi="宋体" w:eastAsia="宋体" w:cs="宋体"/>
          <w:sz w:val="28"/>
          <w:szCs w:val="28"/>
          <w:highlight w:val="none"/>
        </w:rPr>
        <w:t>含税、不可调整）；</w:t>
      </w:r>
    </w:p>
    <w:p w14:paraId="5C85B809">
      <w:pPr>
        <w:tabs>
          <w:tab w:val="left" w:pos="312"/>
        </w:tabs>
        <w:snapToGrid/>
        <w:spacing w:line="540" w:lineRule="exact"/>
        <w:rPr>
          <w:rFonts w:ascii="宋体" w:hAnsi="宋体" w:eastAsia="宋体" w:cs="宋体"/>
          <w:b/>
          <w:bCs/>
          <w:sz w:val="28"/>
          <w:szCs w:val="28"/>
        </w:rPr>
      </w:pPr>
      <w:r>
        <w:rPr>
          <w:rFonts w:hint="eastAsia" w:ascii="宋体" w:hAnsi="宋体" w:cs="宋体"/>
          <w:b/>
          <w:bCs/>
          <w:sz w:val="28"/>
          <w:szCs w:val="28"/>
        </w:rPr>
        <w:t>六、</w:t>
      </w:r>
      <w:r>
        <w:rPr>
          <w:rFonts w:hint="eastAsia" w:ascii="宋体" w:hAnsi="宋体" w:eastAsia="宋体" w:cs="宋体"/>
          <w:b/>
          <w:bCs/>
          <w:sz w:val="28"/>
          <w:szCs w:val="28"/>
        </w:rPr>
        <w:t>投标人须知</w:t>
      </w:r>
    </w:p>
    <w:p w14:paraId="2CC46C84">
      <w:pPr>
        <w:tabs>
          <w:tab w:val="left" w:pos="312"/>
        </w:tabs>
        <w:snapToGrid/>
        <w:spacing w:line="540" w:lineRule="exact"/>
        <w:ind w:firstLine="560" w:firstLineChars="200"/>
        <w:rPr>
          <w:rFonts w:ascii="宋体" w:hAnsi="宋体" w:eastAsia="宋体" w:cs="宋体"/>
          <w:sz w:val="28"/>
          <w:szCs w:val="28"/>
        </w:rPr>
      </w:pPr>
      <w:r>
        <w:rPr>
          <w:rFonts w:hint="eastAsia" w:ascii="宋体" w:hAnsi="宋体" w:eastAsia="宋体" w:cs="宋体"/>
          <w:sz w:val="28"/>
          <w:szCs w:val="28"/>
        </w:rPr>
        <w:t xml:space="preserve">1、工程量清单中的项目特征描述、工程量不得调整； </w:t>
      </w:r>
    </w:p>
    <w:p w14:paraId="77436C2A">
      <w:pPr>
        <w:tabs>
          <w:tab w:val="left" w:pos="312"/>
        </w:tabs>
        <w:snapToGrid/>
        <w:spacing w:line="540" w:lineRule="exact"/>
        <w:ind w:firstLine="560" w:firstLineChars="200"/>
        <w:rPr>
          <w:rFonts w:ascii="宋体" w:hAnsi="宋体" w:eastAsia="宋体" w:cs="宋体"/>
          <w:sz w:val="28"/>
          <w:szCs w:val="28"/>
          <w:highlight w:val="none"/>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、工程量清单中材料和工程设备的技术要求，如果出现了推荐品牌</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 xml:space="preserve">规格型号、参数，其目的是为了方便投标人直观和准确地把握相应材料和工程设备的技术标准，不具有指定或唯一使用的意思表示。工程量清单中主要材料及设备推荐品牌，不限于推荐品牌，如所选品牌不是推荐品牌，品质、档次须相当于推荐品牌； </w:t>
      </w:r>
    </w:p>
    <w:p w14:paraId="4960C591">
      <w:pPr>
        <w:tabs>
          <w:tab w:val="left" w:pos="312"/>
        </w:tabs>
        <w:snapToGrid/>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、清单中涉及内容需要场外运输</w:t>
      </w:r>
      <w:r>
        <w:rPr>
          <w:rFonts w:hint="eastAsia" w:ascii="宋体" w:hAnsi="宋体" w:eastAsia="宋体" w:cs="宋体"/>
          <w:sz w:val="28"/>
          <w:szCs w:val="28"/>
        </w:rPr>
        <w:t xml:space="preserve">的须考虑在综合单价内； </w:t>
      </w:r>
    </w:p>
    <w:p w14:paraId="222BBAB2">
      <w:pPr>
        <w:tabs>
          <w:tab w:val="left" w:pos="312"/>
        </w:tabs>
        <w:snapToGrid/>
        <w:spacing w:line="54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 xml:space="preserve">、分部分项工程量清单中项目特征及具体做法只做重点描述，组价时应结合现场勘查情况，包含现场所有工序、工作内容的全部费用。 </w:t>
      </w:r>
    </w:p>
    <w:p w14:paraId="438FE981">
      <w:pPr>
        <w:pStyle w:val="7"/>
        <w:rPr>
          <w:rFonts w:hint="eastAsia" w:ascii="宋体" w:hAnsi="宋体" w:eastAsia="宋体" w:cs="宋体"/>
          <w:sz w:val="28"/>
          <w:szCs w:val="28"/>
          <w:lang w:val="en-US" w:eastAsia="zh-CN"/>
        </w:rPr>
      </w:pPr>
    </w:p>
    <w:p w14:paraId="184B8B32">
      <w:pPr>
        <w:pStyle w:val="7"/>
        <w:ind w:left="0" w:leftChars="0" w:firstLine="0" w:firstLineChars="0"/>
        <w:rPr>
          <w:rFonts w:hint="eastAsia" w:ascii="宋体" w:hAnsi="宋体" w:eastAsia="宋体" w:cs="宋体"/>
          <w:sz w:val="28"/>
          <w:szCs w:val="28"/>
          <w:lang w:val="en-US" w:eastAsia="zh-CN"/>
        </w:rPr>
      </w:pPr>
    </w:p>
    <w:sectPr>
      <w:pgSz w:w="11905" w:h="16838"/>
      <w:pgMar w:top="1361" w:right="1417" w:bottom="1361" w:left="1417" w:header="720" w:footer="720" w:gutter="0"/>
      <w:cols w:space="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p>
  </w:footnote>
  <w:footnote w:type="continuationSeparator" w:id="1">
    <w:p>
      <w:pPr>
        <w:spacing w:before="0" w:after="0" w:line="312"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DEE28"/>
    <w:multiLevelType w:val="singleLevel"/>
    <w:tmpl w:val="5AADEE2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0OTQyNGNlOTcyN2Y5ZmIzYTQyYWQyYzIwNzcyNWYifQ=="/>
  </w:docVars>
  <w:rsids>
    <w:rsidRoot w:val="00172A27"/>
    <w:rsid w:val="00212611"/>
    <w:rsid w:val="002B454F"/>
    <w:rsid w:val="002D3CF2"/>
    <w:rsid w:val="0037752A"/>
    <w:rsid w:val="00497212"/>
    <w:rsid w:val="004C184F"/>
    <w:rsid w:val="004F7C0E"/>
    <w:rsid w:val="0052129E"/>
    <w:rsid w:val="006654FA"/>
    <w:rsid w:val="006B6D1F"/>
    <w:rsid w:val="00786AC4"/>
    <w:rsid w:val="00883E21"/>
    <w:rsid w:val="009742D3"/>
    <w:rsid w:val="009D6944"/>
    <w:rsid w:val="00A53D90"/>
    <w:rsid w:val="00B758C5"/>
    <w:rsid w:val="00D27933"/>
    <w:rsid w:val="00D85BC1"/>
    <w:rsid w:val="00D8793D"/>
    <w:rsid w:val="00E16C68"/>
    <w:rsid w:val="00EB58C4"/>
    <w:rsid w:val="0246401D"/>
    <w:rsid w:val="02472E54"/>
    <w:rsid w:val="032C263B"/>
    <w:rsid w:val="04666290"/>
    <w:rsid w:val="04E84DE3"/>
    <w:rsid w:val="057D1B9F"/>
    <w:rsid w:val="05F128A4"/>
    <w:rsid w:val="06A04558"/>
    <w:rsid w:val="06F85F55"/>
    <w:rsid w:val="0701218C"/>
    <w:rsid w:val="075F336A"/>
    <w:rsid w:val="08312076"/>
    <w:rsid w:val="08D9696C"/>
    <w:rsid w:val="097D47A3"/>
    <w:rsid w:val="09E57FEA"/>
    <w:rsid w:val="0BD66E27"/>
    <w:rsid w:val="0C472F03"/>
    <w:rsid w:val="0CB266F3"/>
    <w:rsid w:val="0F8F699F"/>
    <w:rsid w:val="10CD79C6"/>
    <w:rsid w:val="10FB40F0"/>
    <w:rsid w:val="11905DE0"/>
    <w:rsid w:val="12C5641C"/>
    <w:rsid w:val="14AE45AC"/>
    <w:rsid w:val="159A4B58"/>
    <w:rsid w:val="165F4F29"/>
    <w:rsid w:val="16CA383D"/>
    <w:rsid w:val="182C7C4D"/>
    <w:rsid w:val="193A0A0A"/>
    <w:rsid w:val="19713B3C"/>
    <w:rsid w:val="1A0F5460"/>
    <w:rsid w:val="1A121CB9"/>
    <w:rsid w:val="1AAB4490"/>
    <w:rsid w:val="1BF70F80"/>
    <w:rsid w:val="1C7B48DB"/>
    <w:rsid w:val="1E4C7D38"/>
    <w:rsid w:val="1EB7274A"/>
    <w:rsid w:val="1F2A3BE3"/>
    <w:rsid w:val="20E17E54"/>
    <w:rsid w:val="211B264D"/>
    <w:rsid w:val="222803CA"/>
    <w:rsid w:val="22DF57F7"/>
    <w:rsid w:val="22F159E4"/>
    <w:rsid w:val="23B755D9"/>
    <w:rsid w:val="244330AF"/>
    <w:rsid w:val="271E0008"/>
    <w:rsid w:val="2743098E"/>
    <w:rsid w:val="29EA5969"/>
    <w:rsid w:val="2A0A1FC2"/>
    <w:rsid w:val="2AD0584D"/>
    <w:rsid w:val="2D6A1CAA"/>
    <w:rsid w:val="2E356F80"/>
    <w:rsid w:val="2E5868F3"/>
    <w:rsid w:val="2F245EAA"/>
    <w:rsid w:val="31A135DC"/>
    <w:rsid w:val="31AC6BBF"/>
    <w:rsid w:val="33851301"/>
    <w:rsid w:val="35221D97"/>
    <w:rsid w:val="35571045"/>
    <w:rsid w:val="36D865D4"/>
    <w:rsid w:val="37427140"/>
    <w:rsid w:val="376153D7"/>
    <w:rsid w:val="381B6969"/>
    <w:rsid w:val="389C29AE"/>
    <w:rsid w:val="38A65E3F"/>
    <w:rsid w:val="38D54826"/>
    <w:rsid w:val="39C8349C"/>
    <w:rsid w:val="3A7A7AAB"/>
    <w:rsid w:val="3AEB6AC2"/>
    <w:rsid w:val="3C0A0E66"/>
    <w:rsid w:val="3CFE29A0"/>
    <w:rsid w:val="3D804F53"/>
    <w:rsid w:val="3DF265CF"/>
    <w:rsid w:val="3F55692A"/>
    <w:rsid w:val="411476C5"/>
    <w:rsid w:val="415F7EC5"/>
    <w:rsid w:val="41B05FC1"/>
    <w:rsid w:val="42E30E0A"/>
    <w:rsid w:val="43050810"/>
    <w:rsid w:val="43B212B3"/>
    <w:rsid w:val="44454EE4"/>
    <w:rsid w:val="44D8188B"/>
    <w:rsid w:val="4531633F"/>
    <w:rsid w:val="4718574C"/>
    <w:rsid w:val="476A40CC"/>
    <w:rsid w:val="47B506BF"/>
    <w:rsid w:val="486A1313"/>
    <w:rsid w:val="48E4183C"/>
    <w:rsid w:val="48E87D4A"/>
    <w:rsid w:val="49716B04"/>
    <w:rsid w:val="49A06E7B"/>
    <w:rsid w:val="4A3F37A2"/>
    <w:rsid w:val="4AB879AE"/>
    <w:rsid w:val="4BEA4E78"/>
    <w:rsid w:val="4DEC6E00"/>
    <w:rsid w:val="4E141CCA"/>
    <w:rsid w:val="4F4237AB"/>
    <w:rsid w:val="50E62426"/>
    <w:rsid w:val="51CC5B02"/>
    <w:rsid w:val="53BB230A"/>
    <w:rsid w:val="53C83F18"/>
    <w:rsid w:val="54600F79"/>
    <w:rsid w:val="54F82C0F"/>
    <w:rsid w:val="56271D79"/>
    <w:rsid w:val="575E4DE2"/>
    <w:rsid w:val="57A654EE"/>
    <w:rsid w:val="584B591B"/>
    <w:rsid w:val="584C3528"/>
    <w:rsid w:val="58D901AF"/>
    <w:rsid w:val="58FA2406"/>
    <w:rsid w:val="599D12DF"/>
    <w:rsid w:val="59DA1B32"/>
    <w:rsid w:val="5A415A65"/>
    <w:rsid w:val="5A773D8D"/>
    <w:rsid w:val="5A982DB8"/>
    <w:rsid w:val="5B01367D"/>
    <w:rsid w:val="5B102136"/>
    <w:rsid w:val="5B517E11"/>
    <w:rsid w:val="5C5E3DB7"/>
    <w:rsid w:val="5C6C458D"/>
    <w:rsid w:val="5C8D37C7"/>
    <w:rsid w:val="5D164899"/>
    <w:rsid w:val="5DA20C02"/>
    <w:rsid w:val="5EF2755E"/>
    <w:rsid w:val="60674154"/>
    <w:rsid w:val="61160B4B"/>
    <w:rsid w:val="61656152"/>
    <w:rsid w:val="619C2EE2"/>
    <w:rsid w:val="63100D1A"/>
    <w:rsid w:val="640D0E35"/>
    <w:rsid w:val="64502F80"/>
    <w:rsid w:val="650F0CF2"/>
    <w:rsid w:val="656942F9"/>
    <w:rsid w:val="65B074A0"/>
    <w:rsid w:val="693D60AB"/>
    <w:rsid w:val="69E46644"/>
    <w:rsid w:val="69E704AE"/>
    <w:rsid w:val="6A7E7B5D"/>
    <w:rsid w:val="6AED4D44"/>
    <w:rsid w:val="6C6C46A0"/>
    <w:rsid w:val="6D6A56EB"/>
    <w:rsid w:val="6F7D6A5B"/>
    <w:rsid w:val="6F834B31"/>
    <w:rsid w:val="6F996E20"/>
    <w:rsid w:val="705A5E6C"/>
    <w:rsid w:val="724C755C"/>
    <w:rsid w:val="729E0D73"/>
    <w:rsid w:val="731A5A1C"/>
    <w:rsid w:val="7340033E"/>
    <w:rsid w:val="7349333F"/>
    <w:rsid w:val="739906A4"/>
    <w:rsid w:val="73C14381"/>
    <w:rsid w:val="73EC2A60"/>
    <w:rsid w:val="748E5EBF"/>
    <w:rsid w:val="764011B2"/>
    <w:rsid w:val="76CE0EBB"/>
    <w:rsid w:val="7736177B"/>
    <w:rsid w:val="79217561"/>
    <w:rsid w:val="7ACF47A6"/>
    <w:rsid w:val="7AF75AAB"/>
    <w:rsid w:val="7B7C23A2"/>
    <w:rsid w:val="7B9C6F77"/>
    <w:rsid w:val="7BE66BCD"/>
    <w:rsid w:val="7C20370D"/>
    <w:rsid w:val="7C30077B"/>
    <w:rsid w:val="7DDB16B4"/>
    <w:rsid w:val="7E6856C9"/>
    <w:rsid w:val="7EDB0CE4"/>
    <w:rsid w:val="7F020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96"/>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before="60" w:after="60" w:line="312" w:lineRule="auto"/>
    </w:pPr>
    <w:rPr>
      <w:rFonts w:asciiTheme="minorHAnsi" w:hAnsiTheme="minorHAnsi" w:eastAsiaTheme="minorEastAsia" w:cstheme="minorBidi"/>
      <w:color w:val="333333"/>
      <w:kern w:val="2"/>
      <w:sz w:val="22"/>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footer"/>
    <w:basedOn w:val="1"/>
    <w:link w:val="11"/>
    <w:unhideWhenUsed/>
    <w:qFormat/>
    <w:uiPriority w:val="99"/>
    <w:pPr>
      <w:tabs>
        <w:tab w:val="center" w:pos="4153"/>
        <w:tab w:val="right" w:pos="8306"/>
      </w:tabs>
      <w:spacing w:line="240" w:lineRule="auto"/>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5">
    <w:name w:val="Normal (Web)"/>
    <w:basedOn w:val="1"/>
    <w:semiHidden/>
    <w:unhideWhenUsed/>
    <w:qFormat/>
    <w:uiPriority w:val="99"/>
    <w:pPr>
      <w:spacing w:before="0" w:beforeAutospacing="1" w:after="0" w:afterAutospacing="1"/>
    </w:pPr>
    <w:rPr>
      <w:rFonts w:cs="Times New Roman"/>
      <w:kern w:val="0"/>
      <w:sz w:val="24"/>
    </w:rPr>
  </w:style>
  <w:style w:type="paragraph" w:styleId="6">
    <w:name w:val="Title"/>
    <w:basedOn w:val="1"/>
    <w:next w:val="1"/>
    <w:qFormat/>
    <w:uiPriority w:val="9"/>
    <w:pPr>
      <w:keepNext/>
      <w:keepLines/>
      <w:spacing w:before="0" w:after="0" w:line="408" w:lineRule="auto"/>
      <w:jc w:val="center"/>
      <w:outlineLvl w:val="0"/>
    </w:pPr>
    <w:rPr>
      <w:b/>
      <w:bCs/>
      <w:color w:val="1A1A1A"/>
      <w:sz w:val="48"/>
      <w:szCs w:val="48"/>
    </w:rPr>
  </w:style>
  <w:style w:type="paragraph" w:styleId="7">
    <w:name w:val="Body Text First Indent"/>
    <w:basedOn w:val="2"/>
    <w:qFormat/>
    <w:uiPriority w:val="99"/>
    <w:pPr>
      <w:ind w:firstLine="420"/>
    </w:pPr>
  </w:style>
  <w:style w:type="character" w:customStyle="1" w:styleId="10">
    <w:name w:val="页眉 字符"/>
    <w:basedOn w:val="9"/>
    <w:link w:val="4"/>
    <w:qFormat/>
    <w:uiPriority w:val="99"/>
    <w:rPr>
      <w:sz w:val="18"/>
      <w:szCs w:val="18"/>
    </w:rPr>
  </w:style>
  <w:style w:type="character" w:customStyle="1" w:styleId="11">
    <w:name w:val="页脚 字符"/>
    <w:basedOn w:val="9"/>
    <w:link w:val="3"/>
    <w:qFormat/>
    <w:uiPriority w:val="99"/>
    <w:rPr>
      <w:sz w:val="18"/>
      <w:szCs w:val="18"/>
    </w:rPr>
  </w:style>
  <w:style w:type="paragraph" w:customStyle="1" w:styleId="12">
    <w:name w:val="列出段落1"/>
    <w:basedOn w:val="1"/>
    <w:qFormat/>
    <w:uiPriority w:val="0"/>
    <w:pPr>
      <w:ind w:firstLine="420" w:firstLineChars="200"/>
    </w:pPr>
    <w:rPr>
      <w:rFonts w:ascii="Calibri" w:hAnsi="Calibri"/>
    </w:rPr>
  </w:style>
  <w:style w:type="character" w:customStyle="1" w:styleId="13">
    <w:name w:val="font112"/>
    <w:basedOn w:val="9"/>
    <w:qFormat/>
    <w:uiPriority w:val="0"/>
    <w:rPr>
      <w:rFonts w:ascii="仿宋" w:hAnsi="仿宋" w:eastAsia="仿宋" w:cs="仿宋"/>
      <w:color w:val="000000"/>
      <w:sz w:val="28"/>
      <w:szCs w:val="28"/>
      <w:u w:val="none"/>
    </w:rPr>
  </w:style>
  <w:style w:type="character" w:customStyle="1" w:styleId="14">
    <w:name w:val="font41"/>
    <w:basedOn w:val="9"/>
    <w:qFormat/>
    <w:uiPriority w:val="0"/>
    <w:rPr>
      <w:rFonts w:hint="eastAsia" w:ascii="仿宋" w:hAnsi="仿宋" w:eastAsia="仿宋" w:cs="仿宋"/>
      <w:color w:val="333333"/>
      <w:sz w:val="20"/>
      <w:szCs w:val="20"/>
      <w:u w:val="none"/>
    </w:rPr>
  </w:style>
  <w:style w:type="character" w:customStyle="1" w:styleId="15">
    <w:name w:val="font121"/>
    <w:basedOn w:val="9"/>
    <w:qFormat/>
    <w:uiPriority w:val="0"/>
    <w:rPr>
      <w:rFonts w:hint="eastAsia" w:ascii="仿宋" w:hAnsi="仿宋" w:eastAsia="仿宋" w:cs="仿宋"/>
      <w:color w:val="000000"/>
      <w:sz w:val="24"/>
      <w:szCs w:val="24"/>
      <w:u w:val="none"/>
    </w:rPr>
  </w:style>
  <w:style w:type="character" w:customStyle="1" w:styleId="16">
    <w:name w:val="font51"/>
    <w:basedOn w:val="9"/>
    <w:qFormat/>
    <w:uiPriority w:val="0"/>
    <w:rPr>
      <w:rFonts w:ascii="仿宋" w:hAnsi="仿宋" w:eastAsia="仿宋" w:cs="仿宋"/>
      <w:color w:val="000000"/>
      <w:sz w:val="28"/>
      <w:szCs w:val="28"/>
      <w:u w:val="none"/>
    </w:rPr>
  </w:style>
  <w:style w:type="character" w:customStyle="1" w:styleId="17">
    <w:name w:val="font21"/>
    <w:basedOn w:val="9"/>
    <w:qFormat/>
    <w:uiPriority w:val="0"/>
    <w:rPr>
      <w:rFonts w:hint="eastAsia" w:ascii="仿宋" w:hAnsi="仿宋" w:eastAsia="仿宋" w:cs="仿宋"/>
      <w:color w:val="333333"/>
      <w:sz w:val="20"/>
      <w:szCs w:val="20"/>
      <w:u w:val="none"/>
    </w:rPr>
  </w:style>
  <w:style w:type="character" w:customStyle="1" w:styleId="18">
    <w:name w:val="font11"/>
    <w:basedOn w:val="9"/>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8301E-F1B3-4B62-9F1C-1E18ABE2BAB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1394</Words>
  <Characters>1596</Characters>
  <Lines>25</Lines>
  <Paragraphs>7</Paragraphs>
  <TotalTime>31</TotalTime>
  <ScaleCrop>false</ScaleCrop>
  <LinksUpToDate>false</LinksUpToDate>
  <CharactersWithSpaces>1626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2022-03-14T16:00:00Z</dcterms:created>
  <dc:creator>Administrator</dc:creator>
  <cp:lastModifiedBy></cp:lastModifiedBy>
  <cp:lastPrinted>2022-03-31T09:53:00Z</cp:lastPrinted>
  <dcterms:modified xsi:type="dcterms:W3CDTF">2025-09-01T03:42:35Z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CFC2F31A9AD14C5787C068D6472D8D65</vt:lpwstr>
  </property>
  <property fmtid="{D5CDD505-2E9C-101B-9397-08002B2CF9AE}" pid="4" name="commondata">
    <vt:lpwstr>eyJoZGlkIjoiNDJkZGI3OTdkYTUzNjJmYmMwYjVlOTNkZDcwMTVkZDgifQ==</vt:lpwstr>
  </property>
  <property fmtid="{D5CDD505-2E9C-101B-9397-08002B2CF9AE}" pid="5" name="KSOTemplateDocerSaveRecord">
    <vt:lpwstr>eyJoZGlkIjoiZWQzMmZlMDdmMWQxNjJmODY2NGNiYjlhZmM1ZjdkNzAiLCJ1c2VySWQiOiIyODU0OTI1OTIifQ==</vt:lpwstr>
  </property>
</Properties>
</file>