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鄂托克旗乌兰镇污染地块土壤和地下水环境损害司法鉴定项目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鄂托克旗乌兰镇人民政府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内蒙古众联工程项目管理有限责任公司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ESZCEQS-C-F-250007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内蒙古众联工程项目管理有限责任公司</w:t>
      </w:r>
      <w:r>
        <w:rPr>
          <w:rFonts w:ascii="仿宋_GB2312" w:hAnsi="仿宋_GB2312" w:cs="仿宋_GB2312" w:eastAsia="仿宋_GB2312"/>
        </w:rPr>
        <w:t xml:space="preserve"> 受 </w:t>
      </w:r>
      <w:r>
        <w:rPr>
          <w:rFonts w:ascii="仿宋_GB2312" w:hAnsi="仿宋_GB2312" w:cs="仿宋_GB2312" w:eastAsia="仿宋_GB2312"/>
        </w:rPr>
        <w:t>鄂托克旗乌兰镇人民政府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鄂托克旗乌兰镇污染地块土壤和地下水环境损害司法鉴定项目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鄂托克旗乌兰镇污染地块土壤和地下水环境损害司法鉴定项目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ESZCEQS-C-F-250007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432[2025]00035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鄂托克旗乌兰镇污染地块土壤和地下水环境损害司法鉴定项目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1、特定资格要求：供应商应具备司法行政部门颁发的有效期内的司法鉴定许可证。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内蒙古众联工程项目管理有限责任公司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内蒙古自治区鄂尔多斯市东胜区公园街道</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许树卿</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13500677007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鄂托克旗乌兰镇人民政府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程虎林</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15849774449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代理服务费收费标准：参照原内蒙古建设工程招标代理收费指导意见（内工建协【2022】34号文）标准收取。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鄂托克旗乌兰镇人民政府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内蒙古众联工程项目管理有限责任公司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鄂托克旗乌兰镇污染地块土壤和地下水环境损害司法鉴定项目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合同签订后120日历日内完成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鄂托克旗乌兰镇人民政府</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1、合同签订后7个工作日内支付50%，达到付款条件起7日，支付合同总金额的50.00%</w:t>
            </w:r>
          </w:p>
          <w:p>
            <w:pPr>
              <w:pStyle w:val="null5"/>
              <w:jc w:val="left"/>
            </w:pPr>
            <w:r>
              <w:rPr>
                <w:rFonts w:ascii="仿宋_GB2312" w:hAnsi="仿宋_GB2312" w:cs="仿宋_GB2312" w:eastAsia="仿宋_GB2312"/>
              </w:rPr>
              <w:t>2、提交最终司法鉴定意见书后7个工作日内支付50%，达到付款条件起7日，支付合同总金额的50.00%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标的名称：鄂托克旗乌兰镇污染地块土壤和地下水环境损害司法鉴定项目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一、项目内容：</w:t>
            </w:r>
          </w:p>
          <w:p>
            <w:pPr>
              <w:pStyle w:val="null5"/>
              <w:jc w:val="left"/>
            </w:pPr>
            <w:r>
              <w:rPr>
                <w:rFonts w:ascii="仿宋_GB2312" w:hAnsi="仿宋_GB2312" w:cs="仿宋_GB2312" w:eastAsia="仿宋_GB2312"/>
                <w:sz w:val="21"/>
                <w:color w:val="000000"/>
              </w:rPr>
              <w:t xml:space="preserve">   为查清土壤和地下水损害事实，委托具有司法鉴定资质的机构，对涉案范围内的土壤和地下水进行调查，针对</w:t>
            </w:r>
            <w:r>
              <w:rPr>
                <w:rFonts w:ascii="仿宋_GB2312" w:hAnsi="仿宋_GB2312" w:cs="仿宋_GB2312" w:eastAsia="仿宋_GB2312"/>
                <w:sz w:val="21"/>
                <w:color w:val="000000"/>
              </w:rPr>
              <w:t>涉案</w:t>
            </w:r>
            <w:r>
              <w:rPr>
                <w:rFonts w:ascii="仿宋_GB2312" w:hAnsi="仿宋_GB2312" w:cs="仿宋_GB2312" w:eastAsia="仿宋_GB2312"/>
                <w:sz w:val="21"/>
                <w:color w:val="000000"/>
              </w:rPr>
              <w:t>范围内的土壤和地下水的损害程度和范围进行鉴定。对于土壤和地下水造成损害的部分，应明确损害是否可以修复，对于可以修复的部分，估算修复金额，不可进行修复的，量化期间损害金额。</w:t>
            </w:r>
            <w:r>
              <w:rPr>
                <w:rFonts w:ascii="仿宋_GB2312" w:hAnsi="仿宋_GB2312" w:cs="仿宋_GB2312" w:eastAsia="仿宋_GB2312"/>
                <w:sz w:val="21"/>
                <w:color w:val="000000"/>
              </w:rPr>
              <w:t>出具司法鉴定意见书。</w:t>
            </w:r>
          </w:p>
          <w:p>
            <w:pPr>
              <w:pStyle w:val="null5"/>
              <w:jc w:val="left"/>
            </w:pPr>
            <w:r>
              <w:rPr>
                <w:rFonts w:ascii="仿宋_GB2312" w:hAnsi="仿宋_GB2312" w:cs="仿宋_GB2312" w:eastAsia="仿宋_GB2312"/>
                <w:sz w:val="21"/>
                <w:color w:val="000000"/>
              </w:rPr>
              <w:t>二、项目依据：</w:t>
            </w:r>
          </w:p>
          <w:p>
            <w:pPr>
              <w:pStyle w:val="null5"/>
              <w:ind w:firstLine="480"/>
              <w:jc w:val="left"/>
            </w:pPr>
            <w:r>
              <w:rPr>
                <w:rFonts w:ascii="仿宋_GB2312" w:hAnsi="仿宋_GB2312" w:cs="仿宋_GB2312" w:eastAsia="仿宋_GB2312"/>
                <w:sz w:val="21"/>
                <w:color w:val="000000"/>
              </w:rPr>
              <w:t>（1）《中华人民共和国环境保护法》（2015年1月1日）；</w:t>
            </w:r>
          </w:p>
          <w:p>
            <w:pPr>
              <w:pStyle w:val="null5"/>
              <w:ind w:firstLine="480"/>
              <w:jc w:val="left"/>
            </w:pPr>
            <w:r>
              <w:rPr>
                <w:rFonts w:ascii="仿宋_GB2312" w:hAnsi="仿宋_GB2312" w:cs="仿宋_GB2312" w:eastAsia="仿宋_GB2312"/>
                <w:sz w:val="21"/>
                <w:color w:val="000000"/>
              </w:rPr>
              <w:t>（2）《中华人民共和国固体废物污染环境防治法》(2020年9月1日)；</w:t>
            </w:r>
          </w:p>
          <w:p>
            <w:pPr>
              <w:pStyle w:val="null5"/>
              <w:ind w:firstLine="480"/>
              <w:jc w:val="left"/>
            </w:pPr>
            <w:r>
              <w:rPr>
                <w:rFonts w:ascii="仿宋_GB2312" w:hAnsi="仿宋_GB2312" w:cs="仿宋_GB2312" w:eastAsia="仿宋_GB2312"/>
                <w:sz w:val="21"/>
                <w:color w:val="000000"/>
              </w:rPr>
              <w:t>（3）《中华人民共和国土壤污染防治法》(2019年1月1日)；</w:t>
            </w:r>
          </w:p>
          <w:p>
            <w:pPr>
              <w:pStyle w:val="null5"/>
              <w:ind w:firstLine="480"/>
              <w:jc w:val="left"/>
            </w:pPr>
            <w:r>
              <w:rPr>
                <w:rFonts w:ascii="仿宋_GB2312" w:hAnsi="仿宋_GB2312" w:cs="仿宋_GB2312" w:eastAsia="仿宋_GB2312"/>
                <w:sz w:val="21"/>
                <w:color w:val="000000"/>
              </w:rPr>
              <w:t>（4）《地下水管理条例》(2021年12月1日)；</w:t>
            </w:r>
          </w:p>
          <w:p>
            <w:pPr>
              <w:pStyle w:val="null5"/>
              <w:ind w:firstLine="480"/>
              <w:jc w:val="left"/>
            </w:pPr>
            <w:r>
              <w:rPr>
                <w:rFonts w:ascii="仿宋_GB2312" w:hAnsi="仿宋_GB2312" w:cs="仿宋_GB2312" w:eastAsia="仿宋_GB2312"/>
                <w:sz w:val="21"/>
                <w:color w:val="000000"/>
              </w:rPr>
              <w:t>（5）《司法鉴定程序 通则》（中华人民共和国司法部令第132号）；</w:t>
            </w:r>
          </w:p>
          <w:p>
            <w:pPr>
              <w:pStyle w:val="null5"/>
              <w:ind w:firstLine="480"/>
              <w:jc w:val="left"/>
            </w:pPr>
            <w:r>
              <w:rPr>
                <w:rFonts w:ascii="仿宋_GB2312" w:hAnsi="仿宋_GB2312" w:cs="仿宋_GB2312" w:eastAsia="仿宋_GB2312"/>
                <w:sz w:val="21"/>
                <w:color w:val="000000"/>
              </w:rPr>
              <w:t>（6）《司法部关于进一步规范和完善司法鉴定人出庭作证活动的指导意见》（2020年5月4日）；</w:t>
            </w:r>
          </w:p>
          <w:p>
            <w:pPr>
              <w:pStyle w:val="null5"/>
              <w:ind w:firstLine="480"/>
              <w:jc w:val="left"/>
            </w:pPr>
            <w:r>
              <w:rPr>
                <w:rFonts w:ascii="仿宋_GB2312" w:hAnsi="仿宋_GB2312" w:cs="仿宋_GB2312" w:eastAsia="仿宋_GB2312"/>
                <w:sz w:val="21"/>
                <w:color w:val="000000"/>
              </w:rPr>
              <w:t>（7）《生态环境损害赔偿管理规定》环法规〔2022〕31号；</w:t>
            </w:r>
          </w:p>
          <w:p>
            <w:pPr>
              <w:pStyle w:val="null5"/>
              <w:ind w:firstLine="480"/>
              <w:jc w:val="left"/>
            </w:pPr>
            <w:r>
              <w:rPr>
                <w:rFonts w:ascii="仿宋_GB2312" w:hAnsi="仿宋_GB2312" w:cs="仿宋_GB2312" w:eastAsia="仿宋_GB2312"/>
                <w:sz w:val="21"/>
                <w:color w:val="000000"/>
              </w:rPr>
              <w:t>（8）《生态环境损害赔偿资金管理办法(试行)》(财资环〔2020〕6号)；</w:t>
            </w:r>
          </w:p>
          <w:p>
            <w:pPr>
              <w:pStyle w:val="null5"/>
              <w:ind w:firstLine="480"/>
              <w:jc w:val="left"/>
            </w:pPr>
            <w:r>
              <w:rPr>
                <w:rFonts w:ascii="仿宋_GB2312" w:hAnsi="仿宋_GB2312" w:cs="仿宋_GB2312" w:eastAsia="仿宋_GB2312"/>
                <w:sz w:val="21"/>
                <w:color w:val="000000"/>
              </w:rPr>
              <w:t>（9）《生态环境损害鉴定评估技术指南 土壤与地下水》环办法规〔2018〕46号；</w:t>
            </w:r>
          </w:p>
          <w:p>
            <w:pPr>
              <w:pStyle w:val="null5"/>
              <w:ind w:firstLine="480"/>
              <w:jc w:val="left"/>
            </w:pPr>
            <w:r>
              <w:rPr>
                <w:rFonts w:ascii="仿宋_GB2312" w:hAnsi="仿宋_GB2312" w:cs="仿宋_GB2312" w:eastAsia="仿宋_GB2312"/>
                <w:sz w:val="21"/>
                <w:color w:val="000000"/>
              </w:rPr>
              <w:t>（10）《关于开展环境污染损害鉴定评估工作的若干意见》环发〔2011〕60号；</w:t>
            </w:r>
          </w:p>
          <w:p>
            <w:pPr>
              <w:pStyle w:val="null5"/>
              <w:ind w:firstLine="480"/>
              <w:jc w:val="left"/>
            </w:pPr>
            <w:r>
              <w:rPr>
                <w:rFonts w:ascii="仿宋_GB2312" w:hAnsi="仿宋_GB2312" w:cs="仿宋_GB2312" w:eastAsia="仿宋_GB2312"/>
                <w:sz w:val="21"/>
                <w:color w:val="000000"/>
              </w:rPr>
              <w:t>（11）《内蒙古自治区生态环境损害赔偿工作规定（试行）》（内政办发〔2022〕7号）；</w:t>
            </w:r>
          </w:p>
          <w:p>
            <w:pPr>
              <w:pStyle w:val="null5"/>
              <w:ind w:firstLine="480"/>
              <w:jc w:val="left"/>
            </w:pPr>
            <w:r>
              <w:rPr>
                <w:rFonts w:ascii="仿宋_GB2312" w:hAnsi="仿宋_GB2312" w:cs="仿宋_GB2312" w:eastAsia="仿宋_GB2312"/>
                <w:sz w:val="21"/>
                <w:color w:val="000000"/>
              </w:rPr>
              <w:t>（12）《环境损害鉴定评估推荐方法》（第II版）；</w:t>
            </w:r>
          </w:p>
          <w:p>
            <w:pPr>
              <w:pStyle w:val="null5"/>
              <w:ind w:firstLine="480"/>
              <w:jc w:val="left"/>
            </w:pPr>
            <w:r>
              <w:rPr>
                <w:rFonts w:ascii="仿宋_GB2312" w:hAnsi="仿宋_GB2312" w:cs="仿宋_GB2312" w:eastAsia="仿宋_GB2312"/>
                <w:sz w:val="21"/>
                <w:color w:val="000000"/>
              </w:rPr>
              <w:t>（13）《国家危险废物名录（2021年版）》；</w:t>
            </w:r>
          </w:p>
          <w:p>
            <w:pPr>
              <w:pStyle w:val="null5"/>
              <w:ind w:firstLine="480"/>
              <w:jc w:val="left"/>
            </w:pPr>
            <w:r>
              <w:rPr>
                <w:rFonts w:ascii="仿宋_GB2312" w:hAnsi="仿宋_GB2312" w:cs="仿宋_GB2312" w:eastAsia="仿宋_GB2312"/>
                <w:sz w:val="21"/>
                <w:color w:val="000000"/>
              </w:rPr>
              <w:t>（14）生态环境损害鉴定评估技术指南 总纲和关键环节 第4部分：土壤生态环境基线调查与确定；</w:t>
            </w:r>
          </w:p>
          <w:p>
            <w:pPr>
              <w:pStyle w:val="null5"/>
              <w:ind w:firstLine="480"/>
              <w:jc w:val="left"/>
            </w:pPr>
            <w:r>
              <w:rPr>
                <w:rFonts w:ascii="仿宋_GB2312" w:hAnsi="仿宋_GB2312" w:cs="仿宋_GB2312" w:eastAsia="仿宋_GB2312"/>
                <w:sz w:val="21"/>
                <w:color w:val="000000"/>
              </w:rPr>
              <w:t>（15）《生态环境损害鉴定评估技术指南总纲和关键环节第1部分：总纲》（GB/T 39791.1-2020）；</w:t>
            </w:r>
          </w:p>
          <w:p>
            <w:pPr>
              <w:pStyle w:val="null5"/>
              <w:ind w:firstLine="480"/>
              <w:jc w:val="left"/>
            </w:pPr>
            <w:r>
              <w:rPr>
                <w:rFonts w:ascii="仿宋_GB2312" w:hAnsi="仿宋_GB2312" w:cs="仿宋_GB2312" w:eastAsia="仿宋_GB2312"/>
                <w:sz w:val="21"/>
                <w:color w:val="000000"/>
              </w:rPr>
              <w:t>（16）《生态环境损害鉴定评估技术指南总纲和关键环节第2部分：损害调查》（GB/T 39791.2-2020）；</w:t>
            </w:r>
          </w:p>
          <w:p>
            <w:pPr>
              <w:pStyle w:val="null5"/>
              <w:ind w:firstLine="480"/>
              <w:jc w:val="left"/>
            </w:pPr>
            <w:r>
              <w:rPr>
                <w:rFonts w:ascii="仿宋_GB2312" w:hAnsi="仿宋_GB2312" w:cs="仿宋_GB2312" w:eastAsia="仿宋_GB2312"/>
                <w:sz w:val="21"/>
                <w:color w:val="000000"/>
              </w:rPr>
              <w:t>（17）《生态环境损害鉴定评估技术指南环境要素第1部分：土壤和地下水》（GB/T 39792.1-2020）；</w:t>
            </w:r>
          </w:p>
          <w:p>
            <w:pPr>
              <w:pStyle w:val="null5"/>
              <w:ind w:firstLine="480"/>
              <w:jc w:val="left"/>
            </w:pPr>
            <w:r>
              <w:rPr>
                <w:rFonts w:ascii="仿宋_GB2312" w:hAnsi="仿宋_GB2312" w:cs="仿宋_GB2312" w:eastAsia="仿宋_GB2312"/>
                <w:sz w:val="21"/>
                <w:color w:val="000000"/>
              </w:rPr>
              <w:t>（18）《土壤环境质量 建设用地土壤污染风险管控标准（试行）》（GB 36600-2018）；</w:t>
            </w:r>
          </w:p>
          <w:p>
            <w:pPr>
              <w:pStyle w:val="null5"/>
              <w:ind w:firstLine="480"/>
              <w:jc w:val="left"/>
            </w:pPr>
            <w:r>
              <w:rPr>
                <w:rFonts w:ascii="仿宋_GB2312" w:hAnsi="仿宋_GB2312" w:cs="仿宋_GB2312" w:eastAsia="仿宋_GB2312"/>
                <w:sz w:val="21"/>
                <w:color w:val="000000"/>
              </w:rPr>
              <w:t>（19）《土壤环境质量 农用地土壤污染风险管控标准（试行）》（GB 15618-2018）；</w:t>
            </w:r>
          </w:p>
          <w:p>
            <w:pPr>
              <w:pStyle w:val="null5"/>
              <w:ind w:firstLine="480"/>
              <w:jc w:val="left"/>
            </w:pPr>
            <w:r>
              <w:rPr>
                <w:rFonts w:ascii="仿宋_GB2312" w:hAnsi="仿宋_GB2312" w:cs="仿宋_GB2312" w:eastAsia="仿宋_GB2312"/>
                <w:sz w:val="21"/>
                <w:color w:val="000000"/>
              </w:rPr>
              <w:t>（20）《建设用地土壤污染状况调查 技术导则》（HJ 25.1-2019）；</w:t>
            </w:r>
          </w:p>
          <w:p>
            <w:pPr>
              <w:pStyle w:val="null5"/>
              <w:ind w:firstLine="480"/>
              <w:jc w:val="left"/>
            </w:pPr>
            <w:r>
              <w:rPr>
                <w:rFonts w:ascii="仿宋_GB2312" w:hAnsi="仿宋_GB2312" w:cs="仿宋_GB2312" w:eastAsia="仿宋_GB2312"/>
                <w:sz w:val="21"/>
                <w:color w:val="000000"/>
              </w:rPr>
              <w:t>（21）《建设用地土壤污染风险管控和修复监测技术导则》（HJ 25.2-2019）；</w:t>
            </w:r>
          </w:p>
          <w:p>
            <w:pPr>
              <w:pStyle w:val="null5"/>
              <w:ind w:firstLine="480"/>
              <w:jc w:val="left"/>
            </w:pPr>
            <w:r>
              <w:rPr>
                <w:rFonts w:ascii="仿宋_GB2312" w:hAnsi="仿宋_GB2312" w:cs="仿宋_GB2312" w:eastAsia="仿宋_GB2312"/>
                <w:sz w:val="21"/>
                <w:color w:val="000000"/>
              </w:rPr>
              <w:t>（22）《建设用地土壤污染风险评估技术导则》 (HJ 25.3-2019)；</w:t>
            </w:r>
          </w:p>
          <w:p>
            <w:pPr>
              <w:pStyle w:val="null5"/>
              <w:ind w:firstLine="480"/>
              <w:jc w:val="left"/>
            </w:pPr>
            <w:r>
              <w:rPr>
                <w:rFonts w:ascii="仿宋_GB2312" w:hAnsi="仿宋_GB2312" w:cs="仿宋_GB2312" w:eastAsia="仿宋_GB2312"/>
                <w:sz w:val="21"/>
                <w:color w:val="000000"/>
              </w:rPr>
              <w:t>（23）《建设用地士壤修复技术导则》 (HJ 25.4-2019)；</w:t>
            </w:r>
          </w:p>
          <w:p>
            <w:pPr>
              <w:pStyle w:val="null5"/>
              <w:ind w:firstLine="480"/>
              <w:jc w:val="left"/>
            </w:pPr>
            <w:r>
              <w:rPr>
                <w:rFonts w:ascii="仿宋_GB2312" w:hAnsi="仿宋_GB2312" w:cs="仿宋_GB2312" w:eastAsia="仿宋_GB2312"/>
                <w:sz w:val="21"/>
                <w:color w:val="000000"/>
              </w:rPr>
              <w:t>（24）《受污染耕地治理与修复导则》（NY/T 3499-2019）；</w:t>
            </w:r>
          </w:p>
          <w:p>
            <w:pPr>
              <w:pStyle w:val="null5"/>
              <w:ind w:firstLine="480"/>
              <w:jc w:val="left"/>
            </w:pPr>
            <w:r>
              <w:rPr>
                <w:rFonts w:ascii="仿宋_GB2312" w:hAnsi="仿宋_GB2312" w:cs="仿宋_GB2312" w:eastAsia="仿宋_GB2312"/>
                <w:sz w:val="21"/>
                <w:color w:val="000000"/>
              </w:rPr>
              <w:t>（25）《污染地块风险管控与土壤修复效果评估技术导则》(HJ 25.5-2018)；</w:t>
            </w:r>
          </w:p>
          <w:p>
            <w:pPr>
              <w:pStyle w:val="null5"/>
              <w:ind w:firstLine="480"/>
              <w:jc w:val="left"/>
            </w:pPr>
            <w:r>
              <w:rPr>
                <w:rFonts w:ascii="仿宋_GB2312" w:hAnsi="仿宋_GB2312" w:cs="仿宋_GB2312" w:eastAsia="仿宋_GB2312"/>
                <w:sz w:val="21"/>
                <w:color w:val="000000"/>
              </w:rPr>
              <w:t>（26）《污染地块地下水修复和风险管控技术导则》 (HJ 25.6-2019)；</w:t>
            </w:r>
          </w:p>
          <w:p>
            <w:pPr>
              <w:pStyle w:val="null5"/>
              <w:ind w:firstLine="480"/>
              <w:jc w:val="left"/>
            </w:pPr>
            <w:r>
              <w:rPr>
                <w:rFonts w:ascii="仿宋_GB2312" w:hAnsi="仿宋_GB2312" w:cs="仿宋_GB2312" w:eastAsia="仿宋_GB2312"/>
                <w:sz w:val="21"/>
                <w:color w:val="000000"/>
              </w:rPr>
              <w:t>（27）司法鉴定文书规范（司发通[2007]71号）。</w:t>
            </w:r>
          </w:p>
          <w:p>
            <w:pPr>
              <w:pStyle w:val="null5"/>
              <w:jc w:val="left"/>
            </w:pPr>
            <w:r>
              <w:rPr>
                <w:rFonts w:ascii="仿宋_GB2312" w:hAnsi="仿宋_GB2312" w:cs="仿宋_GB2312" w:eastAsia="仿宋_GB2312"/>
                <w:sz w:val="21"/>
                <w:color w:val="000000"/>
              </w:rPr>
              <w:t>三、项目成果：</w:t>
            </w:r>
          </w:p>
          <w:p>
            <w:pPr>
              <w:pStyle w:val="null5"/>
              <w:jc w:val="left"/>
            </w:pPr>
            <w:r>
              <w:rPr>
                <w:rFonts w:ascii="仿宋_GB2312" w:hAnsi="仿宋_GB2312" w:cs="仿宋_GB2312" w:eastAsia="仿宋_GB2312"/>
                <w:sz w:val="21"/>
                <w:color w:val="000000"/>
              </w:rPr>
              <w:t xml:space="preserve">   提交本项目司法鉴定意见书纸质报告5份，电子档案光盘1份。</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有依法缴纳税收和社会保障资金的良好记录： 1.提供递交响应文件截止之日近半年内（至少一个月）的良好缴纳税收的相关凭据。（以税 务机关提供的纳税凭据或银行入账单为准） 2.提供递交响应文件截止之日近半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供应商应具备司法行政部门颁发的有效期内的司法鉴定许可证。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w:t>
            </w:r>
          </w:p>
        </w:tc>
        <w:tc>
          <w:tcPr>
            <w:tcW w:type="dxa" w:w="3115"/>
          </w:tcPr>
          <w:p>
            <w:pPr>
              <w:pStyle w:val="null5"/>
              <w:jc w:val="left"/>
            </w:pPr>
            <w:r>
              <w:rPr>
                <w:rFonts w:ascii="仿宋_GB2312" w:hAnsi="仿宋_GB2312" w:cs="仿宋_GB2312" w:eastAsia="仿宋_GB2312"/>
              </w:rPr>
              <w:t>根据供应商提供的对本项目理解、认识进行综合评定，响应文件中对项目特点进行描述得0-6分，提供的服务方案最大限度满足采购人使用需求描述具有针对性且贴合实际服务情况、描述详尽细致得6.1-10分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针对本项目提供服务方案包含但不限于：①项目概况及总体服务方案；②鉴定报告编制标准；③检测鉴定的工作程序。对项目的服务方案描述分析思路清晰，解决措施切实可行，可操作性强的，得7.1-10分；对项目包括的服务方案描述分析思路较清晰，解决措施基本可行的，得3.1-7分；对项目包括的服务方案描述分析思路不清晰，解决措施仅能满足要求，可操作性差的，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鉴定方案</w:t>
            </w:r>
          </w:p>
        </w:tc>
        <w:tc>
          <w:tcPr>
            <w:tcW w:type="dxa" w:w="3115"/>
          </w:tcPr>
          <w:p>
            <w:pPr>
              <w:pStyle w:val="null5"/>
              <w:jc w:val="left"/>
            </w:pPr>
            <w:r>
              <w:rPr>
                <w:rFonts w:ascii="仿宋_GB2312" w:hAnsi="仿宋_GB2312" w:cs="仿宋_GB2312" w:eastAsia="仿宋_GB2312"/>
              </w:rPr>
              <w:t>针对本项目提供鉴定技术方案包括：①现场鉴定部署方案；②取样检测鉴定方案；③人员配备方案；方案合理，符合或优于本项目实际情况，针对性强的，得5.1-8分；方案较清晰，能够基本满足项目服务需求的，得2.1-5分；方案不清晰，不能完全满足项目服务需求的，得0-2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鉴定成果提交</w:t>
            </w:r>
          </w:p>
        </w:tc>
        <w:tc>
          <w:tcPr>
            <w:tcW w:type="dxa" w:w="3115"/>
          </w:tcPr>
          <w:p>
            <w:pPr>
              <w:pStyle w:val="null5"/>
              <w:jc w:val="left"/>
            </w:pPr>
            <w:r>
              <w:rPr>
                <w:rFonts w:ascii="仿宋_GB2312" w:hAnsi="仿宋_GB2312" w:cs="仿宋_GB2312" w:eastAsia="仿宋_GB2312"/>
              </w:rPr>
              <w:t>根据供应商制定成果管理措施、成果交付方案，拟提交的成果报告规范且完全符合技术要求，合同档案管理任务及方法等内容综合评定，可行、符合要求得5.1-8分，较可行，符合要求得2.1-5分，基本规范基本符合要求得0-2分。缺项或明显不合理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根据供应商的工作重点、难点分析进行独立评分，工作重点、难点分析片面但可以满足项目实施要求得0-4分，工作重点、难点分析透彻、解决方案合理可行得4.1-7分。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安全保密措施</w:t>
            </w:r>
          </w:p>
        </w:tc>
        <w:tc>
          <w:tcPr>
            <w:tcW w:type="dxa" w:w="3115"/>
          </w:tcPr>
          <w:p>
            <w:pPr>
              <w:pStyle w:val="null5"/>
              <w:jc w:val="left"/>
            </w:pPr>
            <w:r>
              <w:rPr>
                <w:rFonts w:ascii="仿宋_GB2312" w:hAnsi="仿宋_GB2312" w:cs="仿宋_GB2312" w:eastAsia="仿宋_GB2312"/>
              </w:rPr>
              <w:t>针对供应商就本项目制定的安全保密措施进行综合评定，响应文件中对此项进行描述得0-4分，提供的此项描述最大限度满足采购人使用需求、安全责任制度明确，制定应急预案，制定资料保密制度，资料专人负责管理，此项方案详尽细致得4.1-8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计划进度</w:t>
            </w:r>
          </w:p>
        </w:tc>
        <w:tc>
          <w:tcPr>
            <w:tcW w:type="dxa" w:w="3115"/>
          </w:tcPr>
          <w:p>
            <w:pPr>
              <w:pStyle w:val="null5"/>
              <w:jc w:val="left"/>
            </w:pPr>
            <w:r>
              <w:rPr>
                <w:rFonts w:ascii="仿宋_GB2312" w:hAnsi="仿宋_GB2312" w:cs="仿宋_GB2312" w:eastAsia="仿宋_GB2312"/>
              </w:rPr>
              <w:t>根据供应商进度安排基本合理，关键节点基本明确，措施有力、制度较健全的得0-4分，进度保证措施，进度安排合理，关键节点明确；措施有力、制度健全的得4.1-8分。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措施进行综合评定，响应文件中对此项内容进行描述得0-4分，提供的措施最大限度满足采购人使用需求、措施完整、合理、有针对性，控制性、可行性强，具有针对性且贴合实际服务情况、描述详尽细致得4.1-8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供应商就本项目提供后续服务方案包括：①服务过程的原始资料归档；②专职后续服务人员；③报告结论建议跟踪解释；④成果报告的修改；方案合理，符合或优于本项目实际情况，针对性强的，得5.1-8分；方案较清晰，能够基本满足项目服务需求的，得3.1-5分；方案不清晰，不能完全满足项目服务需求的，得0-3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1、项目负责人具备司法鉴定执业资格证书且同时具备生态环境类高级（及以上）职称的，得5分； 2、项目负责人具备司法鉴定执业资格证书且同时具备生态环境类中级职称的，得2分； 注：投标文件须提供司法鉴定执业证书、职称证书，在本单位近半年任意三个月缴纳社保的证明材料，未提供或提供不齐全均不得分。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1、供应商近年(2022年1月1日至投标截止时间)完成的类似业绩，每提供1个业绩得2分，最多得10分。业绩证明资料为合同或中标通知书。 注：投标文件须提供合同扫描件或中标通知书扫描件，日期以合同签署日期或中标通知书日期为准。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