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《鄂托克旗国民经济和社会发展第十五个五年规划纲要》编制服务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鄂托克旗发展和改革委员会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内蒙古天恒项目管理有限公司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ESZCEQS-C-F-250008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内蒙古天恒项目管理有限公司</w:t>
      </w:r>
      <w:r>
        <w:rPr>
          <w:rFonts w:ascii="仿宋_GB2312" w:hAnsi="仿宋_GB2312" w:cs="仿宋_GB2312" w:eastAsia="仿宋_GB2312"/>
        </w:rPr>
        <w:t xml:space="preserve"> 受 </w:t>
      </w:r>
      <w:r>
        <w:rPr>
          <w:rFonts w:ascii="仿宋_GB2312" w:hAnsi="仿宋_GB2312" w:cs="仿宋_GB2312" w:eastAsia="仿宋_GB2312"/>
        </w:rPr>
        <w:t>鄂托克旗发展和改革委员会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《鄂托克旗国民经济和社会发展第十五个五年规划纲要》编制服务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《鄂托克旗国民经济和社会发展第十五个五年规划纲要》编制服务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ESZCEQS-C-F-250008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432[2025]00037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《鄂托克旗国民经济和社会发展第十五个五年规划纲要》编制服务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内蒙古天恒项目管理有限公司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邬伟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14747958555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鄂托克旗发展和改革委员会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朱志龙</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15049409398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代理服务费收费标准：参照内蒙古自治区工程建设协会关于《内蒙古自治区建设工程招标代理服务收费指导意见》内建工协(2022)34 号文规定收取标准基础上下浮15%计算招标代理费用</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鄂托克旗发展和改革委员会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内蒙古天恒项目管理有限公司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十五五”时期（2026—2030年）是基本实现现代化承上启下的关键时期，编制好《鄂托克旗国民经济和社会发展第十五个五年规划和二〇三五年远景目标纲要》（以下简称《“十五五”规划纲要》），对加快鄂托克旗现代化建设进程具有重要现实意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2026年3月底提交成果终稿</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鄂尔多斯市鄂托克旗</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1、合同签订后支付，达到付款条件起15日，支付合同总金额的20.00%</w:t>
            </w:r>
          </w:p>
          <w:p>
            <w:pPr>
              <w:pStyle w:val="null5"/>
              <w:jc w:val="left"/>
            </w:pPr>
            <w:r>
              <w:rPr>
                <w:rFonts w:ascii="仿宋_GB2312" w:hAnsi="仿宋_GB2312" w:cs="仿宋_GB2312" w:eastAsia="仿宋_GB2312"/>
              </w:rPr>
              <w:t>2、形成征求意见稿后支付，达到付款条件起15日，支付合同总金额的30.00%</w:t>
            </w:r>
          </w:p>
          <w:p>
            <w:pPr>
              <w:pStyle w:val="null5"/>
              <w:jc w:val="left"/>
            </w:pPr>
            <w:r>
              <w:rPr>
                <w:rFonts w:ascii="仿宋_GB2312" w:hAnsi="仿宋_GB2312" w:cs="仿宋_GB2312" w:eastAsia="仿宋_GB2312"/>
              </w:rPr>
              <w:t>3、经旗人民代表大会审议通过后支付，达到付款条件起15日，支付合同总金额的30.00%</w:t>
            </w:r>
          </w:p>
          <w:p>
            <w:pPr>
              <w:pStyle w:val="null5"/>
              <w:jc w:val="left"/>
            </w:pPr>
            <w:r>
              <w:rPr>
                <w:rFonts w:ascii="仿宋_GB2312" w:hAnsi="仿宋_GB2312" w:cs="仿宋_GB2312" w:eastAsia="仿宋_GB2312"/>
              </w:rPr>
              <w:t>4、印发完成后支付，达到付款条件起15日，支付合同总金额的20.00%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标的名称：《鄂托克旗国民经济和社会发展第十五个五年规划纲要》编制服务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2"/>
              <w:jc w:val="both"/>
            </w:pPr>
            <w:r>
              <w:rPr>
                <w:rFonts w:ascii="仿宋_GB2312" w:hAnsi="仿宋_GB2312" w:cs="仿宋_GB2312" w:eastAsia="仿宋_GB2312"/>
                <w:sz w:val="24"/>
                <w:b/>
                <w:color w:val="000000"/>
              </w:rPr>
              <w:t>具体内容</w:t>
            </w:r>
            <w:r>
              <w:rPr>
                <w:rFonts w:ascii="仿宋_GB2312" w:hAnsi="仿宋_GB2312" w:cs="仿宋_GB2312" w:eastAsia="仿宋_GB2312"/>
                <w:sz w:val="24"/>
                <w:b/>
                <w:color w:val="000000"/>
              </w:rPr>
              <w:t>及要求</w:t>
            </w:r>
            <w:r>
              <w:rPr>
                <w:rFonts w:ascii="仿宋_GB2312" w:hAnsi="仿宋_GB2312" w:cs="仿宋_GB2312" w:eastAsia="仿宋_GB2312"/>
                <w:sz w:val="24"/>
                <w:b/>
                <w:color w:val="000000"/>
              </w:rPr>
              <w:t>：</w:t>
            </w:r>
          </w:p>
          <w:p>
            <w:pPr>
              <w:pStyle w:val="null5"/>
              <w:ind w:firstLine="480"/>
              <w:jc w:val="both"/>
            </w:pPr>
            <w:r>
              <w:rPr>
                <w:rFonts w:ascii="仿宋_GB2312" w:hAnsi="仿宋_GB2312" w:cs="仿宋_GB2312" w:eastAsia="仿宋_GB2312"/>
                <w:sz w:val="24"/>
                <w:color w:val="000000"/>
              </w:rPr>
              <w:t>要按照上级的工作部署，</w:t>
            </w:r>
            <w:r>
              <w:rPr>
                <w:rFonts w:ascii="仿宋_GB2312" w:hAnsi="仿宋_GB2312" w:cs="仿宋_GB2312" w:eastAsia="仿宋_GB2312"/>
                <w:sz w:val="24"/>
                <w:color w:val="000000"/>
              </w:rPr>
              <w:t>积极</w:t>
            </w:r>
            <w:r>
              <w:rPr>
                <w:rFonts w:ascii="仿宋_GB2312" w:hAnsi="仿宋_GB2312" w:cs="仿宋_GB2312" w:eastAsia="仿宋_GB2312"/>
                <w:sz w:val="24"/>
                <w:color w:val="000000"/>
              </w:rPr>
              <w:t>对接国家、自治区以及</w:t>
            </w:r>
            <w:r>
              <w:rPr>
                <w:rFonts w:ascii="仿宋_GB2312" w:hAnsi="仿宋_GB2312" w:cs="仿宋_GB2312" w:eastAsia="仿宋_GB2312"/>
                <w:sz w:val="24"/>
                <w:color w:val="000000"/>
              </w:rPr>
              <w:t>规划编制工作进展和要求</w:t>
            </w:r>
            <w:r>
              <w:rPr>
                <w:rFonts w:ascii="仿宋_GB2312" w:hAnsi="仿宋_GB2312" w:cs="仿宋_GB2312" w:eastAsia="仿宋_GB2312"/>
                <w:sz w:val="24"/>
                <w:color w:val="000000"/>
              </w:rPr>
              <w:t>，科学谋划</w:t>
            </w:r>
            <w:r>
              <w:rPr>
                <w:rFonts w:ascii="仿宋_GB2312" w:hAnsi="仿宋_GB2312" w:cs="仿宋_GB2312" w:eastAsia="仿宋_GB2312"/>
                <w:sz w:val="24"/>
                <w:color w:val="000000"/>
              </w:rPr>
              <w:t>“十五五”经济社会发展主要目标指标</w:t>
            </w:r>
            <w:r>
              <w:rPr>
                <w:rFonts w:ascii="仿宋_GB2312" w:hAnsi="仿宋_GB2312" w:cs="仿宋_GB2312" w:eastAsia="仿宋_GB2312"/>
                <w:sz w:val="24"/>
                <w:color w:val="000000"/>
              </w:rPr>
              <w:t>、重大战略任务、重大改革举措、重大工程项目等。具体内容包括：</w:t>
            </w:r>
          </w:p>
          <w:p>
            <w:pPr>
              <w:pStyle w:val="null5"/>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梳理</w:t>
            </w:r>
            <w:r>
              <w:rPr>
                <w:rFonts w:ascii="仿宋_GB2312" w:hAnsi="仿宋_GB2312" w:cs="仿宋_GB2312" w:eastAsia="仿宋_GB2312"/>
                <w:sz w:val="24"/>
                <w:color w:val="000000"/>
              </w:rPr>
              <w:t>“十四五”时期国内外发展环境发生的新变化、新趋势，研判分析</w:t>
            </w:r>
            <w:r>
              <w:rPr>
                <w:rFonts w:ascii="仿宋_GB2312" w:hAnsi="仿宋_GB2312" w:cs="仿宋_GB2312" w:eastAsia="仿宋_GB2312"/>
                <w:sz w:val="24"/>
                <w:color w:val="000000"/>
              </w:rPr>
              <w:t>“</w:t>
            </w:r>
            <w:r>
              <w:rPr>
                <w:rFonts w:ascii="仿宋_GB2312" w:hAnsi="仿宋_GB2312" w:cs="仿宋_GB2312" w:eastAsia="仿宋_GB2312"/>
                <w:sz w:val="24"/>
                <w:color w:val="000000"/>
              </w:rPr>
              <w:t>十五五</w:t>
            </w:r>
            <w:r>
              <w:rPr>
                <w:rFonts w:ascii="仿宋_GB2312" w:hAnsi="仿宋_GB2312" w:cs="仿宋_GB2312" w:eastAsia="仿宋_GB2312"/>
                <w:sz w:val="24"/>
                <w:color w:val="000000"/>
              </w:rPr>
              <w:t>”</w:t>
            </w:r>
            <w:r>
              <w:rPr>
                <w:rFonts w:ascii="仿宋_GB2312" w:hAnsi="仿宋_GB2312" w:cs="仿宋_GB2312" w:eastAsia="仿宋_GB2312"/>
                <w:sz w:val="24"/>
                <w:color w:val="000000"/>
              </w:rPr>
              <w:t>时期国内外环境变化以及未来发展面临的战略机遇和风险挑战；</w:t>
            </w:r>
          </w:p>
          <w:p>
            <w:pPr>
              <w:pStyle w:val="null5"/>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rPr>
              <w:t>聚焦</w:t>
            </w:r>
            <w:r>
              <w:rPr>
                <w:rFonts w:ascii="仿宋_GB2312" w:hAnsi="仿宋_GB2312" w:cs="仿宋_GB2312" w:eastAsia="仿宋_GB2312"/>
                <w:sz w:val="24"/>
              </w:rPr>
              <w:t>自治区</w:t>
            </w:r>
            <w:r>
              <w:rPr>
                <w:rFonts w:ascii="仿宋_GB2312" w:hAnsi="仿宋_GB2312" w:cs="仿宋_GB2312" w:eastAsia="仿宋_GB2312"/>
                <w:sz w:val="24"/>
              </w:rPr>
              <w:t>“闯新路、进中游”目标任务</w:t>
            </w:r>
            <w:r>
              <w:rPr>
                <w:rFonts w:ascii="仿宋_GB2312" w:hAnsi="仿宋_GB2312" w:cs="仿宋_GB2312" w:eastAsia="仿宋_GB2312"/>
                <w:sz w:val="24"/>
              </w:rPr>
              <w:t>，</w:t>
            </w:r>
            <w:r>
              <w:rPr>
                <w:rFonts w:ascii="仿宋_GB2312" w:hAnsi="仿宋_GB2312" w:cs="仿宋_GB2312" w:eastAsia="仿宋_GB2312"/>
                <w:sz w:val="24"/>
                <w:color w:val="000000"/>
              </w:rPr>
              <w:t>准确把握</w:t>
            </w:r>
            <w:r>
              <w:rPr>
                <w:rFonts w:ascii="仿宋_GB2312" w:hAnsi="仿宋_GB2312" w:cs="仿宋_GB2312" w:eastAsia="仿宋_GB2312"/>
                <w:sz w:val="24"/>
                <w:color w:val="000000"/>
              </w:rPr>
              <w:t>鄂托克旗</w:t>
            </w:r>
            <w:r>
              <w:rPr>
                <w:rFonts w:ascii="仿宋_GB2312" w:hAnsi="仿宋_GB2312" w:cs="仿宋_GB2312" w:eastAsia="仿宋_GB2312"/>
                <w:sz w:val="24"/>
                <w:color w:val="000000"/>
              </w:rPr>
              <w:t>的区位优势、资源要素条件、经济和社会发展基础，确定</w:t>
            </w:r>
            <w:r>
              <w:rPr>
                <w:rFonts w:ascii="仿宋_GB2312" w:hAnsi="仿宋_GB2312" w:cs="仿宋_GB2312" w:eastAsia="仿宋_GB2312"/>
                <w:sz w:val="24"/>
                <w:color w:val="000000"/>
              </w:rPr>
              <w:t>鄂托克旗</w:t>
            </w:r>
            <w:r>
              <w:rPr>
                <w:rFonts w:ascii="仿宋_GB2312" w:hAnsi="仿宋_GB2312" w:cs="仿宋_GB2312" w:eastAsia="仿宋_GB2312"/>
                <w:sz w:val="24"/>
                <w:color w:val="000000"/>
              </w:rPr>
              <w:t>“十五五</w:t>
            </w:r>
            <w:r>
              <w:rPr>
                <w:rFonts w:ascii="仿宋_GB2312" w:hAnsi="仿宋_GB2312" w:cs="仿宋_GB2312" w:eastAsia="仿宋_GB2312"/>
                <w:sz w:val="24"/>
                <w:color w:val="000000"/>
              </w:rPr>
              <w:t>”</w:t>
            </w:r>
            <w:r>
              <w:rPr>
                <w:rFonts w:ascii="仿宋_GB2312" w:hAnsi="仿宋_GB2312" w:cs="仿宋_GB2312" w:eastAsia="仿宋_GB2312"/>
                <w:sz w:val="24"/>
                <w:color w:val="000000"/>
              </w:rPr>
              <w:t>时期战略定位和主要目标</w:t>
            </w:r>
            <w:r>
              <w:rPr>
                <w:rFonts w:ascii="仿宋_GB2312" w:hAnsi="仿宋_GB2312" w:cs="仿宋_GB2312" w:eastAsia="仿宋_GB2312"/>
                <w:sz w:val="24"/>
                <w:color w:val="000000"/>
              </w:rPr>
              <w:t>；应对国家战略布局和发展规划，要因地制宜发展新质生产力</w:t>
            </w:r>
            <w:r>
              <w:rPr>
                <w:rFonts w:ascii="仿宋_GB2312" w:hAnsi="仿宋_GB2312" w:cs="仿宋_GB2312" w:eastAsia="仿宋_GB2312"/>
                <w:sz w:val="24"/>
                <w:color w:val="000000"/>
              </w:rPr>
              <w:t>，</w:t>
            </w:r>
            <w:r>
              <w:rPr>
                <w:rFonts w:ascii="仿宋_GB2312" w:hAnsi="仿宋_GB2312" w:cs="仿宋_GB2312" w:eastAsia="仿宋_GB2312"/>
                <w:sz w:val="24"/>
                <w:color w:val="000000"/>
              </w:rPr>
              <w:t>培育壮大新兴产业，超前布局未来产业，运用先进技术赋能传统产业转型升级，</w:t>
            </w:r>
            <w:r>
              <w:rPr>
                <w:rFonts w:ascii="仿宋_GB2312" w:hAnsi="仿宋_GB2312" w:cs="仿宋_GB2312" w:eastAsia="仿宋_GB2312"/>
                <w:sz w:val="24"/>
                <w:color w:val="000000"/>
              </w:rPr>
              <w:t>不断塑造发展新动能新优势</w:t>
            </w:r>
            <w:r>
              <w:rPr>
                <w:rFonts w:ascii="仿宋_GB2312" w:hAnsi="仿宋_GB2312" w:cs="仿宋_GB2312" w:eastAsia="仿宋_GB2312"/>
                <w:sz w:val="24"/>
                <w:color w:val="000000"/>
              </w:rPr>
              <w:t>；</w:t>
            </w:r>
          </w:p>
          <w:p>
            <w:pPr>
              <w:pStyle w:val="null5"/>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完善基础设施建设，提升城镇承载能力；</w:t>
            </w:r>
          </w:p>
          <w:p>
            <w:pPr>
              <w:pStyle w:val="null5"/>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全面深化改革</w:t>
            </w:r>
            <w:r>
              <w:rPr>
                <w:rFonts w:ascii="仿宋_GB2312" w:hAnsi="仿宋_GB2312" w:cs="仿宋_GB2312" w:eastAsia="仿宋_GB2312"/>
                <w:sz w:val="24"/>
                <w:color w:val="000000"/>
              </w:rPr>
              <w:t>，深入挖掘内需潜力，发展实体经济，增强经营主体活力，促进扩大内需稳定增长</w:t>
            </w:r>
            <w:r>
              <w:rPr>
                <w:rFonts w:ascii="仿宋_GB2312" w:hAnsi="仿宋_GB2312" w:cs="仿宋_GB2312" w:eastAsia="仿宋_GB2312"/>
                <w:sz w:val="24"/>
                <w:color w:val="000000"/>
              </w:rPr>
              <w:t>；</w:t>
            </w:r>
          </w:p>
          <w:p>
            <w:pPr>
              <w:pStyle w:val="null5"/>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扎实推进乡村振兴战略，进一步促进城乡融合发展；</w:t>
            </w:r>
          </w:p>
          <w:p>
            <w:pPr>
              <w:pStyle w:val="null5"/>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切实保障和改善民生，增强社会就业</w:t>
            </w:r>
            <w:r>
              <w:rPr>
                <w:rFonts w:ascii="仿宋_GB2312" w:hAnsi="仿宋_GB2312" w:cs="仿宋_GB2312" w:eastAsia="仿宋_GB2312"/>
                <w:sz w:val="24"/>
                <w:color w:val="000000"/>
              </w:rPr>
              <w:t>能力，</w:t>
            </w:r>
            <w:r>
              <w:rPr>
                <w:rFonts w:ascii="仿宋_GB2312" w:hAnsi="仿宋_GB2312" w:cs="仿宋_GB2312" w:eastAsia="仿宋_GB2312"/>
                <w:sz w:val="24"/>
                <w:color w:val="000000"/>
              </w:rPr>
              <w:t>提升城乡居民收入，增进民生福祉；</w:t>
            </w:r>
          </w:p>
          <w:p>
            <w:pPr>
              <w:pStyle w:val="null5"/>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扎实推进绿色低碳发展，加强生态文明建设，加强可再生能源消纳利用</w:t>
            </w:r>
            <w:r>
              <w:rPr>
                <w:rFonts w:ascii="仿宋_GB2312" w:hAnsi="仿宋_GB2312" w:cs="仿宋_GB2312" w:eastAsia="仿宋_GB2312"/>
                <w:sz w:val="24"/>
                <w:color w:val="000000"/>
              </w:rPr>
              <w:t>；</w:t>
            </w:r>
          </w:p>
          <w:p>
            <w:pPr>
              <w:pStyle w:val="null5"/>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有效防范化解重大风险，维护社会稳定和安全，保持社会稳定；</w:t>
            </w:r>
          </w:p>
          <w:p>
            <w:pPr>
              <w:pStyle w:val="null5"/>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增进民族团结铸牢中华民族共同体意识；</w:t>
            </w:r>
          </w:p>
          <w:p>
            <w:pPr>
              <w:pStyle w:val="null5"/>
              <w:jc w:val="both"/>
            </w:pPr>
            <w:r>
              <w:rPr>
                <w:rFonts w:ascii="仿宋_GB2312" w:hAnsi="仿宋_GB2312" w:cs="仿宋_GB2312" w:eastAsia="仿宋_GB2312"/>
                <w:sz w:val="24"/>
                <w:color w:val="000000"/>
              </w:rPr>
              <w:t xml:space="preserve">       10</w:t>
            </w:r>
            <w:r>
              <w:rPr>
                <w:rFonts w:ascii="仿宋_GB2312" w:hAnsi="仿宋_GB2312" w:cs="仿宋_GB2312" w:eastAsia="仿宋_GB2312"/>
                <w:sz w:val="24"/>
                <w:color w:val="000000"/>
              </w:rPr>
              <w:t>、推进社会治理体系和治理能力现代化，加强党的集中统一领导，保障规划纲要顺利实施等内容。</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2"/>
              <w:jc w:val="both"/>
            </w:pPr>
            <w:r>
              <w:rPr>
                <w:rFonts w:ascii="仿宋_GB2312" w:hAnsi="仿宋_GB2312" w:cs="仿宋_GB2312" w:eastAsia="仿宋_GB2312"/>
                <w:sz w:val="24"/>
                <w:b/>
                <w:color w:val="000000"/>
              </w:rPr>
              <w:t>项目要求</w:t>
            </w:r>
          </w:p>
          <w:p>
            <w:pPr>
              <w:pStyle w:val="null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十五五”规划纲要》编制工作，要坚持以习近平中国式现代化理论为指导，全面贯彻党的二十大和二十届二中、三中精神，全面落实习近平总书记对内蒙古重要指示精神，完整、准确、全面贯彻新发展理念，准确把握新时代发展阶段性特征，瞄准“十五五”时期发展方向，加快构建新发展格局，培育和加快发展新质生产力，统筹传统产业、新兴产业和未来产业发展，统筹发展和安全，着力推动绿色低碳高质量发展。</w:t>
            </w:r>
          </w:p>
          <w:p>
            <w:pPr>
              <w:pStyle w:val="null5"/>
              <w:jc w:val="both"/>
            </w:pPr>
            <w:r>
              <w:rPr>
                <w:rFonts w:ascii="仿宋_GB2312" w:hAnsi="仿宋_GB2312" w:cs="仿宋_GB2312" w:eastAsia="仿宋_GB2312"/>
                <w:sz w:val="24"/>
                <w:color w:val="000000"/>
              </w:rPr>
              <w:t>编制工作方案要科学合理，总体思路明确，研究和编制路径清晰。要充分体现习近平新时代中国特色社会主义思想和以生态优先、绿色发展为导向的高质量发展新思路，符合</w:t>
            </w:r>
            <w:r>
              <w:rPr>
                <w:rFonts w:ascii="仿宋_GB2312" w:hAnsi="仿宋_GB2312" w:cs="仿宋_GB2312" w:eastAsia="仿宋_GB2312"/>
                <w:sz w:val="24"/>
                <w:color w:val="000000"/>
              </w:rPr>
              <w:t>鄂托克旗</w:t>
            </w:r>
            <w:r>
              <w:rPr>
                <w:rFonts w:ascii="仿宋_GB2312" w:hAnsi="仿宋_GB2312" w:cs="仿宋_GB2312" w:eastAsia="仿宋_GB2312"/>
                <w:sz w:val="24"/>
                <w:color w:val="000000"/>
              </w:rPr>
              <w:t>发展实际，</w:t>
            </w:r>
            <w:r>
              <w:rPr>
                <w:rFonts w:ascii="仿宋_GB2312" w:hAnsi="仿宋_GB2312" w:cs="仿宋_GB2312" w:eastAsia="仿宋_GB2312"/>
                <w:sz w:val="24"/>
                <w:color w:val="000000"/>
              </w:rPr>
              <w:t>规划纲要</w:t>
            </w:r>
            <w:r>
              <w:rPr>
                <w:rFonts w:ascii="仿宋_GB2312" w:hAnsi="仿宋_GB2312" w:cs="仿宋_GB2312" w:eastAsia="仿宋_GB2312"/>
                <w:sz w:val="24"/>
                <w:color w:val="000000"/>
              </w:rPr>
              <w:t>要具有战略性、前瞻性、现实性和可操作性，为</w:t>
            </w:r>
            <w:r>
              <w:rPr>
                <w:rFonts w:ascii="仿宋_GB2312" w:hAnsi="仿宋_GB2312" w:cs="仿宋_GB2312" w:eastAsia="仿宋_GB2312"/>
                <w:sz w:val="24"/>
                <w:color w:val="000000"/>
              </w:rPr>
              <w:t>“</w:t>
            </w:r>
            <w:r>
              <w:rPr>
                <w:rFonts w:ascii="仿宋_GB2312" w:hAnsi="仿宋_GB2312" w:cs="仿宋_GB2312" w:eastAsia="仿宋_GB2312"/>
                <w:sz w:val="24"/>
                <w:color w:val="000000"/>
              </w:rPr>
              <w:t>十五五</w:t>
            </w:r>
            <w:r>
              <w:rPr>
                <w:rFonts w:ascii="仿宋_GB2312" w:hAnsi="仿宋_GB2312" w:cs="仿宋_GB2312" w:eastAsia="仿宋_GB2312"/>
                <w:sz w:val="24"/>
                <w:color w:val="000000"/>
              </w:rPr>
              <w:t>”</w:t>
            </w:r>
            <w:r>
              <w:rPr>
                <w:rFonts w:ascii="仿宋_GB2312" w:hAnsi="仿宋_GB2312" w:cs="仿宋_GB2312" w:eastAsia="仿宋_GB2312"/>
                <w:sz w:val="24"/>
                <w:color w:val="000000"/>
              </w:rPr>
              <w:t>时期</w:t>
            </w:r>
            <w:r>
              <w:rPr>
                <w:rFonts w:ascii="仿宋_GB2312" w:hAnsi="仿宋_GB2312" w:cs="仿宋_GB2312" w:eastAsia="仿宋_GB2312"/>
                <w:sz w:val="24"/>
                <w:color w:val="000000"/>
              </w:rPr>
              <w:t>鄂托克旗</w:t>
            </w:r>
            <w:r>
              <w:rPr>
                <w:rFonts w:ascii="仿宋_GB2312" w:hAnsi="仿宋_GB2312" w:cs="仿宋_GB2312" w:eastAsia="仿宋_GB2312"/>
                <w:sz w:val="24"/>
                <w:color w:val="000000"/>
              </w:rPr>
              <w:t>推进现代化建设提供行动纲领。</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2"/>
              <w:jc w:val="both"/>
            </w:pPr>
            <w:r>
              <w:rPr>
                <w:rFonts w:ascii="仿宋_GB2312" w:hAnsi="仿宋_GB2312" w:cs="仿宋_GB2312" w:eastAsia="仿宋_GB2312"/>
                <w:sz w:val="24"/>
                <w:b/>
                <w:color w:val="000000"/>
              </w:rPr>
              <w:t>项目实施时间</w:t>
            </w:r>
          </w:p>
          <w:p>
            <w:pPr>
              <w:pStyle w:val="null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“十五五”规划纲要》编制工作，分为五个阶段。</w:t>
            </w:r>
          </w:p>
          <w:p>
            <w:pPr>
              <w:pStyle w:val="null5"/>
              <w:ind w:firstLine="480"/>
              <w:jc w:val="both"/>
            </w:pPr>
            <w:r>
              <w:rPr>
                <w:rFonts w:ascii="仿宋_GB2312" w:hAnsi="仿宋_GB2312" w:cs="仿宋_GB2312" w:eastAsia="仿宋_GB2312"/>
                <w:sz w:val="24"/>
                <w:color w:val="000000"/>
              </w:rPr>
              <w:t>第一阶段（</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5.3</w:t>
            </w:r>
            <w:r>
              <w:rPr>
                <w:rFonts w:ascii="仿宋_GB2312" w:hAnsi="仿宋_GB2312" w:cs="仿宋_GB2312" w:eastAsia="仿宋_GB2312"/>
                <w:sz w:val="24"/>
                <w:color w:val="000000"/>
              </w:rPr>
              <w:t>—</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，进行</w:t>
            </w:r>
            <w:r>
              <w:rPr>
                <w:rFonts w:ascii="仿宋_GB2312" w:hAnsi="仿宋_GB2312" w:cs="仿宋_GB2312" w:eastAsia="仿宋_GB2312"/>
                <w:sz w:val="24"/>
                <w:color w:val="000000"/>
              </w:rPr>
              <w:t>材料</w:t>
            </w:r>
            <w:r>
              <w:rPr>
                <w:rFonts w:ascii="仿宋_GB2312" w:hAnsi="仿宋_GB2312" w:cs="仿宋_GB2312" w:eastAsia="仿宋_GB2312"/>
                <w:sz w:val="24"/>
                <w:color w:val="000000"/>
              </w:rPr>
              <w:t>收集</w:t>
            </w:r>
            <w:r>
              <w:rPr>
                <w:rFonts w:ascii="仿宋_GB2312" w:hAnsi="仿宋_GB2312" w:cs="仿宋_GB2312" w:eastAsia="仿宋_GB2312"/>
                <w:sz w:val="24"/>
                <w:color w:val="000000"/>
              </w:rPr>
              <w:t>和重大发展问题基础研究和前期准备工作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形成</w:t>
            </w:r>
            <w:r>
              <w:rPr>
                <w:rFonts w:ascii="仿宋_GB2312" w:hAnsi="仿宋_GB2312" w:cs="仿宋_GB2312" w:eastAsia="仿宋_GB2312"/>
                <w:sz w:val="24"/>
                <w:color w:val="000000"/>
              </w:rPr>
              <w:t>“十五五”规划纲要基本思路和框架。</w:t>
            </w:r>
            <w:r>
              <w:rPr>
                <w:rFonts w:ascii="仿宋_GB2312" w:hAnsi="仿宋_GB2312" w:cs="仿宋_GB2312" w:eastAsia="仿宋_GB2312"/>
                <w:sz w:val="24"/>
                <w:color w:val="000000"/>
              </w:rPr>
              <w:t>经</w:t>
            </w:r>
            <w:r>
              <w:rPr>
                <w:rFonts w:ascii="仿宋_GB2312" w:hAnsi="仿宋_GB2312" w:cs="仿宋_GB2312" w:eastAsia="仿宋_GB2312"/>
                <w:sz w:val="24"/>
                <w:color w:val="000000"/>
              </w:rPr>
              <w:t>旗</w:t>
            </w:r>
            <w:r>
              <w:rPr>
                <w:rFonts w:ascii="仿宋_GB2312" w:hAnsi="仿宋_GB2312" w:cs="仿宋_GB2312" w:eastAsia="仿宋_GB2312"/>
                <w:sz w:val="24"/>
                <w:color w:val="000000"/>
              </w:rPr>
              <w:t>政府审定后，报</w:t>
            </w:r>
            <w:r>
              <w:rPr>
                <w:rFonts w:ascii="仿宋_GB2312" w:hAnsi="仿宋_GB2312" w:cs="仿宋_GB2312" w:eastAsia="仿宋_GB2312"/>
                <w:sz w:val="24"/>
                <w:color w:val="000000"/>
              </w:rPr>
              <w:t>旗委</w:t>
            </w:r>
            <w:r>
              <w:rPr>
                <w:rFonts w:ascii="仿宋_GB2312" w:hAnsi="仿宋_GB2312" w:cs="仿宋_GB2312" w:eastAsia="仿宋_GB2312"/>
                <w:sz w:val="24"/>
                <w:color w:val="000000"/>
              </w:rPr>
              <w:t>作为《</w:t>
            </w:r>
            <w:r>
              <w:rPr>
                <w:rFonts w:ascii="仿宋_GB2312" w:hAnsi="仿宋_GB2312" w:cs="仿宋_GB2312" w:eastAsia="仿宋_GB2312"/>
                <w:sz w:val="24"/>
                <w:color w:val="000000"/>
              </w:rPr>
              <w:t>鄂托克旗人民政府</w:t>
            </w:r>
            <w:r>
              <w:rPr>
                <w:rFonts w:ascii="仿宋_GB2312" w:hAnsi="仿宋_GB2312" w:cs="仿宋_GB2312" w:eastAsia="仿宋_GB2312"/>
                <w:sz w:val="24"/>
                <w:color w:val="000000"/>
              </w:rPr>
              <w:t>关于制定</w:t>
            </w:r>
            <w:r>
              <w:rPr>
                <w:rFonts w:ascii="仿宋_GB2312" w:hAnsi="仿宋_GB2312" w:cs="仿宋_GB2312" w:eastAsia="仿宋_GB2312"/>
                <w:sz w:val="24"/>
                <w:color w:val="000000"/>
              </w:rPr>
              <w:t>鄂托克旗</w:t>
            </w:r>
            <w:r>
              <w:rPr>
                <w:rFonts w:ascii="仿宋_GB2312" w:hAnsi="仿宋_GB2312" w:cs="仿宋_GB2312" w:eastAsia="仿宋_GB2312"/>
                <w:sz w:val="24"/>
                <w:color w:val="000000"/>
              </w:rPr>
              <w:t>国民经济和社会发展第十五个五年规划和</w:t>
            </w:r>
            <w:r>
              <w:rPr>
                <w:rFonts w:ascii="仿宋_GB2312" w:hAnsi="仿宋_GB2312" w:cs="仿宋_GB2312" w:eastAsia="仿宋_GB2312"/>
                <w:sz w:val="24"/>
                <w:color w:val="000000"/>
              </w:rPr>
              <w:t>二〇三五年远景目标</w:t>
            </w:r>
            <w:r>
              <w:rPr>
                <w:rFonts w:ascii="仿宋_GB2312" w:hAnsi="仿宋_GB2312" w:cs="仿宋_GB2312" w:eastAsia="仿宋_GB2312"/>
                <w:sz w:val="24"/>
                <w:color w:val="000000"/>
              </w:rPr>
              <w:t>纲要</w:t>
            </w:r>
            <w:r>
              <w:rPr>
                <w:rFonts w:ascii="仿宋_GB2312" w:hAnsi="仿宋_GB2312" w:cs="仿宋_GB2312" w:eastAsia="仿宋_GB2312"/>
                <w:sz w:val="24"/>
                <w:color w:val="000000"/>
              </w:rPr>
              <w:t>的建议》（简称《建议》）的起草基础材料。</w:t>
            </w:r>
          </w:p>
          <w:p>
            <w:pPr>
              <w:pStyle w:val="null5"/>
              <w:ind w:firstLine="480"/>
              <w:jc w:val="both"/>
            </w:pPr>
            <w:r>
              <w:rPr>
                <w:rFonts w:ascii="仿宋_GB2312" w:hAnsi="仿宋_GB2312" w:cs="仿宋_GB2312" w:eastAsia="仿宋_GB2312"/>
                <w:sz w:val="24"/>
                <w:color w:val="000000"/>
              </w:rPr>
              <w:t>第二阶段（</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7</w:t>
            </w:r>
            <w:r>
              <w:rPr>
                <w:rFonts w:ascii="仿宋_GB2312" w:hAnsi="仿宋_GB2312" w:cs="仿宋_GB2312" w:eastAsia="仿宋_GB2312"/>
                <w:sz w:val="24"/>
                <w:color w:val="000000"/>
              </w:rPr>
              <w:t>），在实地调研和研究基础上，</w:t>
            </w:r>
            <w:r>
              <w:rPr>
                <w:rFonts w:ascii="仿宋_GB2312" w:hAnsi="仿宋_GB2312" w:cs="仿宋_GB2312" w:eastAsia="仿宋_GB2312"/>
                <w:sz w:val="24"/>
                <w:color w:val="000000"/>
              </w:rPr>
              <w:t>形成</w:t>
            </w:r>
            <w:r>
              <w:rPr>
                <w:rFonts w:ascii="仿宋_GB2312" w:hAnsi="仿宋_GB2312" w:cs="仿宋_GB2312" w:eastAsia="仿宋_GB2312"/>
                <w:sz w:val="24"/>
                <w:color w:val="000000"/>
              </w:rPr>
              <w:t>《</w:t>
            </w:r>
            <w:r>
              <w:rPr>
                <w:rFonts w:ascii="仿宋_GB2312" w:hAnsi="仿宋_GB2312" w:cs="仿宋_GB2312" w:eastAsia="仿宋_GB2312"/>
                <w:sz w:val="24"/>
                <w:color w:val="000000"/>
              </w:rPr>
              <w:t>“十五五”规划纲要（</w:t>
            </w:r>
            <w:r>
              <w:rPr>
                <w:rFonts w:ascii="仿宋_GB2312" w:hAnsi="仿宋_GB2312" w:cs="仿宋_GB2312" w:eastAsia="仿宋_GB2312"/>
                <w:sz w:val="24"/>
                <w:color w:val="000000"/>
              </w:rPr>
              <w:t>初</w:t>
            </w:r>
            <w:r>
              <w:rPr>
                <w:rFonts w:ascii="仿宋_GB2312" w:hAnsi="仿宋_GB2312" w:cs="仿宋_GB2312" w:eastAsia="仿宋_GB2312"/>
                <w:sz w:val="24"/>
                <w:color w:val="000000"/>
              </w:rPr>
              <w:t>稿）》</w:t>
            </w:r>
            <w:r>
              <w:rPr>
                <w:rFonts w:ascii="仿宋_GB2312" w:hAnsi="仿宋_GB2312" w:cs="仿宋_GB2312" w:eastAsia="仿宋_GB2312"/>
                <w:sz w:val="24"/>
                <w:color w:val="000000"/>
              </w:rPr>
              <w:t>文本，</w:t>
            </w:r>
            <w:r>
              <w:rPr>
                <w:rFonts w:ascii="仿宋_GB2312" w:hAnsi="仿宋_GB2312" w:cs="仿宋_GB2312" w:eastAsia="仿宋_GB2312"/>
                <w:sz w:val="24"/>
                <w:color w:val="000000"/>
              </w:rPr>
              <w:t>经专家讨论评审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征求相关部门意见</w:t>
            </w:r>
            <w:r>
              <w:rPr>
                <w:rFonts w:ascii="仿宋_GB2312" w:hAnsi="仿宋_GB2312" w:cs="仿宋_GB2312" w:eastAsia="仿宋_GB2312"/>
                <w:sz w:val="24"/>
                <w:color w:val="000000"/>
              </w:rPr>
              <w:t>。</w:t>
            </w:r>
          </w:p>
          <w:p>
            <w:pPr>
              <w:pStyle w:val="null5"/>
              <w:ind w:firstLine="480"/>
              <w:jc w:val="both"/>
            </w:pPr>
            <w:r>
              <w:rPr>
                <w:rFonts w:ascii="仿宋_GB2312" w:hAnsi="仿宋_GB2312" w:cs="仿宋_GB2312" w:eastAsia="仿宋_GB2312"/>
                <w:sz w:val="24"/>
                <w:color w:val="000000"/>
              </w:rPr>
              <w:t>第三阶段</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8</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在《</w:t>
            </w:r>
            <w:r>
              <w:rPr>
                <w:rFonts w:ascii="仿宋_GB2312" w:hAnsi="仿宋_GB2312" w:cs="仿宋_GB2312" w:eastAsia="仿宋_GB2312"/>
                <w:sz w:val="24"/>
                <w:color w:val="000000"/>
              </w:rPr>
              <w:t>“十五五”规划纲要（</w:t>
            </w:r>
            <w:r>
              <w:rPr>
                <w:rFonts w:ascii="仿宋_GB2312" w:hAnsi="仿宋_GB2312" w:cs="仿宋_GB2312" w:eastAsia="仿宋_GB2312"/>
                <w:sz w:val="24"/>
                <w:color w:val="000000"/>
              </w:rPr>
              <w:t>初</w:t>
            </w:r>
            <w:r>
              <w:rPr>
                <w:rFonts w:ascii="仿宋_GB2312" w:hAnsi="仿宋_GB2312" w:cs="仿宋_GB2312" w:eastAsia="仿宋_GB2312"/>
                <w:sz w:val="24"/>
                <w:color w:val="000000"/>
              </w:rPr>
              <w:t>稿）》</w:t>
            </w:r>
            <w:r>
              <w:rPr>
                <w:rFonts w:ascii="仿宋_GB2312" w:hAnsi="仿宋_GB2312" w:cs="仿宋_GB2312" w:eastAsia="仿宋_GB2312"/>
                <w:sz w:val="24"/>
                <w:color w:val="000000"/>
              </w:rPr>
              <w:t>基础上，根据专家和相关部门意见进行修改完善后，形成</w:t>
            </w:r>
            <w:r>
              <w:rPr>
                <w:rFonts w:ascii="仿宋_GB2312" w:hAnsi="仿宋_GB2312" w:cs="仿宋_GB2312" w:eastAsia="仿宋_GB2312"/>
                <w:sz w:val="24"/>
                <w:color w:val="000000"/>
              </w:rPr>
              <w:t>《</w:t>
            </w:r>
            <w:r>
              <w:rPr>
                <w:rFonts w:ascii="仿宋_GB2312" w:hAnsi="仿宋_GB2312" w:cs="仿宋_GB2312" w:eastAsia="仿宋_GB2312"/>
                <w:sz w:val="24"/>
                <w:color w:val="000000"/>
              </w:rPr>
              <w:t>“十五五”规划纲要（讨论稿）》</w:t>
            </w:r>
            <w:r>
              <w:rPr>
                <w:rFonts w:ascii="仿宋_GB2312" w:hAnsi="仿宋_GB2312" w:cs="仿宋_GB2312" w:eastAsia="仿宋_GB2312"/>
                <w:sz w:val="24"/>
                <w:color w:val="000000"/>
              </w:rPr>
              <w:t>文本，提交</w:t>
            </w:r>
            <w:r>
              <w:rPr>
                <w:rFonts w:ascii="仿宋_GB2312" w:hAnsi="仿宋_GB2312" w:cs="仿宋_GB2312" w:eastAsia="仿宋_GB2312"/>
                <w:sz w:val="24"/>
                <w:color w:val="000000"/>
              </w:rPr>
              <w:t>旗委、</w:t>
            </w:r>
            <w:r>
              <w:rPr>
                <w:rFonts w:ascii="仿宋_GB2312" w:hAnsi="仿宋_GB2312" w:cs="仿宋_GB2312" w:eastAsia="仿宋_GB2312"/>
                <w:sz w:val="24"/>
                <w:color w:val="000000"/>
              </w:rPr>
              <w:t>政府审议。</w:t>
            </w:r>
          </w:p>
          <w:p>
            <w:pPr>
              <w:pStyle w:val="null5"/>
              <w:ind w:firstLine="480"/>
              <w:jc w:val="both"/>
            </w:pPr>
            <w:r>
              <w:rPr>
                <w:rFonts w:ascii="仿宋_GB2312" w:hAnsi="仿宋_GB2312" w:cs="仿宋_GB2312" w:eastAsia="仿宋_GB2312"/>
                <w:sz w:val="24"/>
                <w:color w:val="000000"/>
              </w:rPr>
              <w:t>第四阶段</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—202</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，在</w:t>
            </w:r>
            <w:r>
              <w:rPr>
                <w:rFonts w:ascii="仿宋_GB2312" w:hAnsi="仿宋_GB2312" w:cs="仿宋_GB2312" w:eastAsia="仿宋_GB2312"/>
                <w:sz w:val="24"/>
                <w:color w:val="000000"/>
              </w:rPr>
              <w:t>鄂托克旗人民政府</w:t>
            </w:r>
            <w:r>
              <w:rPr>
                <w:rFonts w:ascii="仿宋_GB2312" w:hAnsi="仿宋_GB2312" w:cs="仿宋_GB2312" w:eastAsia="仿宋_GB2312"/>
                <w:sz w:val="24"/>
                <w:color w:val="000000"/>
              </w:rPr>
              <w:t>《关于制定</w:t>
            </w:r>
            <w:r>
              <w:rPr>
                <w:rFonts w:ascii="仿宋_GB2312" w:hAnsi="仿宋_GB2312" w:cs="仿宋_GB2312" w:eastAsia="仿宋_GB2312"/>
                <w:sz w:val="24"/>
                <w:color w:val="000000"/>
              </w:rPr>
              <w:t>鄂托克旗</w:t>
            </w:r>
            <w:r>
              <w:rPr>
                <w:rFonts w:ascii="仿宋_GB2312" w:hAnsi="仿宋_GB2312" w:cs="仿宋_GB2312" w:eastAsia="仿宋_GB2312"/>
                <w:sz w:val="24"/>
                <w:color w:val="000000"/>
              </w:rPr>
              <w:t>国民经济和社会发展第十五个五年规划和</w:t>
            </w:r>
            <w:r>
              <w:rPr>
                <w:rFonts w:ascii="仿宋_GB2312" w:hAnsi="仿宋_GB2312" w:cs="仿宋_GB2312" w:eastAsia="仿宋_GB2312"/>
                <w:sz w:val="24"/>
                <w:color w:val="000000"/>
              </w:rPr>
              <w:t>二〇三五年远景目标</w:t>
            </w:r>
            <w:r>
              <w:rPr>
                <w:rFonts w:ascii="仿宋_GB2312" w:hAnsi="仿宋_GB2312" w:cs="仿宋_GB2312" w:eastAsia="仿宋_GB2312"/>
                <w:sz w:val="24"/>
                <w:color w:val="000000"/>
              </w:rPr>
              <w:t>纲要的建议》指导下，编制组对照《建议》补充、修改、完善最终完成《</w:t>
            </w:r>
            <w:r>
              <w:rPr>
                <w:rFonts w:ascii="仿宋_GB2312" w:hAnsi="仿宋_GB2312" w:cs="仿宋_GB2312" w:eastAsia="仿宋_GB2312"/>
                <w:sz w:val="24"/>
                <w:color w:val="000000"/>
              </w:rPr>
              <w:t>“十五五”规划纲要（审议稿）》文本。</w:t>
            </w:r>
          </w:p>
          <w:p>
            <w:pPr>
              <w:pStyle w:val="null5"/>
              <w:jc w:val="both"/>
            </w:pPr>
            <w:r>
              <w:rPr>
                <w:rFonts w:ascii="仿宋_GB2312" w:hAnsi="仿宋_GB2312" w:cs="仿宋_GB2312" w:eastAsia="仿宋_GB2312"/>
                <w:sz w:val="24"/>
                <w:color w:val="000000"/>
              </w:rPr>
              <w:t xml:space="preserve">   第五阶段</w:t>
            </w:r>
            <w:r>
              <w:rPr>
                <w:rFonts w:ascii="仿宋_GB2312" w:hAnsi="仿宋_GB2312" w:cs="仿宋_GB2312" w:eastAsia="仿宋_GB2312"/>
                <w:sz w:val="24"/>
                <w:color w:val="000000"/>
              </w:rPr>
              <w:t>（</w:t>
            </w:r>
            <w:r>
              <w:rPr>
                <w:rFonts w:ascii="仿宋_GB2312" w:hAnsi="仿宋_GB2312" w:cs="仿宋_GB2312" w:eastAsia="仿宋_GB2312"/>
                <w:sz w:val="24"/>
                <w:color w:val="000000"/>
              </w:rPr>
              <w:t>202</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—202</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，将《</w:t>
            </w:r>
            <w:r>
              <w:rPr>
                <w:rFonts w:ascii="仿宋_GB2312" w:hAnsi="仿宋_GB2312" w:cs="仿宋_GB2312" w:eastAsia="仿宋_GB2312"/>
                <w:sz w:val="24"/>
                <w:color w:val="000000"/>
              </w:rPr>
              <w:t>“十五五”规划纲要（审议稿）》文本提交</w:t>
            </w:r>
            <w:r>
              <w:rPr>
                <w:rFonts w:ascii="仿宋_GB2312" w:hAnsi="仿宋_GB2312" w:cs="仿宋_GB2312" w:eastAsia="仿宋_GB2312"/>
                <w:sz w:val="24"/>
                <w:color w:val="000000"/>
              </w:rPr>
              <w:t>旗</w:t>
            </w:r>
            <w:r>
              <w:rPr>
                <w:rFonts w:ascii="仿宋_GB2312" w:hAnsi="仿宋_GB2312" w:cs="仿宋_GB2312" w:eastAsia="仿宋_GB2312"/>
                <w:sz w:val="24"/>
                <w:color w:val="000000"/>
              </w:rPr>
              <w:t>政府审议后，经</w:t>
            </w:r>
            <w:r>
              <w:rPr>
                <w:rFonts w:ascii="仿宋_GB2312" w:hAnsi="仿宋_GB2312" w:cs="仿宋_GB2312" w:eastAsia="仿宋_GB2312"/>
                <w:sz w:val="24"/>
                <w:color w:val="000000"/>
              </w:rPr>
              <w:t>旗</w:t>
            </w:r>
            <w:r>
              <w:rPr>
                <w:rFonts w:ascii="仿宋_GB2312" w:hAnsi="仿宋_GB2312" w:cs="仿宋_GB2312" w:eastAsia="仿宋_GB2312"/>
                <w:sz w:val="24"/>
                <w:color w:val="000000"/>
              </w:rPr>
              <w:t>人民代表大会审议通过后</w:t>
            </w:r>
            <w:r>
              <w:rPr>
                <w:rFonts w:ascii="仿宋_GB2312" w:hAnsi="仿宋_GB2312" w:cs="仿宋_GB2312" w:eastAsia="仿宋_GB2312"/>
                <w:sz w:val="24"/>
                <w:color w:val="000000"/>
              </w:rPr>
              <w:t>印发</w:t>
            </w:r>
            <w:r>
              <w:rPr>
                <w:rFonts w:ascii="仿宋_GB2312" w:hAnsi="仿宋_GB2312" w:cs="仿宋_GB2312" w:eastAsia="仿宋_GB2312"/>
                <w:sz w:val="24"/>
                <w:color w:val="000000"/>
              </w:rPr>
              <w:t>。</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2"/>
              <w:jc w:val="both"/>
            </w:pPr>
            <w:r>
              <w:rPr>
                <w:rFonts w:ascii="仿宋_GB2312" w:hAnsi="仿宋_GB2312" w:cs="仿宋_GB2312" w:eastAsia="仿宋_GB2312"/>
                <w:sz w:val="24"/>
                <w:b/>
                <w:color w:val="000000"/>
              </w:rPr>
              <w:t>其他要求</w:t>
            </w:r>
          </w:p>
          <w:p>
            <w:pPr>
              <w:pStyle w:val="null5"/>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、项目名称为暂定，如后续国家或自治区对本项目有其他名称定义，本项目名称则随之调整为对应的名称。</w:t>
            </w:r>
          </w:p>
          <w:p>
            <w:pPr>
              <w:pStyle w:val="null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、后续国家或自治区对本项目有其他任务要求，中标单位要按照相应的政策调整服务内容。</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2"/>
              <w:jc w:val="both"/>
            </w:pPr>
            <w:r>
              <w:rPr>
                <w:rFonts w:ascii="仿宋_GB2312" w:hAnsi="仿宋_GB2312" w:cs="仿宋_GB2312" w:eastAsia="仿宋_GB2312"/>
                <w:sz w:val="24"/>
                <w:b/>
              </w:rPr>
              <w:t>验收要求</w:t>
            </w:r>
          </w:p>
          <w:p>
            <w:pPr>
              <w:pStyle w:val="null5"/>
              <w:jc w:val="both"/>
            </w:pPr>
            <w:r>
              <w:rPr>
                <w:rFonts w:ascii="仿宋_GB2312" w:hAnsi="仿宋_GB2312" w:cs="仿宋_GB2312" w:eastAsia="仿宋_GB2312"/>
                <w:sz w:val="24"/>
              </w:rPr>
              <w:t>成果文件最终通过专家评审。成交供应商提交报告成果后</w:t>
            </w:r>
            <w:r>
              <w:rPr>
                <w:rFonts w:ascii="仿宋_GB2312" w:hAnsi="仿宋_GB2312" w:cs="仿宋_GB2312" w:eastAsia="仿宋_GB2312"/>
                <w:sz w:val="24"/>
              </w:rPr>
              <w:t>，</w:t>
            </w:r>
            <w:r>
              <w:rPr>
                <w:rFonts w:ascii="仿宋_GB2312" w:hAnsi="仿宋_GB2312" w:cs="仿宋_GB2312" w:eastAsia="仿宋_GB2312"/>
                <w:sz w:val="24"/>
              </w:rPr>
              <w:t>采购人应按照采购文件约定的服务标准</w:t>
            </w:r>
            <w:r>
              <w:rPr>
                <w:rFonts w:ascii="仿宋_GB2312" w:hAnsi="仿宋_GB2312" w:cs="仿宋_GB2312" w:eastAsia="仿宋_GB2312"/>
                <w:sz w:val="24"/>
              </w:rPr>
              <w:t>要求</w:t>
            </w:r>
            <w:r>
              <w:rPr>
                <w:rFonts w:ascii="仿宋_GB2312" w:hAnsi="仿宋_GB2312" w:cs="仿宋_GB2312" w:eastAsia="仿宋_GB2312"/>
                <w:sz w:val="24"/>
              </w:rPr>
              <w:t>及本项目合同约定进行验收，未能通过采购人验收的，成交供应商应按照采购人意见重新调整后及时通知采购人再次进行验收；但无论如何，成交供应商应在本项目合同约定的期限内向采购人提交合格的报告成果。成交供应商未完成上述修改或修改后的报告成果仍不符合采购文件和本项目合同约定的，视为没有完成服务内容，应按本合同的有关约定承担违约责任。</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注：其他组织和自然人也需要提供缴纳税收的凭据和缴纳社保的凭证。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审查供应商提供加盖公章的《具有履行合同所必需的设备和专业技术能力承诺书》（格式内容自拟）。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项目实施服务方案</w:t>
            </w:r>
          </w:p>
        </w:tc>
        <w:tc>
          <w:tcPr>
            <w:tcW w:type="dxa" w:w="3115"/>
          </w:tcPr>
          <w:p>
            <w:pPr>
              <w:pStyle w:val="null5"/>
              <w:jc w:val="left"/>
            </w:pPr>
            <w:r>
              <w:rPr>
                <w:rFonts w:ascii="仿宋_GB2312" w:hAnsi="仿宋_GB2312" w:cs="仿宋_GB2312" w:eastAsia="仿宋_GB2312"/>
              </w:rPr>
              <w:t>项目服务方案部分要对项目服务范围、工作目标、工作重点及服务保障提出可操作性、创新性、有针对性并符合区域发展实际的措施等五个方面进行评审，每一项方案合理、全面且详细、专业可行最多得4分，本项最多得20分，不提供或提供内容不符合采购需求不得分。（提供内容不符合采购需求是指内容缺项漏项、不完整或缺少关键点；未对相应项 或关键点做出解释说明；对同一问题前后表述矛盾；客观上有先后顺序的，存在顺序错误的逻辑硬伤或漏洞；存在科学原理或常识错误；不利于本 项目目标的实现、现有技术条件下不可能出现的情形等任意一种情形）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总体思路及大纲</w:t>
            </w:r>
          </w:p>
        </w:tc>
        <w:tc>
          <w:tcPr>
            <w:tcW w:type="dxa" w:w="3115"/>
          </w:tcPr>
          <w:p>
            <w:pPr>
              <w:pStyle w:val="null5"/>
              <w:jc w:val="left"/>
            </w:pPr>
            <w:r>
              <w:rPr>
                <w:rFonts w:ascii="仿宋_GB2312" w:hAnsi="仿宋_GB2312" w:cs="仿宋_GB2312" w:eastAsia="仿宋_GB2312"/>
              </w:rPr>
              <w:t>根据各供应商针对本项目提供的总体研究思路及研究内容大纲；总体思路要具有明确的、符合区域实际的战略定位和发展目标；大纲要框架结构完整，逻辑清晰。 由磋商小组进行评议： ①有提出总体规划研究思路、大纲等相关内容，内容描述简短或内容有所欠缺或有部分不合理，但基本能符合项目需求的得6分； ②有提出总体研究思路、大纲等相关内容，有相应的大纲细则，总体合理可行，能保障项目顺利实施的得12分； ③在满足②的基础上，总体研究思路、大纲内容等相关内容准备充分、详实具有针对性，有利于项目实施的最多得18分； ④未提供或内容明显不合理或明显不符合本项目情况或缺乏实质性内容的不得分。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重点与难点分析</w:t>
            </w:r>
          </w:p>
        </w:tc>
        <w:tc>
          <w:tcPr>
            <w:tcW w:type="dxa" w:w="3115"/>
          </w:tcPr>
          <w:p>
            <w:pPr>
              <w:pStyle w:val="null5"/>
              <w:jc w:val="left"/>
            </w:pPr>
            <w:r>
              <w:rPr>
                <w:rFonts w:ascii="仿宋_GB2312" w:hAnsi="仿宋_GB2312" w:cs="仿宋_GB2312" w:eastAsia="仿宋_GB2312"/>
              </w:rPr>
              <w:t>根据对本项目的重点与难点分析综合进行评价： ①分析准确、有详细的保证措施、方向明确，重点突出，思路清晰、建议科学合理，得15分； ②分析方向较为明确，重点较为突出，思路较为清晰，得10分； ③分析方向不够明确，重点不够突出，思路不够清晰，得5分； ④未提供或内容明显不合理或明显不符合本项目情况或缺乏实质性内容的不得分。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组织机构管理</w:t>
            </w:r>
          </w:p>
        </w:tc>
        <w:tc>
          <w:tcPr>
            <w:tcW w:type="dxa" w:w="3115"/>
          </w:tcPr>
          <w:p>
            <w:pPr>
              <w:pStyle w:val="null5"/>
              <w:jc w:val="left"/>
            </w:pPr>
            <w:r>
              <w:rPr>
                <w:rFonts w:ascii="仿宋_GB2312" w:hAnsi="仿宋_GB2312" w:cs="仿宋_GB2312" w:eastAsia="仿宋_GB2312"/>
              </w:rPr>
              <w:t>供应商须针对本项目采购内容及特点提供组织机构管理的表述，包括但不限于：人员配置、岗位及职责划分、人员数量、人员的稳定性保证措施，每一项方案合理、全面且详细、专业可行最多得1分，本项最多得4分，不提供或提供内容不符合采购需求不得分。（提供内容不符合采购需求是指内容缺项漏项、不完整或缺少关键点；未对相应项或关键点做出解释说明；对同一问题前后表述矛盾；客观上有先后顺序的，存在顺序错误的逻辑硬伤或漏洞；存在科学原理或常识错误；不利于本项目目标的实现、现有技术条件下不可能出现的情形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服务保障承诺</w:t>
            </w:r>
          </w:p>
        </w:tc>
        <w:tc>
          <w:tcPr>
            <w:tcW w:type="dxa" w:w="3115"/>
          </w:tcPr>
          <w:p>
            <w:pPr>
              <w:pStyle w:val="null5"/>
              <w:jc w:val="left"/>
            </w:pPr>
            <w:r>
              <w:rPr>
                <w:rFonts w:ascii="仿宋_GB2312" w:hAnsi="仿宋_GB2312" w:cs="仿宋_GB2312" w:eastAsia="仿宋_GB2312"/>
              </w:rPr>
              <w:t>根据供应商项目质量及服务保障承诺综合进行评价， ①方案完整度高、保障措施众多、具有完善的监管体系、应急状况下响应时效性强，完全满足采购需求，得6分； ②方案完整度一般、保障措施一般 、监管体系一般、应急状况下响应时效性一般，基本满足采购需求，得4分； ③方案完整度较差、保障措施较少、监管体系较弱、应急状况下响应时效较差，勉强满足采购需求，得2分； ④方案完整度差、保障措施缺失、不具备监管体系、应急状况下响应时效性滞后，无法完全满足采购需求，得1分； ⑤未提供任何方案得0分。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项目进度安排</w:t>
            </w:r>
          </w:p>
        </w:tc>
        <w:tc>
          <w:tcPr>
            <w:tcW w:type="dxa" w:w="3115"/>
          </w:tcPr>
          <w:p>
            <w:pPr>
              <w:pStyle w:val="null5"/>
              <w:jc w:val="left"/>
            </w:pPr>
            <w:r>
              <w:rPr>
                <w:rFonts w:ascii="仿宋_GB2312" w:hAnsi="仿宋_GB2312" w:cs="仿宋_GB2312" w:eastAsia="仿宋_GB2312"/>
              </w:rPr>
              <w:t>供应商根据本项目采购需求编制针对性进度安排，是否能按照采购方要求 在规定时间内完成编制成果的修改、调整、优化工作方案进行评审，内容包含：①进度保障措施；②各阶段时间节点；③各环节衔接工作的配合；④ 临时调整措施；⑤应急处理能力等五个方面进行评审，每一项方案合理、全面且详细、专业可行最多得1.2分，本项最多得6分，不提供或提供内容不符合采购需求不得分。（提供内容不符合采购需求是指内容缺项漏项、不完整或缺少关键点；未对相应项 或关键点做出解释说明；对同一问题前后表述矛盾；客观上有先后顺序的，存在顺序错误的逻辑硬伤或漏洞；存在科学原理或常识错误；不利于本 项目目标的实现、现有技术条件下不可能出现的情形等任意一种情形）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供应商须针对本项目采购内容及特点提供信息保密措施的表述，包括但不限于：对采购人提供的基础数据以及项目服务过程及成果资料的信息安全及保密措施、保密管理制度、安全及保密培训。每一项方案合理、全面且详细、专业可行最多得2分，本项最多得6分，不提供或提供内容不符合采购需求不得分。（提供内容不符合采购需求是指内容缺项漏项、不完整或缺少关键点；未对相应项 或关键点做出解释说明；对同一问题前后表述矛盾；客观上有先后顺序的，存在顺序错误的逻辑硬伤或漏洞；存在科学原理或常识错误；不利于本 项目目标的实现、现有技术条件下不可能出现的情形等任意一种情形）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需提供近年（2021年1月1日至今，以合同或协议书签订时间为准）的编制过“十四五”、“十五五”规划或课题研究类似服务业绩，响应文件中需附有其业绩证明材料，业绩以供应商的合同或协议书为依据，每提供一个得2.5分，满分10分。 注：业绩中甲乙双方签章、合同签订时间、合同金额和服务内容必须清晰，否则不予评分。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1.拟派本项目的项目负责人： 具有高级技术职称和注册咨询工程师 （投资）职业注册证书的得2分； 2.项目组成员（项目负责人除外），每配备1名高级及以上技术职称人员 ，得1分 ；每配备1名中级技术职称或注册咨询工程师（投资）人员得0.5分，本项最多得3分。 注：项目负责人只能指定为1人。需提供项目负责人、项目组成员职称证书扫描件或咨询工程师（投资）注册证书扫描件、身份证扫描件及近六个月任意一个月社保证明。 项目组成员如一人同时具备上述条件不重复计分。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