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购买社会调查（社会救助家庭经济状况入户调查）服务项目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鄂托克旗民政局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鄂尔多斯市巨立项目管理有限责任公司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ESZCEQS-C-F-250009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鄂尔多斯市巨立项目管理有限责任公司</w:t>
      </w:r>
      <w:r>
        <w:rPr>
          <w:rFonts w:ascii="仿宋_GB2312" w:hAnsi="仿宋_GB2312" w:cs="仿宋_GB2312" w:eastAsia="仿宋_GB2312"/>
        </w:rPr>
        <w:t xml:space="preserve"> 受 </w:t>
      </w:r>
      <w:r>
        <w:rPr>
          <w:rFonts w:ascii="仿宋_GB2312" w:hAnsi="仿宋_GB2312" w:cs="仿宋_GB2312" w:eastAsia="仿宋_GB2312"/>
        </w:rPr>
        <w:t>鄂托克旗民政局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购买社会调查（社会救助家庭经济状况入户调查）服务项目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购买社会调查（社会救助家庭经济状况入户调查）服务项目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ESZCEQS-C-F-250009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432[2025]00047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购买社会调查（社会救助家庭经济状况入户调查）服务项目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鄂尔多斯市巨立项目管理有限责任公司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内蒙古自治区鄂尔多斯市鄂托克旗都斯图路北农行东100米处</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宝音其古拉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15248479666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鄂托克旗民政局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李勇兴</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0477-6212016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代理服务费收费标准：中标服务费10000元。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鄂托克旗民政局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鄂尔多斯市巨立项目管理有限责任公司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对鄂托克旗所有在享的城乡低保、特困供养人员、困难家庭临时救助对象、低保边缘家庭和刚性支出困难家庭的家庭成员、乡村振兴认定的困难人员收入、财产、刚性支出等情况的真实性和完整性进行核实调查，对在享特困供养人员进行自理能力认定等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服务期限一年</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鄂托克旗</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1、合同签订后支付合同价款的 30%，达到付款条件起30日，支付合同总金额的30.00%</w:t>
            </w:r>
          </w:p>
          <w:p>
            <w:pPr>
              <w:pStyle w:val="null5"/>
              <w:jc w:val="left"/>
            </w:pPr>
            <w:r>
              <w:rPr>
                <w:rFonts w:ascii="仿宋_GB2312" w:hAnsi="仿宋_GB2312" w:cs="仿宋_GB2312" w:eastAsia="仿宋_GB2312"/>
              </w:rPr>
              <w:t>2、项目中期考核合格后支付合同价款的50%，达到付款条件起30日，支付合同总金额的50.00%</w:t>
            </w:r>
          </w:p>
          <w:p>
            <w:pPr>
              <w:pStyle w:val="null5"/>
              <w:jc w:val="left"/>
            </w:pPr>
            <w:r>
              <w:rPr>
                <w:rFonts w:ascii="仿宋_GB2312" w:hAnsi="仿宋_GB2312" w:cs="仿宋_GB2312" w:eastAsia="仿宋_GB2312"/>
              </w:rPr>
              <w:t>3、项目完成并验收合格后支付剩余合同价款的20%，达到付款条件起30日，支付合同总金额的20.00%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标的名称：购买社会调查（社会救助家庭经济状况入户调查）服务项目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150" w:after="150"/>
              <w:jc w:val="left"/>
            </w:pPr>
            <w:r>
              <w:rPr>
                <w:rFonts w:ascii="仿宋_GB2312" w:hAnsi="仿宋_GB2312" w:cs="仿宋_GB2312" w:eastAsia="仿宋_GB2312"/>
                <w:sz w:val="24"/>
                <w:b/>
              </w:rPr>
              <w:t>服务内容</w:t>
            </w:r>
          </w:p>
          <w:p>
            <w:pPr>
              <w:pStyle w:val="null5"/>
              <w:spacing w:before="150" w:after="150"/>
              <w:ind w:firstLine="480"/>
              <w:jc w:val="left"/>
            </w:pPr>
            <w:r>
              <w:rPr>
                <w:rFonts w:ascii="仿宋_GB2312" w:hAnsi="仿宋_GB2312" w:cs="仿宋_GB2312" w:eastAsia="仿宋_GB2312"/>
                <w:sz w:val="24"/>
              </w:rPr>
              <w:t>1.对在享城乡居民最低生活保障对象家庭开展经济状况入户调查工作（A类管理对象要求每年复核一次，B类管理对象每半年复核一次）</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p>
          <w:p>
            <w:pPr>
              <w:pStyle w:val="null5"/>
              <w:spacing w:before="150" w:after="150"/>
              <w:ind w:firstLine="480"/>
              <w:jc w:val="left"/>
            </w:pPr>
            <w:r>
              <w:rPr>
                <w:rFonts w:ascii="仿宋_GB2312" w:hAnsi="仿宋_GB2312" w:cs="仿宋_GB2312" w:eastAsia="仿宋_GB2312"/>
                <w:sz w:val="24"/>
              </w:rPr>
              <w:t>2.对在享城乡特困供养人员开展经济状况入户调查</w:t>
            </w:r>
            <w:r>
              <w:rPr>
                <w:rFonts w:ascii="仿宋_GB2312" w:hAnsi="仿宋_GB2312" w:cs="仿宋_GB2312" w:eastAsia="仿宋_GB2312"/>
                <w:sz w:val="24"/>
              </w:rPr>
              <w:t>工作；</w:t>
            </w:r>
          </w:p>
          <w:p>
            <w:pPr>
              <w:pStyle w:val="null5"/>
              <w:spacing w:before="150" w:after="150"/>
              <w:ind w:firstLine="480"/>
              <w:jc w:val="left"/>
            </w:pPr>
            <w:r>
              <w:rPr>
                <w:rFonts w:ascii="仿宋_GB2312" w:hAnsi="仿宋_GB2312" w:cs="仿宋_GB2312" w:eastAsia="仿宋_GB2312"/>
                <w:sz w:val="24"/>
              </w:rPr>
              <w:t>3.对城乡低保边缘家庭和刚性支出困难家庭开展经济状况入户调查</w:t>
            </w:r>
            <w:r>
              <w:rPr>
                <w:rFonts w:ascii="仿宋_GB2312" w:hAnsi="仿宋_GB2312" w:cs="仿宋_GB2312" w:eastAsia="仿宋_GB2312"/>
                <w:sz w:val="24"/>
              </w:rPr>
              <w:t>工作；</w:t>
            </w:r>
          </w:p>
          <w:p>
            <w:pPr>
              <w:pStyle w:val="null5"/>
              <w:spacing w:before="150" w:after="150"/>
              <w:ind w:firstLine="480"/>
              <w:jc w:val="left"/>
            </w:pPr>
            <w:r>
              <w:rPr>
                <w:rFonts w:ascii="仿宋_GB2312" w:hAnsi="仿宋_GB2312" w:cs="仿宋_GB2312" w:eastAsia="仿宋_GB2312"/>
                <w:sz w:val="24"/>
              </w:rPr>
              <w:t>4.对城乡在享特困供养人员开展自理能力认定工作</w:t>
            </w:r>
            <w:r>
              <w:rPr>
                <w:rFonts w:ascii="仿宋_GB2312" w:hAnsi="仿宋_GB2312" w:cs="仿宋_GB2312" w:eastAsia="仿宋_GB2312"/>
                <w:sz w:val="24"/>
              </w:rPr>
              <w:t>；</w:t>
            </w:r>
          </w:p>
          <w:p>
            <w:pPr>
              <w:pStyle w:val="null5"/>
              <w:spacing w:before="150" w:after="150"/>
              <w:ind w:firstLine="480"/>
              <w:jc w:val="left"/>
            </w:pPr>
            <w:r>
              <w:rPr>
                <w:rFonts w:ascii="仿宋_GB2312" w:hAnsi="仿宋_GB2312" w:cs="仿宋_GB2312" w:eastAsia="仿宋_GB2312"/>
                <w:sz w:val="24"/>
              </w:rPr>
              <w:t>5.对申请困难家庭临时救助金额在城乡低保标准12倍以上的困难家庭开展临时救助经济状况入户调查工作；</w:t>
            </w:r>
          </w:p>
          <w:p>
            <w:pPr>
              <w:pStyle w:val="null5"/>
              <w:spacing w:before="150" w:after="150"/>
              <w:ind w:firstLine="480"/>
              <w:jc w:val="left"/>
            </w:pPr>
            <w:r>
              <w:rPr>
                <w:rFonts w:ascii="仿宋_GB2312" w:hAnsi="仿宋_GB2312" w:cs="仿宋_GB2312" w:eastAsia="仿宋_GB2312"/>
                <w:sz w:val="24"/>
              </w:rPr>
              <w:t>6.协助鄂托克旗民政局完成民政局与本级核对平台对接和自治区、市、旗、跨旗区信息核对工作，做好鄂托克旗本级数据审核和推送工作；</w:t>
            </w:r>
          </w:p>
          <w:p>
            <w:pPr>
              <w:pStyle w:val="null5"/>
              <w:spacing w:before="150" w:after="150"/>
              <w:ind w:firstLine="480"/>
              <w:jc w:val="left"/>
            </w:pPr>
            <w:r>
              <w:rPr>
                <w:rFonts w:ascii="仿宋_GB2312" w:hAnsi="仿宋_GB2312" w:cs="仿宋_GB2312" w:eastAsia="仿宋_GB2312"/>
                <w:sz w:val="24"/>
              </w:rPr>
              <w:t>7.根据旗民政局工作安排，每月与旗本级公安部门车辆、户籍，财政部门财政供养人员、"一卡通"社会救助资金发放，编制部门在编人员，人社部门养老、失业、社保，住建部门公积金、房屋产权登记，工商部门个体工商户信息，税务部门缴税信息，卫健部门死亡人员信息，银行存款、商业保险、有价证券、互联网金融资产等信息进行比对核查。</w:t>
            </w:r>
          </w:p>
          <w:p>
            <w:pPr>
              <w:pStyle w:val="null5"/>
              <w:spacing w:before="150" w:after="150"/>
              <w:ind w:firstLine="480"/>
              <w:jc w:val="left"/>
            </w:pPr>
            <w:r>
              <w:rPr>
                <w:rFonts w:ascii="仿宋_GB2312" w:hAnsi="仿宋_GB2312" w:cs="仿宋_GB2312" w:eastAsia="仿宋_GB2312"/>
                <w:sz w:val="24"/>
              </w:rPr>
              <w:t>8.向全旗6个苏木镇的民政办提供委托查询服务并及时返回数据查询结果。</w:t>
            </w:r>
          </w:p>
          <w:p>
            <w:pPr>
              <w:pStyle w:val="null5"/>
              <w:spacing w:before="150" w:after="150"/>
              <w:ind w:firstLine="480"/>
              <w:jc w:val="left"/>
            </w:pPr>
            <w:r>
              <w:rPr>
                <w:rFonts w:ascii="仿宋_GB2312" w:hAnsi="仿宋_GB2312" w:cs="仿宋_GB2312" w:eastAsia="仿宋_GB2312"/>
                <w:sz w:val="24"/>
              </w:rPr>
              <w:t>9.向旗本级社会救助部门提供委托查询服务并及时返回数据查询结果。</w:t>
            </w:r>
          </w:p>
          <w:p>
            <w:pPr>
              <w:pStyle w:val="null5"/>
              <w:spacing w:before="150" w:after="150"/>
              <w:ind w:firstLine="480"/>
              <w:jc w:val="left"/>
            </w:pPr>
            <w:r>
              <w:rPr>
                <w:rFonts w:ascii="仿宋_GB2312" w:hAnsi="仿宋_GB2312" w:cs="仿宋_GB2312" w:eastAsia="仿宋_GB2312"/>
                <w:sz w:val="24"/>
              </w:rPr>
              <w:t>10.对各苏木镇反馈的核对问题数据分类整理并进行核查操作。</w:t>
            </w:r>
          </w:p>
          <w:p>
            <w:pPr>
              <w:pStyle w:val="null5"/>
              <w:spacing w:before="150" w:after="150"/>
              <w:ind w:firstLine="480"/>
              <w:jc w:val="left"/>
            </w:pPr>
            <w:r>
              <w:rPr>
                <w:rFonts w:ascii="仿宋_GB2312" w:hAnsi="仿宋_GB2312" w:cs="仿宋_GB2312" w:eastAsia="仿宋_GB2312"/>
                <w:sz w:val="24"/>
              </w:rPr>
              <w:t>11.定期对全旗核对结果进行信息统计、数据分析，撰写核对信息分析报告。</w:t>
            </w:r>
          </w:p>
          <w:p>
            <w:pPr>
              <w:pStyle w:val="null5"/>
              <w:spacing w:before="150" w:after="150"/>
              <w:ind w:firstLine="480"/>
              <w:jc w:val="left"/>
            </w:pPr>
            <w:r>
              <w:rPr>
                <w:rFonts w:ascii="仿宋_GB2312" w:hAnsi="仿宋_GB2312" w:cs="仿宋_GB2312" w:eastAsia="仿宋_GB2312"/>
                <w:sz w:val="24"/>
              </w:rPr>
              <w:t>12.完成相关核对档案和电子档案的整理归档。</w:t>
            </w:r>
          </w:p>
          <w:p>
            <w:pPr>
              <w:pStyle w:val="null5"/>
              <w:spacing w:before="150" w:after="150"/>
              <w:ind w:firstLine="480"/>
              <w:jc w:val="left"/>
            </w:pPr>
            <w:r>
              <w:rPr>
                <w:rFonts w:ascii="仿宋_GB2312" w:hAnsi="仿宋_GB2312" w:cs="仿宋_GB2312" w:eastAsia="仿宋_GB2312"/>
                <w:sz w:val="24"/>
              </w:rPr>
              <w:t>13.做好全旗社会救助家庭经济状况入户调查工作技术人员每年至少一次的培训工作；</w:t>
            </w:r>
          </w:p>
          <w:p>
            <w:pPr>
              <w:pStyle w:val="null5"/>
              <w:spacing w:before="150" w:after="150"/>
              <w:ind w:firstLine="480"/>
              <w:jc w:val="left"/>
            </w:pPr>
            <w:r>
              <w:rPr>
                <w:rFonts w:ascii="仿宋_GB2312" w:hAnsi="仿宋_GB2312" w:cs="仿宋_GB2312" w:eastAsia="仿宋_GB2312"/>
                <w:sz w:val="24"/>
              </w:rPr>
              <w:t>14.为进一步加强社会救助兜底保障工作，切实巩固拓展脱贫攻坚成果与乡村振兴有效衔接，在旗民政局指导下，对脱贫不稳定户、边缘易致贫户和异地搬迁户开展家庭经济状况入户调查工作，及时将满足救助标准的人员纳入救助范围；</w:t>
            </w:r>
          </w:p>
          <w:p>
            <w:pPr>
              <w:pStyle w:val="null5"/>
              <w:spacing w:before="150" w:after="150"/>
              <w:ind w:firstLine="480"/>
              <w:jc w:val="left"/>
            </w:pPr>
            <w:r>
              <w:rPr>
                <w:rFonts w:ascii="仿宋_GB2312" w:hAnsi="仿宋_GB2312" w:cs="仿宋_GB2312" w:eastAsia="仿宋_GB2312"/>
                <w:sz w:val="24"/>
              </w:rPr>
              <w:t>15.开展社会救助政策宣传工作。</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b/>
              </w:rPr>
              <w:t>调查对象范围:</w:t>
            </w:r>
            <w:r>
              <w:rPr>
                <w:rFonts w:ascii="仿宋_GB2312" w:hAnsi="仿宋_GB2312" w:cs="仿宋_GB2312" w:eastAsia="仿宋_GB2312"/>
                <w:sz w:val="24"/>
              </w:rPr>
              <w:t>在享城乡最低生活保障家庭、特困供养对象；低保边缘家庭、刚性支出困难家庭；困难家庭临时救助对象（申请金额在城乡低保标准</w:t>
            </w:r>
            <w:r>
              <w:rPr>
                <w:rFonts w:ascii="仿宋_GB2312" w:hAnsi="仿宋_GB2312" w:cs="仿宋_GB2312" w:eastAsia="仿宋_GB2312"/>
                <w:sz w:val="24"/>
              </w:rPr>
              <w:t>12倍以上）</w:t>
            </w:r>
            <w:r>
              <w:rPr>
                <w:rFonts w:ascii="仿宋_GB2312" w:hAnsi="仿宋_GB2312" w:cs="仿宋_GB2312" w:eastAsia="仿宋_GB2312"/>
                <w:sz w:val="24"/>
              </w:rPr>
              <w:t>；脱贫不稳定户</w:t>
            </w:r>
            <w:r>
              <w:rPr>
                <w:rFonts w:ascii="仿宋_GB2312" w:hAnsi="仿宋_GB2312" w:cs="仿宋_GB2312" w:eastAsia="仿宋_GB2312"/>
                <w:sz w:val="24"/>
              </w:rPr>
              <w:t>、边缘易致贫户和异地搬迁户。</w:t>
            </w:r>
          </w:p>
          <w:p>
            <w:pPr>
              <w:pStyle w:val="null5"/>
              <w:jc w:val="both"/>
            </w:pP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outlineLvl w:val="1"/>
            </w:pPr>
            <w:r>
              <w:rPr>
                <w:rFonts w:ascii="仿宋_GB2312" w:hAnsi="仿宋_GB2312" w:cs="仿宋_GB2312" w:eastAsia="仿宋_GB2312"/>
                <w:sz w:val="24"/>
                <w:b/>
              </w:rPr>
              <w:t>受益对象范围:</w:t>
            </w:r>
            <w:r>
              <w:rPr>
                <w:rFonts w:ascii="仿宋_GB2312" w:hAnsi="仿宋_GB2312" w:cs="仿宋_GB2312" w:eastAsia="仿宋_GB2312"/>
                <w:sz w:val="24"/>
                <w:b/>
              </w:rPr>
              <w:t>本项目涉及的受益对象为鄂托克旗户籍的在享低收入人口（最低生活保障家庭成员、特困供养对象、低保边缘家庭成员、刚性支出困难家庭成员）；困难家庭临时救助对象（申请金额在城乡低保标准</w:t>
            </w:r>
            <w:r>
              <w:rPr>
                <w:rFonts w:ascii="仿宋_GB2312" w:hAnsi="仿宋_GB2312" w:cs="仿宋_GB2312" w:eastAsia="仿宋_GB2312"/>
                <w:sz w:val="24"/>
                <w:b/>
              </w:rPr>
              <w:t>12倍以上）</w:t>
            </w:r>
            <w:r>
              <w:rPr>
                <w:rFonts w:ascii="仿宋_GB2312" w:hAnsi="仿宋_GB2312" w:cs="仿宋_GB2312" w:eastAsia="仿宋_GB2312"/>
                <w:sz w:val="24"/>
                <w:b/>
              </w:rPr>
              <w:t>；脱贫不稳定户</w:t>
            </w:r>
            <w:r>
              <w:rPr>
                <w:rFonts w:ascii="仿宋_GB2312" w:hAnsi="仿宋_GB2312" w:cs="仿宋_GB2312" w:eastAsia="仿宋_GB2312"/>
                <w:sz w:val="24"/>
                <w:b/>
              </w:rPr>
              <w:t>、边缘易致贫户和异地搬迁户。</w:t>
            </w:r>
          </w:p>
          <w:p>
            <w:pPr>
              <w:pStyle w:val="null5"/>
              <w:jc w:val="both"/>
            </w:pP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120"/>
              <w:jc w:val="left"/>
              <w:outlineLvl w:val="1"/>
            </w:pPr>
            <w:r>
              <w:rPr>
                <w:rFonts w:ascii="仿宋_GB2312" w:hAnsi="仿宋_GB2312" w:cs="仿宋_GB2312" w:eastAsia="仿宋_GB2312"/>
                <w:sz w:val="24"/>
                <w:b/>
              </w:rPr>
              <w:t>服务质量要求:</w:t>
            </w:r>
            <w:r>
              <w:rPr>
                <w:rFonts w:ascii="仿宋_GB2312" w:hAnsi="仿宋_GB2312" w:cs="仿宋_GB2312" w:eastAsia="仿宋_GB2312"/>
                <w:sz w:val="24"/>
                <w:b/>
              </w:rPr>
              <w:t>1.承接主体按照要求通过入户调查、邻里走访、信函索证等方式对申请人所申报的家庭成员、收入、财产、刚性支出等情况的真实性和完整性逐一进行核实。</w:t>
            </w:r>
          </w:p>
          <w:p>
            <w:pPr>
              <w:pStyle w:val="null5"/>
              <w:jc w:val="left"/>
            </w:pPr>
            <w:r>
              <w:rPr>
                <w:rFonts w:ascii="仿宋_GB2312" w:hAnsi="仿宋_GB2312" w:cs="仿宋_GB2312" w:eastAsia="仿宋_GB2312"/>
                <w:sz w:val="24"/>
              </w:rPr>
              <w:t>2.承接主体要严格按照调查流程进行核实，入户调查时必须有2名以上工作人员共同进行，做到不漏户、不漏人、不漏项。既坚持调查核实环节公开、透明，又保证调查内容的真实、可靠。并严格实行“谁调查、谁签字、谁负责”的首问责任制。</w:t>
            </w:r>
          </w:p>
          <w:p>
            <w:pPr>
              <w:pStyle w:val="null5"/>
              <w:jc w:val="left"/>
            </w:pPr>
            <w:r>
              <w:rPr>
                <w:rFonts w:ascii="仿宋_GB2312" w:hAnsi="仿宋_GB2312" w:cs="仿宋_GB2312" w:eastAsia="仿宋_GB2312"/>
                <w:sz w:val="24"/>
              </w:rPr>
              <w:t>3.承接主体要按时完成职责范围内调查表格、数据等的分类归档，统计分析、情况反馈、总结上报等相关工作。</w:t>
            </w:r>
          </w:p>
          <w:p>
            <w:pPr>
              <w:pStyle w:val="null5"/>
              <w:jc w:val="left"/>
            </w:pPr>
            <w:r>
              <w:rPr>
                <w:rFonts w:ascii="仿宋_GB2312" w:hAnsi="仿宋_GB2312" w:cs="仿宋_GB2312" w:eastAsia="仿宋_GB2312"/>
                <w:sz w:val="24"/>
              </w:rPr>
              <w:t>4.承接主体工作人员，在入户调查时，要做好困难群众的心理疏导工作和相关救助政策宣传工作，避免发生冲突，以大幅提升广大群众对社会救助工作的公信力和可信度。</w:t>
            </w:r>
          </w:p>
          <w:p>
            <w:pPr>
              <w:pStyle w:val="null5"/>
              <w:jc w:val="left"/>
            </w:pPr>
            <w:r>
              <w:rPr>
                <w:rFonts w:ascii="仿宋_GB2312" w:hAnsi="仿宋_GB2312" w:cs="仿宋_GB2312" w:eastAsia="仿宋_GB2312"/>
                <w:sz w:val="24"/>
              </w:rPr>
              <w:t>5.承接主体按要求完成特困人员自理能力认定工作，入户开展认定工作人员中至少有一人具有国家规定的可以进行自理能力认定的人员。</w:t>
            </w:r>
          </w:p>
          <w:p>
            <w:pPr>
              <w:pStyle w:val="null5"/>
              <w:jc w:val="left"/>
            </w:pPr>
            <w:r>
              <w:rPr>
                <w:rFonts w:ascii="仿宋_GB2312" w:hAnsi="仿宋_GB2312" w:cs="仿宋_GB2312" w:eastAsia="仿宋_GB2312"/>
                <w:sz w:val="24"/>
              </w:rPr>
              <w:t>6. 承接主体按要求配备入户调查必要的设施设备。</w:t>
            </w:r>
          </w:p>
          <w:p>
            <w:pPr>
              <w:pStyle w:val="null5"/>
              <w:ind w:firstLine="600"/>
              <w:jc w:val="both"/>
              <w:outlineLvl w:val="1"/>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供应商提供服务方案中项目保障措施、团队分工、岗位职责、应急预案等配套实施方案，每有一项得2分，最多得8分，不提供不得分。在此基础上，方案条理清晰，有针对性，可操作性强的，加7分； 方案基本合理可行，有一定针对性的，加4分；方案简单，可操作性一般的，加2分；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工作安排及进度计划</w:t>
            </w:r>
          </w:p>
        </w:tc>
        <w:tc>
          <w:tcPr>
            <w:tcW w:type="dxa" w:w="3115"/>
          </w:tcPr>
          <w:p>
            <w:pPr>
              <w:pStyle w:val="null5"/>
              <w:jc w:val="left"/>
            </w:pPr>
            <w:r>
              <w:rPr>
                <w:rFonts w:ascii="仿宋_GB2312" w:hAnsi="仿宋_GB2312" w:cs="仿宋_GB2312" w:eastAsia="仿宋_GB2312"/>
              </w:rPr>
              <w:t>供应商提供的项目进度计划与措施中进度计划安排、进度目标、计划保障措施等，每有一项得2分，最多得6分，不提供不得分。在此基础上，进度计划安排详细合理，目标明确，各项措施合理可行的，加4分；进度计划安排基本满足项目需求，有进度目标、各项措施基本完善的，加2分；项目进度计划与措施的简单，可行性差的，加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供应商提供服务质量保障方案中质量管理目标、质量管理计划、质量管理机构、质量管理职责、质量管理措施等配套方案，每有一项得2分，最多得10分， 不提供不得分。在此基础上，服务质量保障方案合理详细、职责明确， 针对性强的，加5分；服务质量保障方案基本合理可行、基本完善的，加3分 ；服务质量保障方案简单，未明确针对本项目的，加1分；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服务难点分析及风险判断</w:t>
            </w:r>
          </w:p>
        </w:tc>
        <w:tc>
          <w:tcPr>
            <w:tcW w:type="dxa" w:w="3115"/>
          </w:tcPr>
          <w:p>
            <w:pPr>
              <w:pStyle w:val="null5"/>
              <w:jc w:val="left"/>
            </w:pPr>
            <w:r>
              <w:rPr>
                <w:rFonts w:ascii="仿宋_GB2312" w:hAnsi="仿宋_GB2312" w:cs="仿宋_GB2312" w:eastAsia="仿宋_GB2312"/>
              </w:rPr>
              <w:t>供应商项目方案中有难点分析及风险判断配套方案，每有一项得3分， 最高得6分，不提供不得分；在此基础上项目重点、难点分析全面、合理 ，提出合理化建议方案，实施措施切实可行的，加4分；项目重点、难点 分析现实、合理，提出可行性建议方, 实施措施基本可行的，加2分；有项 目重点、难点分析，但方案简单的，加1分；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保密性、规范性方案</w:t>
            </w:r>
          </w:p>
        </w:tc>
        <w:tc>
          <w:tcPr>
            <w:tcW w:type="dxa" w:w="3115"/>
          </w:tcPr>
          <w:p>
            <w:pPr>
              <w:pStyle w:val="null5"/>
              <w:jc w:val="left"/>
            </w:pPr>
            <w:r>
              <w:rPr>
                <w:rFonts w:ascii="仿宋_GB2312" w:hAnsi="仿宋_GB2312" w:cs="仿宋_GB2312" w:eastAsia="仿宋_GB2312"/>
              </w:rPr>
              <w:t>供应商提供的保密性、规范性方案中保密措施、保密管理制度、业务操作规范性、服务场地规范性等配套方案，每有一项得2分，最多得8分，不提供不得分 。在此基础上，提供的方案全面、详细、合理，可操作性强的，加7分； 提供的方案内容基本完整，有一定针对性的，加4分；提供的方案不完善 、可操作性一般的加2分。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成果质量保障措施</w:t>
            </w:r>
          </w:p>
        </w:tc>
        <w:tc>
          <w:tcPr>
            <w:tcW w:type="dxa" w:w="3115"/>
          </w:tcPr>
          <w:p>
            <w:pPr>
              <w:pStyle w:val="null5"/>
              <w:jc w:val="left"/>
            </w:pPr>
            <w:r>
              <w:rPr>
                <w:rFonts w:ascii="仿宋_GB2312" w:hAnsi="仿宋_GB2312" w:cs="仿宋_GB2312" w:eastAsia="仿宋_GB2312"/>
              </w:rPr>
              <w:t>供应商提供的成果质量保障措施中有成果管理工作内容、档案整理及移交，每有一项得3分，最多得6分。 在此基础上，成果质量保障措施内容完整、可行，针对性强，能完全满足项目实施要求的，加4分；成果质量保障措施内容较具体可行，针对性一般，能基本满足项目实施要求的，加2分；成果质量保障措施简单、不够完善，没有针对性的，加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2023年至投标截止之日（以合同签订时间为准），每有一项类似项目业绩得5分，最高得 10 分（响应文件中需附合同扫描件，不提供不得分）。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项目负责人取得助理社会工作师及以上职业资格证书得3分；取得老年人能力评估师等国家规定的鉴定自理能力证书得2分（响应文件须附证书扫描件）。</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