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鄂托克旗除雪车采购项目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鄂托克旗交通运输局综合服务保障中心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内蒙古标华项目管理有限公司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ESZCEQS-G-H-250015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内蒙古标华项目管理有限公司</w:t>
      </w:r>
      <w:r>
        <w:rPr>
          <w:rFonts w:ascii="仿宋_GB2312" w:hAnsi="仿宋_GB2312" w:cs="仿宋_GB2312" w:eastAsia="仿宋_GB2312"/>
        </w:rPr>
        <w:t xml:space="preserve"> 受 </w:t>
      </w:r>
      <w:r>
        <w:rPr>
          <w:rFonts w:ascii="仿宋_GB2312" w:hAnsi="仿宋_GB2312" w:cs="仿宋_GB2312" w:eastAsia="仿宋_GB2312"/>
        </w:rPr>
        <w:t>鄂托克旗交通运输局综合服务保障中心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鄂托克旗除雪车采购项目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鄂托克旗除雪车采购项目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ESZCEQS-G-H-250015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432[2025]00102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鄂托克旗除雪车采购项目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内蒙古标华项目管理有限公司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内蒙古自治区呼和浩特市新城区铁路小区6号楼1单元601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15661126090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鄂托克旗交通运输局综合服务保障中心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王官应</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15048765588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鄂托克旗交通运输局综合服务保障中心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内蒙古标华项目管理有限公司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投标人须提供2023年度经会计师事务所出具的财务审计报告或供应商基本开户银行近一年内出具的银行资信证明。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投标人须同时提供递交投标文件截止之日前6个月内至少一个月的：①缴纳税收的相关凭据（税务机关提供的纳税凭据或银行入账单）； ②缴纳社会保险的凭证（专用收据或社会保险缴纳清单或其它缴纳凭证）；</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投标人须提供“具有履行合同所必须的设备和专业技术能力”声明。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鄂托克旗交通运输局综合服务保障中心除雪车采购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签订合同之日起7天内交付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1、货物交付并验收合格，达到付款条件起7日，支付合同总金额的100.00%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标的名称：鄂托克旗除雪车采购项目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多功能除雪车参数要求</w:t>
            </w:r>
          </w:p>
          <w:p>
            <w:pPr>
              <w:pStyle w:val="null5"/>
              <w:jc w:val="left"/>
            </w:pPr>
            <w:r>
              <w:rPr>
                <w:rFonts w:ascii="仿宋_GB2312" w:hAnsi="仿宋_GB2312" w:cs="仿宋_GB2312" w:eastAsia="仿宋_GB2312"/>
                <w:sz w:val="24"/>
              </w:rPr>
              <w:t>1.除雪车应具有工业和信息化部公布的车辆公告信息，并有国家相关部门颁发的免征手续，选用国内知名品牌二类底盘，整车具备推雪、扫雪、融雪剂撒布功能</w:t>
            </w:r>
          </w:p>
          <w:p>
            <w:pPr>
              <w:pStyle w:val="null5"/>
              <w:jc w:val="left"/>
            </w:pPr>
            <w:r>
              <w:rPr>
                <w:rFonts w:ascii="仿宋_GB2312" w:hAnsi="仿宋_GB2312" w:cs="仿宋_GB2312" w:eastAsia="仿宋_GB2312"/>
                <w:sz w:val="24"/>
              </w:rPr>
              <w:t>2.驱动形式：6×4</w:t>
            </w:r>
          </w:p>
          <w:p>
            <w:pPr>
              <w:pStyle w:val="null5"/>
              <w:jc w:val="left"/>
            </w:pPr>
            <w:r>
              <w:rPr>
                <w:rFonts w:ascii="仿宋_GB2312" w:hAnsi="仿宋_GB2312" w:cs="仿宋_GB2312" w:eastAsia="仿宋_GB2312"/>
                <w:sz w:val="24"/>
              </w:rPr>
              <w:t>3.发动机功率：≥255 (kw)</w:t>
            </w:r>
          </w:p>
          <w:p>
            <w:pPr>
              <w:pStyle w:val="null5"/>
              <w:jc w:val="left"/>
            </w:pPr>
            <w:r>
              <w:rPr>
                <w:rFonts w:ascii="仿宋_GB2312" w:hAnsi="仿宋_GB2312" w:cs="仿宋_GB2312" w:eastAsia="仿宋_GB2312"/>
                <w:sz w:val="24"/>
              </w:rPr>
              <w:t>4.最大总质量：≥25000 （㎏）</w:t>
            </w:r>
          </w:p>
          <w:p>
            <w:pPr>
              <w:pStyle w:val="null5"/>
              <w:jc w:val="left"/>
            </w:pPr>
            <w:r>
              <w:rPr>
                <w:rFonts w:ascii="仿宋_GB2312" w:hAnsi="仿宋_GB2312" w:cs="仿宋_GB2312" w:eastAsia="仿宋_GB2312"/>
                <w:sz w:val="24"/>
              </w:rPr>
              <w:t>5.最高行驶速度：80 （km/h）</w:t>
            </w:r>
          </w:p>
          <w:p>
            <w:pPr>
              <w:pStyle w:val="null5"/>
              <w:jc w:val="left"/>
            </w:pPr>
            <w:r>
              <w:rPr>
                <w:rFonts w:ascii="仿宋_GB2312" w:hAnsi="仿宋_GB2312" w:cs="仿宋_GB2312" w:eastAsia="仿宋_GB2312"/>
                <w:sz w:val="24"/>
              </w:rPr>
              <w:t>6.排放标准：GB17691-2018国六</w:t>
            </w:r>
          </w:p>
          <w:p>
            <w:pPr>
              <w:pStyle w:val="null5"/>
              <w:jc w:val="left"/>
            </w:pPr>
            <w:r>
              <w:rPr>
                <w:rFonts w:ascii="仿宋_GB2312" w:hAnsi="仿宋_GB2312" w:cs="仿宋_GB2312" w:eastAsia="仿宋_GB2312"/>
                <w:sz w:val="24"/>
              </w:rPr>
              <w:t>7.整备质量：≥16500（㎏）</w:t>
            </w:r>
          </w:p>
          <w:p>
            <w:pPr>
              <w:pStyle w:val="null5"/>
              <w:jc w:val="left"/>
            </w:pPr>
            <w:r>
              <w:rPr>
                <w:rFonts w:ascii="仿宋_GB2312" w:hAnsi="仿宋_GB2312" w:cs="仿宋_GB2312" w:eastAsia="仿宋_GB2312"/>
                <w:sz w:val="24"/>
              </w:rPr>
              <w:t>8.额定载质量：≥8360（㎏）</w:t>
            </w:r>
          </w:p>
          <w:p>
            <w:pPr>
              <w:pStyle w:val="null5"/>
              <w:jc w:val="left"/>
            </w:pPr>
            <w:r>
              <w:rPr>
                <w:rFonts w:ascii="仿宋_GB2312" w:hAnsi="仿宋_GB2312" w:cs="仿宋_GB2312" w:eastAsia="仿宋_GB2312"/>
                <w:sz w:val="24"/>
              </w:rPr>
              <w:t>9.轴距：≥4600+1350（mm）</w:t>
            </w:r>
          </w:p>
          <w:p>
            <w:pPr>
              <w:pStyle w:val="null5"/>
              <w:jc w:val="left"/>
            </w:pPr>
            <w:r>
              <w:rPr>
                <w:rFonts w:ascii="仿宋_GB2312" w:hAnsi="仿宋_GB2312" w:cs="仿宋_GB2312" w:eastAsia="仿宋_GB2312"/>
                <w:sz w:val="24"/>
              </w:rPr>
              <w:t>10.★货箱尺寸：≥6500×2350×900（mm）</w:t>
            </w:r>
          </w:p>
          <w:p>
            <w:pPr>
              <w:pStyle w:val="null5"/>
              <w:jc w:val="left"/>
            </w:pPr>
            <w:r>
              <w:rPr>
                <w:rFonts w:ascii="仿宋_GB2312" w:hAnsi="仿宋_GB2312" w:cs="仿宋_GB2312" w:eastAsia="仿宋_GB2312"/>
                <w:sz w:val="24"/>
              </w:rPr>
              <w:t>11.整车尺寸：≥10230×2550×3500（mm）</w:t>
            </w:r>
          </w:p>
          <w:p>
            <w:pPr>
              <w:pStyle w:val="null5"/>
              <w:jc w:val="left"/>
            </w:pPr>
            <w:r>
              <w:rPr>
                <w:rFonts w:ascii="仿宋_GB2312" w:hAnsi="仿宋_GB2312" w:cs="仿宋_GB2312" w:eastAsia="仿宋_GB2312"/>
                <w:sz w:val="24"/>
                <w:b/>
              </w:rPr>
              <w:t>（</w:t>
            </w:r>
            <w:r>
              <w:rPr>
                <w:rFonts w:ascii="仿宋_GB2312" w:hAnsi="仿宋_GB2312" w:cs="仿宋_GB2312" w:eastAsia="仿宋_GB2312"/>
                <w:sz w:val="24"/>
                <w:b/>
              </w:rPr>
              <w:t>1）除雪铲</w:t>
            </w:r>
          </w:p>
          <w:p>
            <w:pPr>
              <w:pStyle w:val="null5"/>
              <w:jc w:val="left"/>
            </w:pPr>
            <w:r>
              <w:rPr>
                <w:rFonts w:ascii="仿宋_GB2312" w:hAnsi="仿宋_GB2312" w:cs="仿宋_GB2312" w:eastAsia="仿宋_GB2312"/>
                <w:sz w:val="24"/>
              </w:rPr>
              <w:t>1.除雪铲宽度：≥3600（mm）</w:t>
            </w:r>
          </w:p>
          <w:p>
            <w:pPr>
              <w:pStyle w:val="null5"/>
              <w:jc w:val="left"/>
            </w:pPr>
            <w:r>
              <w:rPr>
                <w:rFonts w:ascii="仿宋_GB2312" w:hAnsi="仿宋_GB2312" w:cs="仿宋_GB2312" w:eastAsia="仿宋_GB2312"/>
                <w:sz w:val="24"/>
              </w:rPr>
              <w:t>2.除雪铲左/右偏转抛雪角：±30°</w:t>
            </w:r>
          </w:p>
          <w:p>
            <w:pPr>
              <w:pStyle w:val="null5"/>
              <w:jc w:val="left"/>
            </w:pPr>
            <w:r>
              <w:rPr>
                <w:rFonts w:ascii="仿宋_GB2312" w:hAnsi="仿宋_GB2312" w:cs="仿宋_GB2312" w:eastAsia="仿宋_GB2312"/>
                <w:sz w:val="24"/>
              </w:rPr>
              <w:t>3.除雪铲避障高度：≥120（mm）</w:t>
            </w:r>
          </w:p>
          <w:p>
            <w:pPr>
              <w:pStyle w:val="null5"/>
              <w:jc w:val="left"/>
            </w:pPr>
            <w:r>
              <w:rPr>
                <w:rFonts w:ascii="仿宋_GB2312" w:hAnsi="仿宋_GB2312" w:cs="仿宋_GB2312" w:eastAsia="仿宋_GB2312"/>
                <w:sz w:val="24"/>
              </w:rPr>
              <w:t>4.除雪铲重量：≥1100（kg）</w:t>
            </w:r>
          </w:p>
          <w:p>
            <w:pPr>
              <w:pStyle w:val="null5"/>
              <w:jc w:val="left"/>
            </w:pPr>
            <w:r>
              <w:rPr>
                <w:rFonts w:ascii="仿宋_GB2312" w:hAnsi="仿宋_GB2312" w:cs="仿宋_GB2312" w:eastAsia="仿宋_GB2312"/>
                <w:sz w:val="24"/>
              </w:rPr>
              <w:t>5.动力源：液压动力单元</w:t>
            </w:r>
          </w:p>
          <w:p>
            <w:pPr>
              <w:pStyle w:val="null5"/>
              <w:jc w:val="left"/>
            </w:pPr>
            <w:r>
              <w:rPr>
                <w:rFonts w:ascii="仿宋_GB2312" w:hAnsi="仿宋_GB2312" w:cs="仿宋_GB2312" w:eastAsia="仿宋_GB2312"/>
                <w:sz w:val="24"/>
              </w:rPr>
              <w:t>6.自动调平角度：±10°</w:t>
            </w:r>
          </w:p>
          <w:p>
            <w:pPr>
              <w:pStyle w:val="null5"/>
              <w:jc w:val="left"/>
            </w:pPr>
            <w:r>
              <w:rPr>
                <w:rFonts w:ascii="仿宋_GB2312" w:hAnsi="仿宋_GB2312" w:cs="仿宋_GB2312" w:eastAsia="仿宋_GB2312"/>
                <w:sz w:val="24"/>
              </w:rPr>
              <w:t>7.★升降形式：四连杆升降作业时具备下压功能</w:t>
            </w:r>
          </w:p>
          <w:p>
            <w:pPr>
              <w:pStyle w:val="null5"/>
              <w:jc w:val="left"/>
            </w:pPr>
            <w:r>
              <w:rPr>
                <w:rFonts w:ascii="仿宋_GB2312" w:hAnsi="仿宋_GB2312" w:cs="仿宋_GB2312" w:eastAsia="仿宋_GB2312"/>
                <w:sz w:val="24"/>
              </w:rPr>
              <w:t>8.★避障方式：除雪铲采用聚氨酯四连杆缓冲避障装置（提供实物照片）</w:t>
            </w:r>
          </w:p>
          <w:p>
            <w:pPr>
              <w:pStyle w:val="null5"/>
              <w:jc w:val="left"/>
            </w:pPr>
            <w:r>
              <w:rPr>
                <w:rFonts w:ascii="仿宋_GB2312" w:hAnsi="仿宋_GB2312" w:cs="仿宋_GB2312" w:eastAsia="仿宋_GB2312"/>
                <w:sz w:val="24"/>
              </w:rPr>
              <w:t>9.除雪铲两端配有示宽反射器，为驾驶员和过往车辆提醒</w:t>
            </w:r>
          </w:p>
          <w:p>
            <w:pPr>
              <w:pStyle w:val="null5"/>
              <w:jc w:val="left"/>
            </w:pPr>
            <w:r>
              <w:rPr>
                <w:rFonts w:ascii="仿宋_GB2312" w:hAnsi="仿宋_GB2312" w:cs="仿宋_GB2312" w:eastAsia="仿宋_GB2312"/>
                <w:sz w:val="24"/>
              </w:rPr>
              <w:t>10.除雪铲落到路面时左右应具有浮动状态，作业时铲刃始终与路面保持平行</w:t>
            </w:r>
          </w:p>
          <w:p>
            <w:pPr>
              <w:pStyle w:val="null5"/>
              <w:jc w:val="left"/>
            </w:pPr>
            <w:r>
              <w:rPr>
                <w:rFonts w:ascii="仿宋_GB2312" w:hAnsi="仿宋_GB2312" w:cs="仿宋_GB2312" w:eastAsia="仿宋_GB2312"/>
                <w:sz w:val="24"/>
              </w:rPr>
              <w:t>11.车尾部配有作业变道箭头指示与警示灯，确保夜间和雾天作业的安全性</w:t>
            </w:r>
          </w:p>
          <w:p>
            <w:pPr>
              <w:pStyle w:val="null5"/>
              <w:jc w:val="left"/>
            </w:pPr>
            <w:r>
              <w:rPr>
                <w:rFonts w:ascii="仿宋_GB2312" w:hAnsi="仿宋_GB2312" w:cs="仿宋_GB2312" w:eastAsia="仿宋_GB2312"/>
                <w:sz w:val="24"/>
                <w:b/>
              </w:rPr>
              <w:t>（</w:t>
            </w:r>
            <w:r>
              <w:rPr>
                <w:rFonts w:ascii="仿宋_GB2312" w:hAnsi="仿宋_GB2312" w:cs="仿宋_GB2312" w:eastAsia="仿宋_GB2312"/>
                <w:sz w:val="24"/>
                <w:b/>
              </w:rPr>
              <w:t>2）融雪剂撒布机</w:t>
            </w:r>
          </w:p>
          <w:p>
            <w:pPr>
              <w:pStyle w:val="null5"/>
              <w:jc w:val="left"/>
            </w:pPr>
            <w:r>
              <w:rPr>
                <w:rFonts w:ascii="仿宋_GB2312" w:hAnsi="仿宋_GB2312" w:cs="仿宋_GB2312" w:eastAsia="仿宋_GB2312"/>
                <w:sz w:val="24"/>
              </w:rPr>
              <w:t>1.料仓容积：≥12m³</w:t>
            </w:r>
          </w:p>
          <w:p>
            <w:pPr>
              <w:pStyle w:val="null5"/>
              <w:jc w:val="left"/>
            </w:pPr>
            <w:r>
              <w:rPr>
                <w:rFonts w:ascii="仿宋_GB2312" w:hAnsi="仿宋_GB2312" w:cs="仿宋_GB2312" w:eastAsia="仿宋_GB2312"/>
                <w:sz w:val="24"/>
              </w:rPr>
              <w:t>2.★动力来源：底盘车取力驱动液压系统，设备为全液压驱动</w:t>
            </w:r>
          </w:p>
          <w:p>
            <w:pPr>
              <w:pStyle w:val="null5"/>
              <w:jc w:val="left"/>
            </w:pPr>
            <w:r>
              <w:rPr>
                <w:rFonts w:ascii="仿宋_GB2312" w:hAnsi="仿宋_GB2312" w:cs="仿宋_GB2312" w:eastAsia="仿宋_GB2312"/>
                <w:sz w:val="24"/>
              </w:rPr>
              <w:t>3.撒布宽度：≥2-12m可调；²</w:t>
            </w:r>
          </w:p>
          <w:p>
            <w:pPr>
              <w:pStyle w:val="null5"/>
              <w:jc w:val="left"/>
            </w:pPr>
            <w:r>
              <w:rPr>
                <w:rFonts w:ascii="仿宋_GB2312" w:hAnsi="仿宋_GB2312" w:cs="仿宋_GB2312" w:eastAsia="仿宋_GB2312"/>
                <w:sz w:val="24"/>
              </w:rPr>
              <w:t>4.撒布量：5～150g/m²（融雪剂）</w:t>
            </w:r>
          </w:p>
          <w:p>
            <w:pPr>
              <w:pStyle w:val="null5"/>
              <w:jc w:val="left"/>
            </w:pPr>
            <w:r>
              <w:rPr>
                <w:rFonts w:ascii="仿宋_GB2312" w:hAnsi="仿宋_GB2312" w:cs="仿宋_GB2312" w:eastAsia="仿宋_GB2312"/>
                <w:sz w:val="24"/>
              </w:rPr>
              <w:t>5.料仓输送方式：链式刮板输送系统（提供实物照片）</w:t>
            </w:r>
          </w:p>
          <w:p>
            <w:pPr>
              <w:pStyle w:val="null5"/>
              <w:jc w:val="left"/>
            </w:pPr>
            <w:r>
              <w:rPr>
                <w:rFonts w:ascii="仿宋_GB2312" w:hAnsi="仿宋_GB2312" w:cs="仿宋_GB2312" w:eastAsia="仿宋_GB2312"/>
                <w:sz w:val="24"/>
              </w:rPr>
              <w:t>6.链式刮板输送系统采用蜗轮蜗杆减速机</w:t>
            </w:r>
          </w:p>
          <w:p>
            <w:pPr>
              <w:pStyle w:val="null5"/>
              <w:jc w:val="left"/>
            </w:pPr>
            <w:r>
              <w:rPr>
                <w:rFonts w:ascii="仿宋_GB2312" w:hAnsi="仿宋_GB2312" w:cs="仿宋_GB2312" w:eastAsia="仿宋_GB2312"/>
                <w:sz w:val="24"/>
              </w:rPr>
              <w:t>7.链式刮板输送链材料：不锈钢</w:t>
            </w:r>
          </w:p>
          <w:p>
            <w:pPr>
              <w:pStyle w:val="null5"/>
              <w:jc w:val="left"/>
            </w:pPr>
            <w:r>
              <w:rPr>
                <w:rFonts w:ascii="仿宋_GB2312" w:hAnsi="仿宋_GB2312" w:cs="仿宋_GB2312" w:eastAsia="仿宋_GB2312"/>
                <w:sz w:val="24"/>
              </w:rPr>
              <w:t>8.具备定向撒布模式：可实现偏左、偏右撒布</w:t>
            </w:r>
          </w:p>
          <w:p>
            <w:pPr>
              <w:pStyle w:val="null5"/>
              <w:jc w:val="left"/>
            </w:pPr>
            <w:r>
              <w:rPr>
                <w:rFonts w:ascii="仿宋_GB2312" w:hAnsi="仿宋_GB2312" w:cs="仿宋_GB2312" w:eastAsia="仿宋_GB2312"/>
                <w:sz w:val="24"/>
              </w:rPr>
              <w:t>9.撒布装置离心撒布盘直径：≥500 mm</w:t>
            </w:r>
          </w:p>
          <w:p>
            <w:pPr>
              <w:pStyle w:val="null5"/>
              <w:jc w:val="left"/>
            </w:pPr>
            <w:r>
              <w:rPr>
                <w:rFonts w:ascii="仿宋_GB2312" w:hAnsi="仿宋_GB2312" w:cs="仿宋_GB2312" w:eastAsia="仿宋_GB2312"/>
                <w:sz w:val="24"/>
              </w:rPr>
              <w:t>10.料仓上部配有防雨雪篷布，料仓上部带有过滤安全网，用于滤除融雪剂中大型异物</w:t>
            </w:r>
          </w:p>
          <w:p>
            <w:pPr>
              <w:pStyle w:val="null5"/>
              <w:jc w:val="left"/>
            </w:pPr>
            <w:r>
              <w:rPr>
                <w:rFonts w:ascii="仿宋_GB2312" w:hAnsi="仿宋_GB2312" w:cs="仿宋_GB2312" w:eastAsia="仿宋_GB2312"/>
                <w:sz w:val="24"/>
              </w:rPr>
              <w:t>11.料仓内部设有倒V型减压锥板，可减少输送系统负载</w:t>
            </w:r>
          </w:p>
          <w:p>
            <w:pPr>
              <w:pStyle w:val="null5"/>
              <w:jc w:val="left"/>
            </w:pPr>
            <w:r>
              <w:rPr>
                <w:rFonts w:ascii="仿宋_GB2312" w:hAnsi="仿宋_GB2312" w:cs="仿宋_GB2312" w:eastAsia="仿宋_GB2312"/>
                <w:sz w:val="24"/>
              </w:rPr>
              <w:t>12.料仓体内部要采用无溶剂喷涂改性环氧涂层确保5年内不产生锈蚀</w:t>
            </w:r>
          </w:p>
          <w:p>
            <w:pPr>
              <w:pStyle w:val="null5"/>
              <w:jc w:val="left"/>
            </w:pPr>
            <w:r>
              <w:rPr>
                <w:rFonts w:ascii="仿宋_GB2312" w:hAnsi="仿宋_GB2312" w:cs="仿宋_GB2312" w:eastAsia="仿宋_GB2312"/>
                <w:sz w:val="24"/>
                <w:b/>
              </w:rPr>
              <w:t>（</w:t>
            </w:r>
            <w:r>
              <w:rPr>
                <w:rFonts w:ascii="仿宋_GB2312" w:hAnsi="仿宋_GB2312" w:cs="仿宋_GB2312" w:eastAsia="仿宋_GB2312"/>
                <w:sz w:val="24"/>
                <w:b/>
              </w:rPr>
              <w:t>3）除雪滚刷</w:t>
            </w:r>
          </w:p>
          <w:p>
            <w:pPr>
              <w:pStyle w:val="null5"/>
              <w:jc w:val="left"/>
            </w:pPr>
            <w:r>
              <w:rPr>
                <w:rFonts w:ascii="仿宋_GB2312" w:hAnsi="仿宋_GB2312" w:cs="仿宋_GB2312" w:eastAsia="仿宋_GB2312"/>
                <w:sz w:val="24"/>
              </w:rPr>
              <w:t>1、滚刷宽度（mm）：≥3600</w:t>
            </w:r>
          </w:p>
          <w:p>
            <w:pPr>
              <w:pStyle w:val="null5"/>
              <w:jc w:val="left"/>
            </w:pPr>
            <w:r>
              <w:rPr>
                <w:rFonts w:ascii="仿宋_GB2312" w:hAnsi="仿宋_GB2312" w:cs="仿宋_GB2312" w:eastAsia="仿宋_GB2312"/>
                <w:sz w:val="24"/>
              </w:rPr>
              <w:t>2、滚刷直径（mm）：内径300~外径810</w:t>
            </w:r>
          </w:p>
          <w:p>
            <w:pPr>
              <w:pStyle w:val="null5"/>
              <w:jc w:val="left"/>
            </w:pPr>
            <w:r>
              <w:rPr>
                <w:rFonts w:ascii="仿宋_GB2312" w:hAnsi="仿宋_GB2312" w:cs="仿宋_GB2312" w:eastAsia="仿宋_GB2312"/>
                <w:sz w:val="24"/>
              </w:rPr>
              <w:t>3、左右摆角(°)：≥30</w:t>
            </w:r>
          </w:p>
          <w:p>
            <w:pPr>
              <w:pStyle w:val="null5"/>
              <w:jc w:val="left"/>
            </w:pPr>
            <w:r>
              <w:rPr>
                <w:rFonts w:ascii="仿宋_GB2312" w:hAnsi="仿宋_GB2312" w:cs="仿宋_GB2312" w:eastAsia="仿宋_GB2312"/>
                <w:sz w:val="24"/>
              </w:rPr>
              <w:t>4、行走提升高度（mm）：≥350</w:t>
            </w:r>
          </w:p>
          <w:p>
            <w:pPr>
              <w:pStyle w:val="null5"/>
              <w:jc w:val="left"/>
            </w:pPr>
            <w:r>
              <w:rPr>
                <w:rFonts w:ascii="仿宋_GB2312" w:hAnsi="仿宋_GB2312" w:cs="仿宋_GB2312" w:eastAsia="仿宋_GB2312"/>
                <w:sz w:val="24"/>
              </w:rPr>
              <w:t>5、额定工作转速（rpm）：≥250</w:t>
            </w:r>
          </w:p>
          <w:p>
            <w:pPr>
              <w:pStyle w:val="null5"/>
              <w:jc w:val="left"/>
            </w:pPr>
            <w:r>
              <w:rPr>
                <w:rFonts w:ascii="仿宋_GB2312" w:hAnsi="仿宋_GB2312" w:cs="仿宋_GB2312" w:eastAsia="仿宋_GB2312"/>
                <w:sz w:val="24"/>
              </w:rPr>
              <w:t>6、刷毛工作环境温度（℃）：-50～+35</w:t>
            </w:r>
          </w:p>
          <w:p>
            <w:pPr>
              <w:pStyle w:val="null5"/>
              <w:jc w:val="left"/>
            </w:pPr>
            <w:r>
              <w:rPr>
                <w:rFonts w:ascii="仿宋_GB2312" w:hAnsi="仿宋_GB2312" w:cs="仿宋_GB2312" w:eastAsia="仿宋_GB2312"/>
                <w:sz w:val="24"/>
              </w:rPr>
              <w:t>7、适应路面不平整度  (°) ：≤10°</w:t>
            </w:r>
          </w:p>
          <w:p>
            <w:pPr>
              <w:pStyle w:val="null5"/>
              <w:jc w:val="left"/>
            </w:pPr>
            <w:r>
              <w:rPr>
                <w:rFonts w:ascii="仿宋_GB2312" w:hAnsi="仿宋_GB2312" w:cs="仿宋_GB2312" w:eastAsia="仿宋_GB2312"/>
                <w:sz w:val="24"/>
              </w:rPr>
              <w:t>8、清扫作业速度（km/h）：5～25</w:t>
            </w:r>
          </w:p>
          <w:p>
            <w:pPr>
              <w:pStyle w:val="null5"/>
              <w:jc w:val="left"/>
            </w:pPr>
            <w:r>
              <w:rPr>
                <w:rFonts w:ascii="仿宋_GB2312" w:hAnsi="仿宋_GB2312" w:cs="仿宋_GB2312" w:eastAsia="仿宋_GB2312"/>
                <w:sz w:val="24"/>
              </w:rPr>
              <w:t>9、液压马达与滚刷连接方式需采用链条式软连接，可以最大程度的保护马达驱动过程中不受损伤，增加使用寿命。碰撞过程中有一定的缓冲作用，减小损伤。</w:t>
            </w:r>
          </w:p>
          <w:p>
            <w:pPr>
              <w:pStyle w:val="null5"/>
              <w:jc w:val="left"/>
            </w:pPr>
            <w:r>
              <w:rPr>
                <w:rFonts w:ascii="仿宋_GB2312" w:hAnsi="仿宋_GB2312" w:cs="仿宋_GB2312" w:eastAsia="仿宋_GB2312"/>
                <w:sz w:val="24"/>
              </w:rPr>
              <w:t>10、滚刷刷毛需采用聚丙烯材质，具有高韧性、耐磨损、弹性抗弯曲、不损坏路面的特点；使用寿命≥300h。</w:t>
            </w:r>
          </w:p>
          <w:p>
            <w:pPr>
              <w:pStyle w:val="null5"/>
              <w:jc w:val="left"/>
            </w:pPr>
            <w:r>
              <w:rPr>
                <w:rFonts w:ascii="仿宋_GB2312" w:hAnsi="仿宋_GB2312" w:cs="仿宋_GB2312" w:eastAsia="仿宋_GB2312"/>
                <w:sz w:val="24"/>
              </w:rPr>
              <w:t>11、滚刷前需设有挡雪板，一方面可以有效的阻止雪飞溅，以免挡住操作者视线，确保行驶安全；另一方面可以对滚刷收集起来的雪起到加速并扬雪、抛雪的作用。</w:t>
            </w:r>
          </w:p>
          <w:p>
            <w:pPr>
              <w:pStyle w:val="null5"/>
              <w:jc w:val="left"/>
            </w:pPr>
            <w:r>
              <w:rPr>
                <w:rFonts w:ascii="仿宋_GB2312" w:hAnsi="仿宋_GB2312" w:cs="仿宋_GB2312" w:eastAsia="仿宋_GB2312"/>
                <w:sz w:val="24"/>
              </w:rPr>
              <w:t>12、雪刷要求能自动调节角度，使滚刷与被清扫路面左右平行，并根据路面的起伏不定自适应仿形路面。</w:t>
            </w:r>
          </w:p>
          <w:p>
            <w:pPr>
              <w:pStyle w:val="null5"/>
              <w:jc w:val="left"/>
            </w:pPr>
            <w:r>
              <w:rPr>
                <w:rFonts w:ascii="仿宋_GB2312" w:hAnsi="仿宋_GB2312" w:cs="仿宋_GB2312" w:eastAsia="仿宋_GB2312"/>
                <w:sz w:val="24"/>
              </w:rPr>
              <w:t>13、滚刷与车体需采用安全可靠的快速连接方式，与雪铲及铲斗能够方便简单快速互换。</w:t>
            </w:r>
          </w:p>
          <w:p>
            <w:pPr>
              <w:pStyle w:val="null5"/>
              <w:jc w:val="left"/>
            </w:pPr>
            <w:r>
              <w:rPr>
                <w:rFonts w:ascii="仿宋_GB2312" w:hAnsi="仿宋_GB2312" w:cs="仿宋_GB2312" w:eastAsia="仿宋_GB2312"/>
                <w:sz w:val="24"/>
              </w:rPr>
              <w:t>14、滚刷需全液压动力升降，左右动力偏转及上下举升，在驾驶室内安装有电控操</w:t>
            </w:r>
            <w:r>
              <w:rPr>
                <w:rFonts w:ascii="仿宋_GB2312" w:hAnsi="仿宋_GB2312" w:cs="仿宋_GB2312" w:eastAsia="仿宋_GB2312"/>
                <w:sz w:val="24"/>
              </w:rPr>
              <w:t>作平台，方便快捷。</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技术参数满足程度</w:t>
            </w:r>
          </w:p>
        </w:tc>
        <w:tc>
          <w:tcPr>
            <w:tcW w:type="dxa" w:w="3115"/>
          </w:tcPr>
          <w:p>
            <w:pPr>
              <w:pStyle w:val="null5"/>
              <w:jc w:val="left"/>
            </w:pPr>
            <w:r>
              <w:rPr>
                <w:rFonts w:ascii="仿宋_GB2312" w:hAnsi="仿宋_GB2312" w:cs="仿宋_GB2312" w:eastAsia="仿宋_GB2312"/>
              </w:rPr>
              <w:t>供应商所投设备参数完全满足招标文件技术参数要求的，得25分；有一项负偏离扣0.5分，扣完为止。</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投标产品的性能及整体质量状况等</w:t>
            </w:r>
          </w:p>
        </w:tc>
        <w:tc>
          <w:tcPr>
            <w:tcW w:type="dxa" w:w="3115"/>
          </w:tcPr>
          <w:p>
            <w:pPr>
              <w:pStyle w:val="null5"/>
              <w:jc w:val="left"/>
            </w:pPr>
            <w:r>
              <w:rPr>
                <w:rFonts w:ascii="仿宋_GB2312" w:hAnsi="仿宋_GB2312" w:cs="仿宋_GB2312" w:eastAsia="仿宋_GB2312"/>
              </w:rPr>
              <w:t>根据投标产品性能及整体质量状况，包括选材用料、部件配置与技术水平等，酌情打分。(1)方案详细且满足用户所有要求，可行性强的得10分；(2)方案基本满足用户要求，可行性一般的得,5分；(3)方案不详细，可行性差的得1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产品性能介绍</w:t>
            </w:r>
          </w:p>
        </w:tc>
        <w:tc>
          <w:tcPr>
            <w:tcW w:type="dxa" w:w="3115"/>
          </w:tcPr>
          <w:p>
            <w:pPr>
              <w:pStyle w:val="null5"/>
              <w:jc w:val="left"/>
            </w:pPr>
            <w:r>
              <w:rPr>
                <w:rFonts w:ascii="仿宋_GB2312" w:hAnsi="仿宋_GB2312" w:cs="仿宋_GB2312" w:eastAsia="仿宋_GB2312"/>
              </w:rPr>
              <w:t>供应商的车型配置、选型的合理性、成熟可靠性进行评议及打分。所投车型配置、选型合理性高、性能稳定性高、可靠性强的得5分；所投车型配置、选型较合理、具有一定的稳定性、可靠性的得3分；所投车型配置、选型、性能稳定性、可靠性差的得1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供应商对本项目提供的供货方案进行评审（1）供货方案完整，有明确的支持保障及经验丰富的相关人员安排，标的物运输安全，供货保证措施可靠性强，进度安排合理有层次，时间安排合理迅速的得10分；（2）供货方案基本完整，支持保障及相关人员安排不明确，供货保证措施不可靠，进度安排不够合理，时间安排不够迅速的得5分；（3）供货方案一般，无支持保障及相关人员，供货保证措施一般，无进度安排、时间安排的得1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售后服务及承诺</w:t>
            </w:r>
          </w:p>
        </w:tc>
        <w:tc>
          <w:tcPr>
            <w:tcW w:type="dxa" w:w="3115"/>
          </w:tcPr>
          <w:p>
            <w:pPr>
              <w:pStyle w:val="null5"/>
              <w:jc w:val="left"/>
            </w:pPr>
            <w:r>
              <w:rPr>
                <w:rFonts w:ascii="仿宋_GB2312" w:hAnsi="仿宋_GB2312" w:cs="仿宋_GB2312" w:eastAsia="仿宋_GB2312"/>
              </w:rPr>
              <w:t>售后服务承诺包括产品质量保证、安装调试、验收、备品备件、应急措施、培训方案、人员配备等方面的内容。培训方案完整合理，人员配置、管理层协调能力和实施步骤完善合理，明确“三包”内容。根据投标人承诺的整体响应情况、编制规范、方案的完整性酌情打分。(1)方案详细且满足用户所有要求，可行性强的得10分；(2)方案基本满足用户要求，可行性一般的得,5分；(3)方案不详细，可行性差的得1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供应商近年（2022年1月1日至今）每提供一个类似项目业绩得2分，最多10分（提供中标通知书和采购合同扫描件）。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