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棋蒙政务分中心税务窗口辅助性政务服务项目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鄂托克旗政务服务与数据管理局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内蒙古宏欣项目管理有限公司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ESZCEQS-C-F-250016</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内蒙古宏欣项目管理有限公司</w:t>
      </w:r>
      <w:r>
        <w:rPr>
          <w:rFonts w:ascii="仿宋_GB2312" w:hAnsi="仿宋_GB2312" w:cs="仿宋_GB2312" w:eastAsia="仿宋_GB2312"/>
        </w:rPr>
        <w:t xml:space="preserve"> 受 </w:t>
      </w:r>
      <w:r>
        <w:rPr>
          <w:rFonts w:ascii="仿宋_GB2312" w:hAnsi="仿宋_GB2312" w:cs="仿宋_GB2312" w:eastAsia="仿宋_GB2312"/>
        </w:rPr>
        <w:t>鄂托克旗政务服务与数据管理局</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棋蒙政务分中心税务窗口辅助性政务服务项目</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棋蒙政务分中心税务窗口辅助性政务服务项目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ESZCEQS-C-F-250016</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432[2025]00096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900,000.00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棋蒙政务分中心税务窗口辅助性政务服务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内蒙古宏欣项目管理有限公司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内蒙古自治区鄂尔多斯市东胜区</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赵刚</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18104770555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鄂托克旗政务服务与数据管理局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鄂尔多斯市鄂托克旗</w:t>
      </w:r>
    </w:p>
    <w:p>
      <w:pPr>
        <w:pStyle w:val="null5"/>
      </w:pPr>
      <w:r>
        <w:rPr>
          <w:rFonts w:ascii="仿宋_GB2312" w:hAnsi="仿宋_GB2312" w:cs="仿宋_GB2312" w:eastAsia="仿宋_GB2312"/>
        </w:rPr>
        <w:t xml:space="preserve"> 邮编： </w:t>
      </w:r>
      <w:r>
        <w:rPr>
          <w:rFonts w:ascii="仿宋_GB2312" w:hAnsi="仿宋_GB2312" w:cs="仿宋_GB2312" w:eastAsia="仿宋_GB2312"/>
        </w:rPr>
        <w:t>016100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刘主任</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0477-6011018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代理服务费收费标准：参照原内蒙古自治区工程建设协会《内蒙古自治区建设工程招标代理服务收费指导意见》（内工建协[2022]34号）的规定计算招标代理费</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本项目可兼投1包，本项目可兼中1包</w:t>
            </w:r>
          </w:p>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鄂托克旗政务服务与数据管理局</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内蒙古宏欣项目管理有限公司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为提高行政效能，优化区域营商环境，结合鄂托克旗棋盘井税收服务实际，实施本项目。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自合同签订之日起1年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1、依据财政付款进度；合同签订之日起支付合同金额的30%，达到付款条件起5日，支付合同总金额的30.00%</w:t>
            </w:r>
          </w:p>
          <w:p>
            <w:pPr>
              <w:pStyle w:val="null5"/>
              <w:jc w:val="left"/>
            </w:pPr>
            <w:r>
              <w:rPr>
                <w:rFonts w:ascii="仿宋_GB2312" w:hAnsi="仿宋_GB2312" w:cs="仿宋_GB2312" w:eastAsia="仿宋_GB2312"/>
              </w:rPr>
              <w:t>2、依据财政付款进度；合同签订之日起第四个月支付合同金额的30%，达到付款条件起5日，支付合同总金额的30.00%</w:t>
            </w:r>
          </w:p>
          <w:p>
            <w:pPr>
              <w:pStyle w:val="null5"/>
              <w:jc w:val="left"/>
            </w:pPr>
            <w:r>
              <w:rPr>
                <w:rFonts w:ascii="仿宋_GB2312" w:hAnsi="仿宋_GB2312" w:cs="仿宋_GB2312" w:eastAsia="仿宋_GB2312"/>
              </w:rPr>
              <w:t>3、依据财政付款进度；合同签订之日起第七个月支付合同金额的20%，达到付款条件起5日，支付合同总金额的20.00%</w:t>
            </w:r>
          </w:p>
          <w:p>
            <w:pPr>
              <w:pStyle w:val="null5"/>
              <w:jc w:val="left"/>
            </w:pPr>
            <w:r>
              <w:rPr>
                <w:rFonts w:ascii="仿宋_GB2312" w:hAnsi="仿宋_GB2312" w:cs="仿宋_GB2312" w:eastAsia="仿宋_GB2312"/>
              </w:rPr>
              <w:t>4、依据财政付款进度；合同签订之日起第十个月支付合同金额的20%，达到付款条件起5日，支付合同总金额的20.00%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标的名称：棋蒙政务分中心税务窗口辅助性政务服务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firstLine="480"/>
              <w:jc w:val="both"/>
            </w:pPr>
            <w:r>
              <w:rPr>
                <w:rFonts w:ascii="仿宋_GB2312" w:hAnsi="仿宋_GB2312" w:cs="仿宋_GB2312" w:eastAsia="仿宋_GB2312"/>
                <w:sz w:val="20"/>
              </w:rPr>
              <w:t>一、项目说明</w:t>
            </w:r>
          </w:p>
          <w:p>
            <w:pPr>
              <w:pStyle w:val="null5"/>
              <w:ind w:firstLine="480"/>
              <w:jc w:val="both"/>
            </w:pPr>
            <w:r>
              <w:rPr>
                <w:rFonts w:ascii="仿宋_GB2312" w:hAnsi="仿宋_GB2312" w:cs="仿宋_GB2312" w:eastAsia="仿宋_GB2312"/>
                <w:sz w:val="20"/>
              </w:rPr>
              <w:t>1、本项目为</w:t>
            </w:r>
            <w:r>
              <w:rPr>
                <w:rFonts w:ascii="仿宋_GB2312" w:hAnsi="仿宋_GB2312" w:cs="仿宋_GB2312" w:eastAsia="仿宋_GB2312"/>
                <w:sz w:val="20"/>
              </w:rPr>
              <w:t>棋蒙政务分中心税务窗口辅助性政务服务项目</w:t>
            </w:r>
            <w:r>
              <w:rPr>
                <w:rFonts w:ascii="仿宋_GB2312" w:hAnsi="仿宋_GB2312" w:cs="仿宋_GB2312" w:eastAsia="仿宋_GB2312"/>
                <w:sz w:val="20"/>
              </w:rPr>
              <w:t>。</w:t>
            </w:r>
          </w:p>
          <w:p>
            <w:pPr>
              <w:pStyle w:val="null5"/>
              <w:ind w:firstLine="480"/>
              <w:jc w:val="both"/>
            </w:pPr>
            <w:r>
              <w:rPr>
                <w:rFonts w:ascii="仿宋_GB2312" w:hAnsi="仿宋_GB2312" w:cs="仿宋_GB2312" w:eastAsia="仿宋_GB2312"/>
                <w:sz w:val="20"/>
              </w:rPr>
              <w:t>2、服务期限:1年。</w:t>
            </w:r>
          </w:p>
          <w:p>
            <w:pPr>
              <w:pStyle w:val="null5"/>
              <w:ind w:firstLine="480"/>
              <w:jc w:val="both"/>
            </w:pPr>
            <w:r>
              <w:rPr>
                <w:rFonts w:ascii="仿宋_GB2312" w:hAnsi="仿宋_GB2312" w:cs="仿宋_GB2312" w:eastAsia="仿宋_GB2312"/>
                <w:sz w:val="20"/>
              </w:rPr>
              <w:t>3、服务地点:</w:t>
            </w:r>
            <w:r>
              <w:rPr>
                <w:rFonts w:ascii="仿宋_GB2312" w:hAnsi="仿宋_GB2312" w:cs="仿宋_GB2312" w:eastAsia="仿宋_GB2312"/>
                <w:sz w:val="20"/>
              </w:rPr>
              <w:t>采购人要求地点</w:t>
            </w:r>
            <w:r>
              <w:rPr>
                <w:rFonts w:ascii="仿宋_GB2312" w:hAnsi="仿宋_GB2312" w:cs="仿宋_GB2312" w:eastAsia="仿宋_GB2312"/>
                <w:sz w:val="20"/>
              </w:rPr>
              <w:t>。</w:t>
            </w:r>
          </w:p>
          <w:p>
            <w:pPr>
              <w:pStyle w:val="null5"/>
              <w:ind w:firstLine="480"/>
              <w:jc w:val="both"/>
            </w:pPr>
            <w:r>
              <w:rPr>
                <w:rFonts w:ascii="仿宋_GB2312" w:hAnsi="仿宋_GB2312" w:cs="仿宋_GB2312" w:eastAsia="仿宋_GB2312"/>
                <w:sz w:val="20"/>
              </w:rPr>
              <w:t>4、合同签订:中标后</w:t>
            </w:r>
            <w:r>
              <w:rPr>
                <w:rFonts w:ascii="仿宋_GB2312" w:hAnsi="仿宋_GB2312" w:cs="仿宋_GB2312" w:eastAsia="仿宋_GB2312"/>
                <w:sz w:val="20"/>
              </w:rPr>
              <w:t>5</w:t>
            </w:r>
            <w:r>
              <w:rPr>
                <w:rFonts w:ascii="仿宋_GB2312" w:hAnsi="仿宋_GB2312" w:cs="仿宋_GB2312" w:eastAsia="仿宋_GB2312"/>
                <w:sz w:val="20"/>
              </w:rPr>
              <w:t>日内签订合同。</w:t>
            </w:r>
          </w:p>
          <w:p>
            <w:pPr>
              <w:pStyle w:val="null5"/>
              <w:ind w:firstLine="480"/>
              <w:jc w:val="both"/>
            </w:pPr>
            <w:r>
              <w:rPr>
                <w:rFonts w:ascii="仿宋_GB2312" w:hAnsi="仿宋_GB2312" w:cs="仿宋_GB2312" w:eastAsia="仿宋_GB2312"/>
                <w:sz w:val="20"/>
              </w:rPr>
              <w:t>5、付款:全年分四次，按季度支付。</w:t>
            </w:r>
          </w:p>
          <w:p>
            <w:pPr>
              <w:pStyle w:val="null5"/>
              <w:ind w:firstLine="480"/>
              <w:jc w:val="both"/>
            </w:pPr>
            <w:r>
              <w:rPr>
                <w:rFonts w:ascii="仿宋_GB2312" w:hAnsi="仿宋_GB2312" w:cs="仿宋_GB2312" w:eastAsia="仿宋_GB2312"/>
                <w:sz w:val="20"/>
              </w:rPr>
              <w:t>二、技术参数及要求</w:t>
            </w:r>
          </w:p>
          <w:p>
            <w:pPr>
              <w:pStyle w:val="null5"/>
              <w:ind w:firstLine="480"/>
              <w:jc w:val="both"/>
            </w:pPr>
            <w:r>
              <w:rPr>
                <w:rFonts w:ascii="仿宋_GB2312" w:hAnsi="仿宋_GB2312" w:cs="仿宋_GB2312" w:eastAsia="仿宋_GB2312"/>
                <w:sz w:val="20"/>
              </w:rPr>
              <w:t>（一）技术参数</w:t>
            </w:r>
          </w:p>
          <w:p>
            <w:pPr>
              <w:pStyle w:val="null5"/>
              <w:ind w:firstLine="480"/>
              <w:jc w:val="both"/>
            </w:pPr>
            <w:r>
              <w:rPr>
                <w:rFonts w:ascii="仿宋_GB2312" w:hAnsi="仿宋_GB2312" w:cs="仿宋_GB2312" w:eastAsia="仿宋_GB2312"/>
                <w:sz w:val="20"/>
              </w:rPr>
              <w:t>1、本项目服务期间，供应商根据工作范围和工作要求配置提供服务，承担</w:t>
            </w:r>
            <w:r>
              <w:rPr>
                <w:rFonts w:ascii="仿宋_GB2312" w:hAnsi="仿宋_GB2312" w:cs="仿宋_GB2312" w:eastAsia="仿宋_GB2312"/>
                <w:sz w:val="20"/>
              </w:rPr>
              <w:t>税务</w:t>
            </w:r>
            <w:r>
              <w:rPr>
                <w:rFonts w:ascii="仿宋_GB2312" w:hAnsi="仿宋_GB2312" w:cs="仿宋_GB2312" w:eastAsia="仿宋_GB2312"/>
                <w:sz w:val="20"/>
              </w:rPr>
              <w:t>辅助性事务工作。如因中标人原因导致工作积压的，中标人应当及时解决，确保完成工作任务，如未能解决造成严重后果的按实际工作责任给予处罚。</w:t>
            </w:r>
          </w:p>
          <w:p>
            <w:pPr>
              <w:pStyle w:val="null5"/>
              <w:ind w:firstLine="480"/>
              <w:jc w:val="both"/>
            </w:pPr>
            <w:r>
              <w:rPr>
                <w:rFonts w:ascii="仿宋_GB2312" w:hAnsi="仿宋_GB2312" w:cs="仿宋_GB2312" w:eastAsia="仿宋_GB2312"/>
                <w:sz w:val="20"/>
              </w:rPr>
              <w:t>2、服务期内，投标报价费用应包括:各项事务性工作处理、项目工作人员成本费用</w:t>
            </w:r>
            <w:r>
              <w:rPr>
                <w:rFonts w:ascii="仿宋_GB2312" w:hAnsi="仿宋_GB2312" w:cs="仿宋_GB2312" w:eastAsia="仿宋_GB2312"/>
                <w:sz w:val="20"/>
              </w:rPr>
              <w:t>、</w:t>
            </w:r>
            <w:r>
              <w:rPr>
                <w:rFonts w:ascii="仿宋_GB2312" w:hAnsi="仿宋_GB2312" w:cs="仿宋_GB2312" w:eastAsia="仿宋_GB2312"/>
                <w:sz w:val="20"/>
              </w:rPr>
              <w:t>福利费</w:t>
            </w:r>
            <w:r>
              <w:rPr>
                <w:rFonts w:ascii="仿宋_GB2312" w:hAnsi="仿宋_GB2312" w:cs="仿宋_GB2312" w:eastAsia="仿宋_GB2312"/>
                <w:sz w:val="20"/>
              </w:rPr>
              <w:t>、项目运营管理费用、一切税费、培训费、资料等的全部费用。</w:t>
            </w:r>
          </w:p>
          <w:p>
            <w:pPr>
              <w:pStyle w:val="null5"/>
              <w:ind w:firstLine="480"/>
              <w:jc w:val="both"/>
            </w:pPr>
            <w:r>
              <w:rPr>
                <w:rFonts w:ascii="仿宋_GB2312" w:hAnsi="仿宋_GB2312" w:cs="仿宋_GB2312" w:eastAsia="仿宋_GB2312"/>
                <w:sz w:val="20"/>
              </w:rPr>
              <w:t>（二）服务内容</w:t>
            </w:r>
          </w:p>
          <w:p>
            <w:pPr>
              <w:pStyle w:val="null5"/>
              <w:ind w:firstLine="400"/>
              <w:jc w:val="both"/>
            </w:pPr>
            <w:r>
              <w:rPr>
                <w:rFonts w:ascii="仿宋_GB2312" w:hAnsi="仿宋_GB2312" w:cs="仿宋_GB2312" w:eastAsia="仿宋_GB2312"/>
                <w:sz w:val="20"/>
              </w:rPr>
              <w:t>办税服务厅</w:t>
            </w:r>
            <w:r>
              <w:rPr>
                <w:rFonts w:ascii="仿宋_GB2312" w:hAnsi="仿宋_GB2312" w:cs="仿宋_GB2312" w:eastAsia="仿宋_GB2312"/>
                <w:sz w:val="20"/>
              </w:rPr>
              <w:t>导税</w:t>
            </w:r>
            <w:r>
              <w:rPr>
                <w:rFonts w:ascii="仿宋_GB2312" w:hAnsi="仿宋_GB2312" w:cs="仿宋_GB2312" w:eastAsia="仿宋_GB2312"/>
                <w:sz w:val="20"/>
              </w:rPr>
              <w:t>、</w:t>
            </w:r>
            <w:r>
              <w:rPr>
                <w:rFonts w:ascii="仿宋_GB2312" w:hAnsi="仿宋_GB2312" w:cs="仿宋_GB2312" w:eastAsia="仿宋_GB2312"/>
                <w:sz w:val="20"/>
              </w:rPr>
              <w:t>电子税务局辅导</w:t>
            </w:r>
            <w:r>
              <w:rPr>
                <w:rFonts w:ascii="仿宋_GB2312" w:hAnsi="仿宋_GB2312" w:cs="仿宋_GB2312" w:eastAsia="仿宋_GB2312"/>
                <w:sz w:val="20"/>
              </w:rPr>
              <w:t>、</w:t>
            </w:r>
            <w:r>
              <w:rPr>
                <w:rFonts w:ascii="仿宋_GB2312" w:hAnsi="仿宋_GB2312" w:cs="仿宋_GB2312" w:eastAsia="仿宋_GB2312"/>
                <w:sz w:val="20"/>
              </w:rPr>
              <w:t>综合窗口受理、自助服务引导、咨询、帮办、代办、领办、综合行政、信息宣传及其他综合工作</w:t>
            </w:r>
            <w:r>
              <w:rPr>
                <w:rFonts w:ascii="仿宋_GB2312" w:hAnsi="仿宋_GB2312" w:cs="仿宋_GB2312" w:eastAsia="仿宋_GB2312"/>
                <w:sz w:val="20"/>
              </w:rPr>
              <w:t>等</w:t>
            </w:r>
            <w:r>
              <w:rPr>
                <w:rFonts w:ascii="仿宋_GB2312" w:hAnsi="仿宋_GB2312" w:cs="仿宋_GB2312" w:eastAsia="仿宋_GB2312"/>
                <w:sz w:val="20"/>
              </w:rPr>
              <w:t>。</w:t>
            </w:r>
          </w:p>
          <w:p>
            <w:pPr>
              <w:pStyle w:val="null5"/>
              <w:ind w:firstLine="480"/>
              <w:jc w:val="both"/>
            </w:pPr>
            <w:r>
              <w:rPr>
                <w:rFonts w:ascii="仿宋_GB2312" w:hAnsi="仿宋_GB2312" w:cs="仿宋_GB2312" w:eastAsia="仿宋_GB2312"/>
                <w:sz w:val="20"/>
              </w:rPr>
              <w:t>三、技术要求</w:t>
            </w:r>
          </w:p>
          <w:p>
            <w:pPr>
              <w:pStyle w:val="null5"/>
              <w:ind w:firstLine="480"/>
              <w:jc w:val="both"/>
            </w:pPr>
            <w:r>
              <w:rPr>
                <w:rFonts w:ascii="仿宋_GB2312" w:hAnsi="仿宋_GB2312" w:cs="仿宋_GB2312" w:eastAsia="仿宋_GB2312"/>
                <w:sz w:val="20"/>
              </w:rPr>
              <w:t>1、管理要求:</w:t>
            </w:r>
          </w:p>
          <w:p>
            <w:pPr>
              <w:pStyle w:val="null5"/>
              <w:ind w:firstLine="480"/>
              <w:jc w:val="both"/>
            </w:pPr>
            <w:r>
              <w:rPr>
                <w:rFonts w:ascii="仿宋_GB2312" w:hAnsi="仿宋_GB2312" w:cs="仿宋_GB2312" w:eastAsia="仿宋_GB2312"/>
                <w:sz w:val="20"/>
              </w:rPr>
              <w:t>(1)工作人员须严格遵守工作守则和作息时间，在要求的工作场所完成事务性工作，不得迟到、早退、随意旷工，不得因请假影响原有工作。</w:t>
            </w:r>
          </w:p>
          <w:p>
            <w:pPr>
              <w:pStyle w:val="null5"/>
              <w:ind w:firstLine="480"/>
              <w:jc w:val="both"/>
            </w:pPr>
            <w:r>
              <w:rPr>
                <w:rFonts w:ascii="仿宋_GB2312" w:hAnsi="仿宋_GB2312" w:cs="仿宋_GB2312" w:eastAsia="仿宋_GB2312"/>
                <w:sz w:val="20"/>
              </w:rPr>
              <w:t>2、人员要求</w:t>
            </w:r>
          </w:p>
          <w:p>
            <w:pPr>
              <w:pStyle w:val="null5"/>
              <w:ind w:firstLine="480"/>
              <w:jc w:val="both"/>
            </w:pPr>
            <w:r>
              <w:rPr>
                <w:rFonts w:ascii="仿宋_GB2312" w:hAnsi="仿宋_GB2312" w:cs="仿宋_GB2312" w:eastAsia="仿宋_GB2312"/>
                <w:sz w:val="20"/>
              </w:rPr>
              <w:t>(1)合同签订后，需在5日内配齐符合需求的工作组及人员，工作人员有离职或无法适应管理服务项目工作的，中标人应及时更换增补，不得因人员离职或缺岗影响原有工作，若因此造成工作滞后或其它重大不良影响，</w:t>
            </w:r>
            <w:r>
              <w:rPr>
                <w:rFonts w:ascii="仿宋_GB2312" w:hAnsi="仿宋_GB2312" w:cs="仿宋_GB2312" w:eastAsia="仿宋_GB2312"/>
                <w:sz w:val="20"/>
              </w:rPr>
              <w:t>采购人</w:t>
            </w:r>
            <w:r>
              <w:rPr>
                <w:rFonts w:ascii="仿宋_GB2312" w:hAnsi="仿宋_GB2312" w:cs="仿宋_GB2312" w:eastAsia="仿宋_GB2312"/>
                <w:sz w:val="20"/>
              </w:rPr>
              <w:t>有权拒绝支付当月费用</w:t>
            </w:r>
            <w:r>
              <w:rPr>
                <w:rFonts w:ascii="仿宋_GB2312" w:hAnsi="仿宋_GB2312" w:cs="仿宋_GB2312" w:eastAsia="仿宋_GB2312"/>
                <w:sz w:val="20"/>
              </w:rPr>
              <w:t>;情节严重的，视为中标人违约，</w:t>
            </w:r>
            <w:r>
              <w:rPr>
                <w:rFonts w:ascii="仿宋_GB2312" w:hAnsi="仿宋_GB2312" w:cs="仿宋_GB2312" w:eastAsia="仿宋_GB2312"/>
                <w:sz w:val="20"/>
              </w:rPr>
              <w:t>采购人</w:t>
            </w:r>
            <w:r>
              <w:rPr>
                <w:rFonts w:ascii="仿宋_GB2312" w:hAnsi="仿宋_GB2312" w:cs="仿宋_GB2312" w:eastAsia="仿宋_GB2312"/>
                <w:sz w:val="20"/>
              </w:rPr>
              <w:t>有权则终止合同。</w:t>
            </w:r>
          </w:p>
          <w:p>
            <w:pPr>
              <w:pStyle w:val="null5"/>
              <w:ind w:firstLine="480"/>
              <w:jc w:val="both"/>
            </w:pPr>
            <w:r>
              <w:rPr>
                <w:rFonts w:ascii="仿宋_GB2312" w:hAnsi="仿宋_GB2312" w:cs="仿宋_GB2312" w:eastAsia="仿宋_GB2312"/>
                <w:sz w:val="20"/>
              </w:rPr>
              <w:t>(2)中标人应对工作人员进行集约化办公，统一管理。要求工作人员统一工作服装，服装须端庄、大方、稳重、素雅，须保持干净、整洁的整体形象。</w:t>
            </w:r>
          </w:p>
          <w:p>
            <w:pPr>
              <w:pStyle w:val="null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拥护党的路线、方针、政策，遵纪守法，品行端正，无违法违纪行为；熟悉电脑操作，熟悉税务工作流程及规范，能够保守工作秘密，熟练使用礼貌用语，遵守用工方机关工作制度；普通话标准，吐字清晰，语言流畅。</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审查近年（2023年或2024年）财务审计报告或近3个月有效的开户银行出具的银行资信证明文件。</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审查近半年至少1个月依法缴纳税收和社会保障资金的相关证明材料。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技术部分65.00分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项目实施方案</w:t>
            </w:r>
          </w:p>
        </w:tc>
        <w:tc>
          <w:tcPr>
            <w:tcW w:type="dxa" w:w="3115"/>
          </w:tcPr>
          <w:p>
            <w:pPr>
              <w:pStyle w:val="null5"/>
              <w:jc w:val="left"/>
            </w:pPr>
            <w:r>
              <w:rPr>
                <w:rFonts w:ascii="仿宋_GB2312" w:hAnsi="仿宋_GB2312" w:cs="仿宋_GB2312" w:eastAsia="仿宋_GB2312"/>
              </w:rPr>
              <w:t>针对本项目编制的实施方案（包括但不限于：咨询、引导、资料审理、一窗受理等服务方案的可行性；进度计划的合理性；服务方案的完整性；服务方案的创新性、扩展性；用户反馈机制的改进性等内容）进行综合打分。以上5项内容，每一项内容完整、分析全面且具有可行性，每一项得4分，每一项分析的内容有遗漏或不全面，扣1分，不提供不得分。本项最多得20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人员配置方案</w:t>
            </w:r>
          </w:p>
        </w:tc>
        <w:tc>
          <w:tcPr>
            <w:tcW w:type="dxa" w:w="3115"/>
          </w:tcPr>
          <w:p>
            <w:pPr>
              <w:pStyle w:val="null5"/>
              <w:jc w:val="left"/>
            </w:pPr>
            <w:r>
              <w:rPr>
                <w:rFonts w:ascii="仿宋_GB2312" w:hAnsi="仿宋_GB2312" w:cs="仿宋_GB2312" w:eastAsia="仿宋_GB2312"/>
              </w:rPr>
              <w:t>针对本项目的人员配置方案（包括但不限于：服务团队的专业性；团队培训机制；服务人员的应急能力；服务人员是否专业、礼貌等内容）进行综合打分。以上4项内容，每一项内容完整、分析全面且具有可行性，每一项得3分，每一项分析的内容有遗漏或不全面，扣1分，不提供不得分。本项最多得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项目重点、难点解析</w:t>
            </w:r>
          </w:p>
        </w:tc>
        <w:tc>
          <w:tcPr>
            <w:tcW w:type="dxa" w:w="3115"/>
          </w:tcPr>
          <w:p>
            <w:pPr>
              <w:pStyle w:val="null5"/>
              <w:jc w:val="left"/>
            </w:pPr>
            <w:r>
              <w:rPr>
                <w:rFonts w:ascii="仿宋_GB2312" w:hAnsi="仿宋_GB2312" w:cs="仿宋_GB2312" w:eastAsia="仿宋_GB2312"/>
              </w:rPr>
              <w:t>针对本项目的重点、难点方案（包括但不限于：服务质量的保证；服务响应是否及时；老弱病残等特殊人群专项方案；服务内容的技术支持等内容）进行综合打分。以上4项内容，每一项内容完整、分析全面且具有可行性，每一项得3分，每一项分析的内容有遗漏或不全面，扣1分，不提供不得分。本项最多得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服务方案的专业、及安全性</w:t>
            </w:r>
          </w:p>
        </w:tc>
        <w:tc>
          <w:tcPr>
            <w:tcW w:type="dxa" w:w="3115"/>
          </w:tcPr>
          <w:p>
            <w:pPr>
              <w:pStyle w:val="null5"/>
              <w:jc w:val="left"/>
            </w:pPr>
            <w:r>
              <w:rPr>
                <w:rFonts w:ascii="仿宋_GB2312" w:hAnsi="仿宋_GB2312" w:cs="仿宋_GB2312" w:eastAsia="仿宋_GB2312"/>
              </w:rPr>
              <w:t>针对本项目的专业性及安全性服务方案（包括但不限于：法律法规专业性；税务系统和数据的安全性；环保意识普及性等内容）进行综合打分。以上3项内容，每一项内容完整、分析全面且具有可行性，每一项得3分，每一项分析的内容有遗漏或不全面，扣1分，不提供不得分。本项最多得9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应急方案</w:t>
            </w:r>
          </w:p>
        </w:tc>
        <w:tc>
          <w:tcPr>
            <w:tcW w:type="dxa" w:w="3115"/>
          </w:tcPr>
          <w:p>
            <w:pPr>
              <w:pStyle w:val="null5"/>
              <w:jc w:val="left"/>
            </w:pPr>
            <w:r>
              <w:rPr>
                <w:rFonts w:ascii="仿宋_GB2312" w:hAnsi="仿宋_GB2312" w:cs="仿宋_GB2312" w:eastAsia="仿宋_GB2312"/>
              </w:rPr>
              <w:t>对可能发生的突发事件有处理方案进行打分（包括但不限于：停水、停电应急预案；突击检查应急预案；突发故障处理机制；消防安全突发事件应急预案等内容）进行综合打分。以上4项内容，每一项内容完整、分析全面且具有可行性，每一项得3分，每一项分析的内容有遗漏或不全面，扣1分，不提供不得分。本项最多得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项目业绩</w:t>
            </w:r>
          </w:p>
        </w:tc>
        <w:tc>
          <w:tcPr>
            <w:tcW w:type="dxa" w:w="3115"/>
          </w:tcPr>
          <w:p>
            <w:pPr>
              <w:pStyle w:val="null5"/>
              <w:jc w:val="left"/>
            </w:pPr>
            <w:r>
              <w:rPr>
                <w:rFonts w:ascii="仿宋_GB2312" w:hAnsi="仿宋_GB2312" w:cs="仿宋_GB2312" w:eastAsia="仿宋_GB2312"/>
              </w:rPr>
              <w:t>投标人近年（2021年1月1日至今，以签订合同日期为准）每有1项类似业绩得4分，本项最高得16分。（投标文件须附合同扫描件）</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满意度评价</w:t>
            </w:r>
          </w:p>
        </w:tc>
        <w:tc>
          <w:tcPr>
            <w:tcW w:type="dxa" w:w="3115"/>
          </w:tcPr>
          <w:p>
            <w:pPr>
              <w:pStyle w:val="null5"/>
              <w:jc w:val="left"/>
            </w:pPr>
            <w:r>
              <w:rPr>
                <w:rFonts w:ascii="仿宋_GB2312" w:hAnsi="仿宋_GB2312" w:cs="仿宋_GB2312" w:eastAsia="仿宋_GB2312"/>
              </w:rPr>
              <w:t>投标人近年（2021年1月1日至今）每有1项类似项目客户满意评价（良或90分以上评价）得2分，本项最高得4分。（投标文件须附评价表扫描件）</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