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鄂托克高新技术开发区绿电进园区规划编制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鄂尔多斯鄂托克高新技术产业开发区管理委员会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内蒙古奥辰工程项目管理有限公司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ESZCEKS-C-F-250008</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内蒙古奥辰工程项目管理有限公司</w:t>
      </w:r>
      <w:r>
        <w:rPr>
          <w:rFonts w:ascii="仿宋_GB2312" w:hAnsi="仿宋_GB2312" w:cs="仿宋_GB2312" w:eastAsia="仿宋_GB2312"/>
        </w:rPr>
        <w:t xml:space="preserve"> 受 </w:t>
      </w:r>
      <w:r>
        <w:rPr>
          <w:rFonts w:ascii="仿宋_GB2312" w:hAnsi="仿宋_GB2312" w:cs="仿宋_GB2312" w:eastAsia="仿宋_GB2312"/>
        </w:rPr>
        <w:t>鄂尔多斯鄂托克高新技术产业开发区管理委员会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鄂托克高新技术开发区绿电进园区规划编制</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鄂托克高新技术开发区绿电进园区规划编制</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ESZCEKS-C-F-250008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432002[2025]00032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鄂托克高新技术开发区绿电进园区规划编制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内蒙古奥辰工程项目管理有限公司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辛娜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18148330801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鄂尔多斯鄂托克高新技术产业开发区管理委员会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内蒙古鄂尔多斯市鄂托克旗棋盘井镇金海路</w:t>
      </w:r>
    </w:p>
    <w:p>
      <w:pPr>
        <w:pStyle w:val="null5"/>
      </w:pPr>
      <w:r>
        <w:rPr>
          <w:rFonts w:ascii="仿宋_GB2312" w:hAnsi="仿宋_GB2312" w:cs="仿宋_GB2312" w:eastAsia="仿宋_GB2312"/>
        </w:rPr>
        <w:t xml:space="preserve"> 邮编： </w:t>
      </w:r>
      <w:r>
        <w:rPr>
          <w:rFonts w:ascii="仿宋_GB2312" w:hAnsi="仿宋_GB2312" w:cs="仿宋_GB2312" w:eastAsia="仿宋_GB2312"/>
        </w:rPr>
        <w:t>//</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黄晓丽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0477-6486979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代理服务费收费标准：按中标价的1.5%收取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鄂尔多斯鄂托克高新技术产业开发区管理委员会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内蒙古奥辰工程项目管理有限公司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全面规划园区绿电能源产业，符合高新区发展实际，确保规划的科学性、操作性和前瞻性，进一步推进园区存量负荷绿电替代</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合同签订后3个月内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1、提交编制成果支付合同金额的40%，达到付款条件起15日，支付合同总金额的40.00%</w:t>
            </w:r>
          </w:p>
          <w:p>
            <w:pPr>
              <w:pStyle w:val="null5"/>
              <w:jc w:val="left"/>
            </w:pPr>
            <w:r>
              <w:rPr>
                <w:rFonts w:ascii="仿宋_GB2312" w:hAnsi="仿宋_GB2312" w:cs="仿宋_GB2312" w:eastAsia="仿宋_GB2312"/>
              </w:rPr>
              <w:t>2、通过相关部门的验收合格后支付合同总金额的60%，达到付款条件起15日，支付合同总金额的60.00%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标的名称：鄂托克高新技术开发区绿电进园区规划编制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深入分析鄂托克高新技术产业开发区用电负荷特性、用能特点、电力基础设施建设现状等相关条件，研判绿电进园区总体形势，明确绿电替代重点领域，规划园区绿电利用总体思路，从园区低碳转型和新能源高效利用的角度提出绿电进园区具体工作举措。</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审查供应商2023年度至今任意一年度经会计师事务所出具的财务审计报告或其基本开户银 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 个月）缴纳社会保险的凭证。（以专用收据或社会保险缴纳清单为准）或竞标人能够依法缴 纳税金和社会保障资金承诺书。 注：其他组织和自然人也需要提供缴纳税收的凭据和缴纳社 保的凭据或竞标人能够依法缴纳税金和社会保障资金承诺书。依法免税或不需要缴纳社会保 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对项目需求分析的理解程度</w:t>
            </w:r>
          </w:p>
        </w:tc>
        <w:tc>
          <w:tcPr>
            <w:tcW w:type="dxa" w:w="3115"/>
          </w:tcPr>
          <w:p>
            <w:pPr>
              <w:pStyle w:val="null5"/>
              <w:jc w:val="left"/>
            </w:pPr>
            <w:r>
              <w:rPr>
                <w:rFonts w:ascii="仿宋_GB2312" w:hAnsi="仿宋_GB2312" w:cs="仿宋_GB2312" w:eastAsia="仿宋_GB2312"/>
              </w:rPr>
              <w:t>供应商在全面掌握项目需求的基础上，有针对性的提炼出本次项目准备及 实施过程中的重点、难点及关键点，并相应的制定解决、对策措施等内容 进行评价：内容全面详细，针对性、可操作性强，完全满足项目要求，每 有一项加5分；最多得10分，不提供不得分，在此基础上，实施重点、难 点问题及对策措施方案内容完整、可行，针对性强，能完全满足项目实施 要求的加10分，实施重点、难点问题及对策措施方案内容基本完整、基本 合理的加5分，实施重点、难点问题及对策措施方案内容不完整、不合理 的加2分。本项最高得20分。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成果质量、安全、保密等保障措 施</w:t>
            </w:r>
          </w:p>
        </w:tc>
        <w:tc>
          <w:tcPr>
            <w:tcW w:type="dxa" w:w="3115"/>
          </w:tcPr>
          <w:p>
            <w:pPr>
              <w:pStyle w:val="null5"/>
              <w:jc w:val="left"/>
            </w:pPr>
            <w:r>
              <w:rPr>
                <w:rFonts w:ascii="仿宋_GB2312" w:hAnsi="仿宋_GB2312" w:cs="仿宋_GB2312" w:eastAsia="仿宋_GB2312"/>
              </w:rPr>
              <w:t>从如下三方面进行评价： 1.规划成果的规范性、完整性、实用性、先进性 2.制定明确的成果资料保密措施完善和安全保障手段3.数据、成果保密、 版权等承诺； 以上每有一项得5分，本项最高得15分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项目结合当地实际情况</w:t>
            </w:r>
          </w:p>
        </w:tc>
        <w:tc>
          <w:tcPr>
            <w:tcW w:type="dxa" w:w="3115"/>
          </w:tcPr>
          <w:p>
            <w:pPr>
              <w:pStyle w:val="null5"/>
              <w:jc w:val="left"/>
            </w:pPr>
            <w:r>
              <w:rPr>
                <w:rFonts w:ascii="仿宋_GB2312" w:hAnsi="仿宋_GB2312" w:cs="仿宋_GB2312" w:eastAsia="仿宋_GB2312"/>
              </w:rPr>
              <w:t>供应商对现状基础情况进行梳理分析，梳理全面、分析深入，规划方案符 合当地实际，突出地方特色的每有一项得1分，最多得3分，不提供不得分; 在此基础上，供应商对现状基础情况进行梳理分析，梳理比较全面、分析 比较深入的，详细完整、非常合理的加5分，内容基本完整、基本合理的 加3 分，内容不完整、不合理的加1分。本项最高得8分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项目规划进度计划及保证措施</w:t>
            </w:r>
          </w:p>
        </w:tc>
        <w:tc>
          <w:tcPr>
            <w:tcW w:type="dxa" w:w="3115"/>
          </w:tcPr>
          <w:p>
            <w:pPr>
              <w:pStyle w:val="null5"/>
              <w:jc w:val="left"/>
            </w:pPr>
            <w:r>
              <w:rPr>
                <w:rFonts w:ascii="仿宋_GB2312" w:hAnsi="仿宋_GB2312" w:cs="仿宋_GB2312" w:eastAsia="仿宋_GB2312"/>
              </w:rPr>
              <w:t>根据供应商对本项目需求提供的进度保证和控制措施进行评分： 规划设计 进度控制措施合理、保证措施得力，每有一项得3分，最多得6分，不提供 不得分;在此基础上，规划设计进度及进度保证措施方案非常合理的加6分 ，内容基本完整、基本合理的加4分，内容不完整、不合理的加2分。本项 最高得12分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服务承诺及方案</w:t>
            </w:r>
          </w:p>
        </w:tc>
        <w:tc>
          <w:tcPr>
            <w:tcW w:type="dxa" w:w="3115"/>
          </w:tcPr>
          <w:p>
            <w:pPr>
              <w:pStyle w:val="null5"/>
              <w:jc w:val="left"/>
            </w:pPr>
            <w:r>
              <w:rPr>
                <w:rFonts w:ascii="仿宋_GB2312" w:hAnsi="仿宋_GB2312" w:cs="仿宋_GB2312" w:eastAsia="仿宋_GB2312"/>
              </w:rPr>
              <w:t>对1.售后服务方案及服务体系科学合理；2.服务管理制度完善；3.服务承 诺；4.有其他增值服务以上四项进行评价；每有一项得2分，最多得8分， 不提供不得分；售后服务方案及服务体系科学非常合理，服务管理制非常 完善的加7分；售后服务方案及服务体系科学基本合理，服务管理制度基 本完善的得5分，不合理，不完善的加3分。本项最高得15分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近年（2021年1月至今，以合同签订时间为准）供应商承担过类似服务业 绩，每提供一项得3分，最高得9分。（投标文件须附合同扫描件） 类似业 绩指：规划类项目的编制</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项目负责人职称</w:t>
            </w:r>
          </w:p>
        </w:tc>
        <w:tc>
          <w:tcPr>
            <w:tcW w:type="dxa" w:w="3115"/>
          </w:tcPr>
          <w:p>
            <w:pPr>
              <w:pStyle w:val="null5"/>
              <w:jc w:val="left"/>
            </w:pPr>
            <w:r>
              <w:rPr>
                <w:rFonts w:ascii="仿宋_GB2312" w:hAnsi="仿宋_GB2312" w:cs="仿宋_GB2312" w:eastAsia="仿宋_GB2312"/>
              </w:rPr>
              <w:t>项目负责人具有相关专业正高级职称的得3分，此项最高得3分。（投标文 件须附职称证书扫描件）必须在本单位工作，年龄不得超过65周岁，以供 应商所属社保机构出具的2024年2月至今连续6个月及以上（新入职人员 要求提供入职至投标截止日前）的社保缴费证明（并加盖缴费证明专用章 ）或其他能够证明参加社保的有效证明材料为准，新入职人员同时提供有 效地与聘用单位签订的聘用劳动合同；退休人员无需提供社保缴费证明， 需提供与聘用单位签订的有效的聘用劳动合同及退休证明。（投标文件须 附扫描件 ）</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其他技术人员</w:t>
            </w:r>
          </w:p>
        </w:tc>
        <w:tc>
          <w:tcPr>
            <w:tcW w:type="dxa" w:w="3115"/>
          </w:tcPr>
          <w:p>
            <w:pPr>
              <w:pStyle w:val="null5"/>
              <w:jc w:val="left"/>
            </w:pPr>
            <w:r>
              <w:rPr>
                <w:rFonts w:ascii="仿宋_GB2312" w:hAnsi="仿宋_GB2312" w:cs="仿宋_GB2312" w:eastAsia="仿宋_GB2312"/>
              </w:rPr>
              <w:t>其他技术人员（除项目负责人外）具有相关专业高级职称的，每有一个得 2分；具有相关专业中级职称的，每有一个得1分；此项最高得8分。（投 标文件须附职称证书扫描件） 上述人员必须在本单位工作，年龄不得超过 65周岁，以供应商所属社保机构出具的2023年8月至今连续6个月及以上 （新入职人员要求提供入职至投标截止日前）的社保缴费证明（并加盖缴 费证明专用章）或其他能够证明参加社保的有效证明材料为准，新入职人 员同时提供有效地与聘用单位签订的聘用劳动合同；退休人员无需提供社 保缴费证明，需提供与聘用单位签订的有效的聘用劳动合同及退休证明。 （投标文件须附扫描件）注：以上人员不累计得分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