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杭锦旗住宅小区电梯智能识别阻隔系统</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杭锦旗住房和城乡建设局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内蒙古新征程科技服务有限公司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ESZCHJS-C-F-250003</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内蒙古新征程科技服务有限公司</w:t>
      </w:r>
      <w:r>
        <w:rPr>
          <w:rFonts w:ascii="仿宋_GB2312" w:hAnsi="仿宋_GB2312" w:cs="仿宋_GB2312" w:eastAsia="仿宋_GB2312"/>
        </w:rPr>
        <w:t xml:space="preserve"> 受 </w:t>
      </w:r>
      <w:r>
        <w:rPr>
          <w:rFonts w:ascii="仿宋_GB2312" w:hAnsi="仿宋_GB2312" w:cs="仿宋_GB2312" w:eastAsia="仿宋_GB2312"/>
        </w:rPr>
        <w:t>杭锦旗住房和城乡建设局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杭锦旗住宅小区电梯智能识别阻隔系统</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杭锦旗住宅小区电梯智能识别阻隔系统</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ESZCHJS-C-F-250003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433[2025]00006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电梯智能识别阻隔系统安装运维服务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内蒙古新征程科技服务有限公司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鄂尔多斯市杭锦旗锡尼镇杭锦大街与林荫路交汇处东北侧人保财险西侧底商</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崔日新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15149614530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杭锦旗住房和城乡建设局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鄂尔多斯市杭锦旗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017400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袁雄</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15354929090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代理服务费收费标准：中标金额的1.5%</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杭锦旗住房和城乡建设局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内蒙古新征程科技服务有限公司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完成杭锦旗现有39个电梯住宅小区483栋楼、575部电梯的电梯阻隔系统安装，阻隔系统必须满足《关于在全市住宅小区安装电梯智能识别阻隔系统的通知》（鄂住建联发〔2024〕75号）文件要求的各项功能、参数及技术要求，保障系统运行安全有效。安装的梯阻系统，必须保证对电梯安全运行系统不构成影响，确保达到对进入电梯的电动自行车、蓄电池等自动进行识别、报警、停运的标准要求实现智能阻止电动自行车、蓄电池等进入电梯轿厢运行。系统要稳定有效，减少对居民生活的影响。中标供应商要强化日常管理维修维护，保持梯阻系统运行正常，长期有效，对报警、停运情况要及时处理，防止发生安全事故。</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sz w:val="28"/>
                <w:b/>
              </w:rPr>
              <w:t>标的提供的时间：</w:t>
            </w:r>
            <w:r>
              <w:rPr>
                <w:rFonts w:ascii="仿宋_GB2312" w:hAnsi="仿宋_GB2312" w:cs="仿宋_GB2312" w:eastAsia="仿宋_GB2312"/>
                <w:sz w:val="24"/>
              </w:rPr>
              <w:t>合同签订后30个日历天交付投运</w:t>
            </w:r>
          </w:p>
        </w:tc>
      </w:tr>
      <w:tr>
        <w:tc>
          <w:tcPr>
            <w:tcW w:type="dxa" w:w="2769"/>
          </w:tcPr>
          <w:p/>
        </w:tc>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sz w:val="28"/>
                <w:b/>
              </w:rPr>
              <w:t>标的提供的地点：</w:t>
            </w:r>
            <w:r>
              <w:rPr>
                <w:rFonts w:ascii="仿宋_GB2312" w:hAnsi="仿宋_GB2312" w:cs="仿宋_GB2312" w:eastAsia="仿宋_GB2312"/>
                <w:sz w:val="24"/>
              </w:rPr>
              <w:t>采购人约定地点</w:t>
            </w:r>
          </w:p>
        </w:tc>
      </w:tr>
      <w:tr>
        <w:tc>
          <w:tcPr>
            <w:tcW w:type="dxa" w:w="2769"/>
          </w:tcPr>
          <w:p/>
        </w:tc>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sz w:val="28"/>
                <w:b/>
              </w:rPr>
              <w:t>付款方式：</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期：支付比例60%，系统交付正式投运，中标供应商提供的标的物服务符合国家相关质量验收标准，且能够提供相关权威部门出具的产品质量检测报告；提供的相关服务符合国家（或行业）规定标准。</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期：支付比例25%，服务期满1个月后，中标供应商提供标的物工程服务应符合国家相关质量验收标准，且能够提供相关权威部门出具的产品质量检测报告；提供的相关服务符合国家（或行业）规定标准。</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期：支付比例15%，服务期满2个月后，乙方实施的标的物工程服务应符合国家相关质量验收标准，且能够提供相关权威部门出具的产品质量检测报告；提供的相关服务符合国家（或行业）规定标准。</w:t>
            </w:r>
          </w:p>
        </w:tc>
      </w:tr>
      <w:tr>
        <w:tc>
          <w:tcPr>
            <w:tcW w:type="dxa" w:w="2769"/>
          </w:tcPr>
          <w:p/>
        </w:tc>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sz w:val="28"/>
                <w:b/>
              </w:rPr>
              <w:t>验收要求：</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期：</w:t>
            </w:r>
          </w:p>
          <w:p>
            <w:pPr>
              <w:pStyle w:val="null5"/>
              <w:jc w:val="both"/>
            </w:pPr>
            <w:r>
              <w:rPr>
                <w:rFonts w:ascii="仿宋_GB2312" w:hAnsi="仿宋_GB2312" w:cs="仿宋_GB2312" w:eastAsia="仿宋_GB2312"/>
                <w:sz w:val="24"/>
              </w:rPr>
              <w:t>分段验收。</w:t>
            </w:r>
          </w:p>
          <w:p>
            <w:pPr>
              <w:pStyle w:val="null5"/>
              <w:jc w:val="both"/>
            </w:pPr>
            <w:r>
              <w:rPr>
                <w:rFonts w:ascii="仿宋_GB2312" w:hAnsi="仿宋_GB2312" w:cs="仿宋_GB2312" w:eastAsia="仿宋_GB2312"/>
                <w:sz w:val="24"/>
              </w:rPr>
              <w:t>履约验收内容：</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技术履约内容乙方提供的标的物或服务应符合国家相关质量验收标准，且能够提供相关权威部门出具的产品质量检测报告；提供的相关服务符合国家（或行业）规定标准。</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商务履约内容按照标的服务提供的时间按时到货，并按照招标文件验收服务内容参数。履约验收标准乙方提供的标的物或服务应符合国家相关质量验收标准，且能够提供相关权威部门出具的产品质量检测报告；提供的相关服务符合国家（或行业）规定标准。履约验收其他事项合同未尽事宜，双方另行签订补充协议，补充协议是合同的组成部分</w:t>
            </w:r>
          </w:p>
        </w:tc>
      </w:tr>
      <w:tr>
        <w:tc>
          <w:tcPr>
            <w:tcW w:type="dxa" w:w="2769"/>
          </w:tcPr>
          <w:p/>
        </w:tc>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sz w:val="28"/>
                <w:b/>
              </w:rPr>
              <w:t>履约保证金：不设</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标的名称：电梯智能识别阻隔系统安装运维服务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center"/>
            </w:pPr>
            <w:r>
              <w:rPr>
                <w:rFonts w:ascii="仿宋_GB2312" w:hAnsi="仿宋_GB2312" w:cs="仿宋_GB2312" w:eastAsia="仿宋_GB2312"/>
                <w:sz w:val="21"/>
                <w:b/>
              </w:rPr>
              <w:t>项目总体情况</w:t>
            </w:r>
          </w:p>
          <w:p>
            <w:pPr>
              <w:pStyle w:val="null5"/>
              <w:ind w:firstLine="420"/>
              <w:jc w:val="both"/>
            </w:pPr>
            <w:r>
              <w:rPr>
                <w:rFonts w:ascii="仿宋_GB2312" w:hAnsi="仿宋_GB2312" w:cs="仿宋_GB2312" w:eastAsia="仿宋_GB2312"/>
                <w:sz w:val="21"/>
              </w:rPr>
              <w:t>完成杭锦旗现有</w:t>
            </w:r>
            <w:r>
              <w:rPr>
                <w:rFonts w:ascii="仿宋_GB2312" w:hAnsi="仿宋_GB2312" w:cs="仿宋_GB2312" w:eastAsia="仿宋_GB2312"/>
                <w:sz w:val="21"/>
              </w:rPr>
              <w:t>39个电梯住宅小区483栋楼、575部电梯的电梯阻隔系统安装，阻隔系统必须满足《关于在全市住宅小区安装电梯智能识别阻隔系统的通知》（鄂住建联发〔2024〕75号）文件要求的各项功能、参数及技术要求，保障系统运行安全有效。安装的梯阻系统，必须保证对电梯安全运行系统不构成影响，确保达到对进入电梯的电动自行车、蓄电池等自动进行识别、报警、停运的标准要求实现智能阻止电动自行车、蓄电池等进入电梯轿厢运行。系统要稳定有效，减少对居民生活的影响。中标供应商要强化日常管理维修维护，保持梯阻系统运行正常，长期有效，对报警、停运情况要及时处理，防止发生安全事故。</w:t>
            </w:r>
          </w:p>
          <w:p>
            <w:pPr>
              <w:pStyle w:val="null5"/>
              <w:ind w:firstLine="420"/>
              <w:jc w:val="both"/>
            </w:pPr>
            <w:r>
              <w:rPr>
                <w:rFonts w:ascii="仿宋_GB2312" w:hAnsi="仿宋_GB2312" w:cs="仿宋_GB2312" w:eastAsia="仿宋_GB2312"/>
                <w:sz w:val="21"/>
              </w:rPr>
              <w:t>（一）服务范围</w:t>
            </w:r>
          </w:p>
          <w:p>
            <w:pPr>
              <w:pStyle w:val="null5"/>
              <w:ind w:firstLine="420"/>
              <w:jc w:val="both"/>
            </w:pPr>
            <w:r>
              <w:rPr>
                <w:rFonts w:ascii="仿宋_GB2312" w:hAnsi="仿宋_GB2312" w:cs="仿宋_GB2312" w:eastAsia="仿宋_GB2312"/>
                <w:sz w:val="21"/>
              </w:rPr>
              <w:t>完成杭锦旗现有</w:t>
            </w:r>
            <w:r>
              <w:rPr>
                <w:rFonts w:ascii="仿宋_GB2312" w:hAnsi="仿宋_GB2312" w:cs="仿宋_GB2312" w:eastAsia="仿宋_GB2312"/>
                <w:sz w:val="21"/>
              </w:rPr>
              <w:t>39个电梯住宅小区的483栋楼、575部电梯的电梯阻隔系统安装、运营、维护服务。</w:t>
            </w:r>
          </w:p>
          <w:p>
            <w:pPr>
              <w:pStyle w:val="null5"/>
              <w:ind w:firstLine="420"/>
              <w:jc w:val="both"/>
            </w:pPr>
            <w:r>
              <w:rPr>
                <w:rFonts w:ascii="仿宋_GB2312" w:hAnsi="仿宋_GB2312" w:cs="仿宋_GB2312" w:eastAsia="仿宋_GB2312"/>
                <w:sz w:val="21"/>
              </w:rPr>
              <w:t>（二）技术要求</w:t>
            </w:r>
          </w:p>
          <w:p>
            <w:pPr>
              <w:pStyle w:val="null5"/>
              <w:ind w:firstLine="420"/>
              <w:jc w:val="both"/>
            </w:pPr>
            <w:r>
              <w:rPr>
                <w:rFonts w:ascii="仿宋_GB2312" w:hAnsi="仿宋_GB2312" w:cs="仿宋_GB2312" w:eastAsia="仿宋_GB2312"/>
                <w:sz w:val="21"/>
              </w:rPr>
              <w:t>详见技术参数表</w:t>
            </w:r>
          </w:p>
          <w:p>
            <w:pPr>
              <w:pStyle w:val="null5"/>
              <w:ind w:firstLine="420"/>
              <w:jc w:val="both"/>
            </w:pPr>
            <w:r>
              <w:rPr>
                <w:rFonts w:ascii="仿宋_GB2312" w:hAnsi="仿宋_GB2312" w:cs="仿宋_GB2312" w:eastAsia="仿宋_GB2312"/>
                <w:sz w:val="21"/>
              </w:rPr>
              <w:t>（三）主要服务内容</w:t>
            </w:r>
          </w:p>
          <w:p>
            <w:pPr>
              <w:pStyle w:val="null5"/>
              <w:ind w:firstLine="420"/>
              <w:jc w:val="both"/>
            </w:pPr>
            <w:r>
              <w:rPr>
                <w:rFonts w:ascii="仿宋_GB2312" w:hAnsi="仿宋_GB2312" w:cs="仿宋_GB2312" w:eastAsia="仿宋_GB2312"/>
                <w:sz w:val="21"/>
              </w:rPr>
              <w:t>1.提供39个电梯住宅小区电梯与小区中控室的网络传输、数据存储等服务；</w:t>
            </w:r>
          </w:p>
          <w:p>
            <w:pPr>
              <w:pStyle w:val="null5"/>
              <w:ind w:firstLine="420"/>
              <w:jc w:val="both"/>
            </w:pPr>
            <w:r>
              <w:rPr>
                <w:rFonts w:ascii="仿宋_GB2312" w:hAnsi="仿宋_GB2312" w:cs="仿宋_GB2312" w:eastAsia="仿宋_GB2312"/>
                <w:sz w:val="21"/>
              </w:rPr>
              <w:t>2.负责575部电梯智能自动阻隔系统的终端、后台安装施工及运维服务；</w:t>
            </w:r>
          </w:p>
          <w:p>
            <w:pPr>
              <w:pStyle w:val="null5"/>
              <w:ind w:firstLine="420"/>
              <w:jc w:val="both"/>
            </w:pPr>
            <w:r>
              <w:rPr>
                <w:rFonts w:ascii="仿宋_GB2312" w:hAnsi="仿宋_GB2312" w:cs="仿宋_GB2312" w:eastAsia="仿宋_GB2312"/>
                <w:sz w:val="21"/>
              </w:rPr>
              <w:t>3.整体系统交付后，提供3个月运维服务及不少于12月的售后服务。中标单位在投标时必须制定详细可操作的运维管理细则，在运维期内要求至少常驻3名运维人员负责系统运行维护工作，定期巡检查看各安装点的摄像头状态是否正常，定期对终端设备进行调整、检修、维护。</w:t>
            </w:r>
          </w:p>
          <w:p>
            <w:pPr>
              <w:pStyle w:val="null5"/>
              <w:ind w:firstLine="420"/>
              <w:jc w:val="both"/>
            </w:pPr>
            <w:r>
              <w:rPr>
                <w:rFonts w:ascii="仿宋_GB2312" w:hAnsi="仿宋_GB2312" w:cs="仿宋_GB2312" w:eastAsia="仿宋_GB2312"/>
                <w:sz w:val="21"/>
              </w:rPr>
              <w:t>4.提供数据保密服务，未经公安、住建等部门授权，不得随意调取、泄露相关视频等数据；</w:t>
            </w:r>
          </w:p>
          <w:p>
            <w:pPr>
              <w:pStyle w:val="null5"/>
              <w:jc w:val="both"/>
            </w:pPr>
            <w:r>
              <w:rPr>
                <w:rFonts w:ascii="仿宋_GB2312" w:hAnsi="仿宋_GB2312" w:cs="仿宋_GB2312" w:eastAsia="仿宋_GB2312"/>
                <w:sz w:val="21"/>
              </w:rPr>
              <w:t>5.运维服务期结束后，中标供应商应将服务期内所有设备、软件、技术资料、存储资料等交付采购人，并组织各小区物业管理人员开展相关技术培训工作。</w:t>
            </w:r>
          </w:p>
          <w:p>
            <w:pPr>
              <w:pStyle w:val="null5"/>
              <w:jc w:val="center"/>
            </w:pP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b/>
              </w:rPr>
              <w:t>阻隔系统（</w:t>
            </w:r>
            <w:r>
              <w:rPr>
                <w:rFonts w:ascii="仿宋_GB2312" w:hAnsi="仿宋_GB2312" w:cs="仿宋_GB2312" w:eastAsia="仿宋_GB2312"/>
                <w:sz w:val="21"/>
                <w:b/>
              </w:rPr>
              <w:t>电梯阻隔系统前端</w:t>
            </w:r>
            <w:r>
              <w:rPr>
                <w:rFonts w:ascii="仿宋_GB2312" w:hAnsi="仿宋_GB2312" w:cs="仿宋_GB2312" w:eastAsia="仿宋_GB2312"/>
                <w:sz w:val="21"/>
                <w:b/>
              </w:rPr>
              <w:t>）</w:t>
            </w:r>
          </w:p>
          <w:p>
            <w:pPr>
              <w:pStyle w:val="null5"/>
              <w:jc w:val="both"/>
            </w:pPr>
            <w:r>
              <w:rPr>
                <w:rFonts w:ascii="仿宋_GB2312" w:hAnsi="仿宋_GB2312" w:cs="仿宋_GB2312" w:eastAsia="仿宋_GB2312"/>
                <w:sz w:val="21"/>
              </w:rPr>
              <w:t>数量：</w:t>
            </w:r>
            <w:r>
              <w:rPr>
                <w:rFonts w:ascii="仿宋_GB2312" w:hAnsi="仿宋_GB2312" w:cs="仿宋_GB2312" w:eastAsia="仿宋_GB2312"/>
                <w:sz w:val="21"/>
              </w:rPr>
              <w:t>575套</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①报警功能：支持1路报警输入，1路报警输出。当检测到电瓶车进入警戒画面并达到停留时间时，可自动识别并触发报警，电瓶车离开布防区域后报警输出可自动关闭。报警声音模式可设为警戒音、提示音或自定义等模式。</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▲②内置1个麦克风，1个内置扬声器，支持双向语音对讲；</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▲③传感器：不低于1/2.7"ProgressiveScanCMOS；</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④图像尺寸：≥1920×1080；视场角：电梯内空间全覆盖；</w:t>
            </w:r>
          </w:p>
          <w:p>
            <w:pPr>
              <w:pStyle w:val="null5"/>
              <w:jc w:val="both"/>
            </w:pPr>
            <w:r>
              <w:rPr>
                <w:rFonts w:ascii="仿宋_GB2312" w:hAnsi="仿宋_GB2312" w:cs="仿宋_GB2312" w:eastAsia="仿宋_GB2312"/>
                <w:sz w:val="21"/>
              </w:rPr>
              <w:t>⑤补光灯：须具备补光灯；</w:t>
            </w:r>
          </w:p>
          <w:p>
            <w:pPr>
              <w:pStyle w:val="null5"/>
              <w:jc w:val="both"/>
            </w:pPr>
            <w:r>
              <w:rPr>
                <w:rFonts w:ascii="仿宋_GB2312" w:hAnsi="仿宋_GB2312" w:cs="仿宋_GB2312" w:eastAsia="仿宋_GB2312"/>
                <w:sz w:val="21"/>
              </w:rPr>
              <w:t>⑥视频压缩标准：主码流H.265/H.264；且支持SD卡扩展≥512GB；</w:t>
            </w:r>
          </w:p>
          <w:p>
            <w:pPr>
              <w:pStyle w:val="null5"/>
              <w:jc w:val="both"/>
            </w:pPr>
            <w:r>
              <w:rPr>
                <w:rFonts w:ascii="仿宋_GB2312" w:hAnsi="仿宋_GB2312" w:cs="仿宋_GB2312" w:eastAsia="仿宋_GB2312"/>
                <w:sz w:val="21"/>
              </w:rPr>
              <w:t>▲⑦遮挡检测：内置ToF传感器，可检测遮挡摄像机的行为。可设置遮挡报警距离、时长及布防时间，当在布防时间内检测到有物体距离样机的距离低于设定阈值且达到设置遮挡时长时，可在客户端给出报警提示，并可联动声音报警、上传中心、录像、发送邮件及触发报警输出。</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⑧前端安装所需其他内容，交换机、电缆、光纤、网线等。</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b/>
              </w:rPr>
              <w:t>阻隔系统（电梯阻隔系统管理端）</w:t>
            </w:r>
          </w:p>
          <w:p>
            <w:pPr>
              <w:pStyle w:val="null5"/>
              <w:jc w:val="both"/>
            </w:pPr>
            <w:r>
              <w:rPr>
                <w:rFonts w:ascii="仿宋_GB2312" w:hAnsi="仿宋_GB2312" w:cs="仿宋_GB2312" w:eastAsia="仿宋_GB2312"/>
                <w:sz w:val="21"/>
              </w:rPr>
              <w:t>数量：</w:t>
            </w:r>
            <w:r>
              <w:rPr>
                <w:rFonts w:ascii="仿宋_GB2312" w:hAnsi="仿宋_GB2312" w:cs="仿宋_GB2312" w:eastAsia="仿宋_GB2312"/>
                <w:sz w:val="21"/>
              </w:rPr>
              <w:t>39套</w:t>
            </w:r>
          </w:p>
          <w:p>
            <w:pPr>
              <w:pStyle w:val="null5"/>
              <w:jc w:val="both"/>
            </w:pPr>
            <w:r>
              <w:rPr>
                <w:rFonts w:ascii="仿宋_GB2312" w:hAnsi="仿宋_GB2312" w:cs="仿宋_GB2312" w:eastAsia="仿宋_GB2312"/>
                <w:sz w:val="21"/>
              </w:rPr>
              <w:t>①接口要求：</w:t>
            </w:r>
          </w:p>
          <w:p>
            <w:pPr>
              <w:pStyle w:val="null5"/>
              <w:jc w:val="both"/>
            </w:pPr>
            <w:r>
              <w:rPr>
                <w:rFonts w:ascii="仿宋_GB2312" w:hAnsi="仿宋_GB2312" w:cs="仿宋_GB2312" w:eastAsia="仿宋_GB2312"/>
                <w:sz w:val="21"/>
              </w:rPr>
              <w:t>存储接口</w:t>
            </w:r>
            <w:r>
              <w:rPr>
                <w:rFonts w:ascii="仿宋_GB2312" w:hAnsi="仿宋_GB2312" w:cs="仿宋_GB2312" w:eastAsia="仿宋_GB2312"/>
                <w:sz w:val="21"/>
              </w:rPr>
              <w:t>≥5个SATA接口</w:t>
            </w:r>
            <w:r>
              <w:rPr>
                <w:rFonts w:ascii="仿宋_GB2312" w:hAnsi="仿宋_GB2312" w:cs="仿宋_GB2312" w:eastAsia="仿宋_GB2312"/>
                <w:sz w:val="21"/>
              </w:rPr>
              <w:t>视频接口</w:t>
            </w:r>
            <w:r>
              <w:rPr>
                <w:rFonts w:ascii="仿宋_GB2312" w:hAnsi="仿宋_GB2312" w:cs="仿宋_GB2312" w:eastAsia="仿宋_GB2312"/>
                <w:sz w:val="21"/>
              </w:rPr>
              <w:t>≥2×HDMI、1×VGA</w:t>
            </w:r>
            <w:r>
              <w:rPr>
                <w:rFonts w:ascii="仿宋_GB2312" w:hAnsi="仿宋_GB2312" w:cs="仿宋_GB2312" w:eastAsia="仿宋_GB2312"/>
                <w:sz w:val="21"/>
              </w:rPr>
              <w:t>网络接口</w:t>
            </w:r>
            <w:r>
              <w:rPr>
                <w:rFonts w:ascii="仿宋_GB2312" w:hAnsi="仿宋_GB2312" w:cs="仿宋_GB2312" w:eastAsia="仿宋_GB2312"/>
                <w:sz w:val="21"/>
              </w:rPr>
              <w:t>≥2×RJ4510/100/1000Mbps自适应以太网口</w:t>
            </w:r>
            <w:r>
              <w:rPr>
                <w:rFonts w:ascii="仿宋_GB2312" w:hAnsi="仿宋_GB2312" w:cs="仿宋_GB2312" w:eastAsia="仿宋_GB2312"/>
                <w:sz w:val="21"/>
              </w:rPr>
              <w:t>报警接口</w:t>
            </w:r>
            <w:r>
              <w:rPr>
                <w:rFonts w:ascii="仿宋_GB2312" w:hAnsi="仿宋_GB2312" w:cs="仿宋_GB2312" w:eastAsia="仿宋_GB2312"/>
                <w:sz w:val="21"/>
              </w:rPr>
              <w:t>≥16路报警输入，9路报警输出（需支持CTRL12V）</w:t>
            </w:r>
            <w:r>
              <w:rPr>
                <w:rFonts w:ascii="仿宋_GB2312" w:hAnsi="仿宋_GB2312" w:cs="仿宋_GB2312" w:eastAsia="仿宋_GB2312"/>
                <w:sz w:val="21"/>
              </w:rPr>
              <w:t>反向供电</w:t>
            </w:r>
            <w:r>
              <w:rPr>
                <w:rFonts w:ascii="仿宋_GB2312" w:hAnsi="仿宋_GB2312" w:cs="仿宋_GB2312" w:eastAsia="仿宋_GB2312"/>
                <w:sz w:val="21"/>
              </w:rPr>
              <w:t>≥1路DC12V1A</w:t>
            </w:r>
            <w:r>
              <w:rPr>
                <w:rFonts w:ascii="仿宋_GB2312" w:hAnsi="仿宋_GB2312" w:cs="仿宋_GB2312" w:eastAsia="仿宋_GB2312"/>
                <w:sz w:val="21"/>
              </w:rPr>
              <w:t>串行接口</w:t>
            </w:r>
            <w:r>
              <w:rPr>
                <w:rFonts w:ascii="仿宋_GB2312" w:hAnsi="仿宋_GB2312" w:cs="仿宋_GB2312" w:eastAsia="仿宋_GB2312"/>
                <w:sz w:val="21"/>
              </w:rPr>
              <w:t>≥1路RS-232接口，1路全双工RS-485接口</w:t>
            </w:r>
            <w:r>
              <w:rPr>
                <w:rFonts w:ascii="仿宋_GB2312" w:hAnsi="仿宋_GB2312" w:cs="仿宋_GB2312" w:eastAsia="仿宋_GB2312"/>
                <w:sz w:val="21"/>
              </w:rPr>
              <w:t>USB接口≥2×USB2.0，1×USB3.0</w:t>
            </w:r>
            <w:r>
              <w:rPr>
                <w:rFonts w:ascii="仿宋_GB2312" w:hAnsi="仿宋_GB2312" w:cs="仿宋_GB2312" w:eastAsia="仿宋_GB2312"/>
                <w:sz w:val="21"/>
              </w:rPr>
              <w:t>②性能要求：</w:t>
            </w:r>
          </w:p>
          <w:p>
            <w:pPr>
              <w:pStyle w:val="null5"/>
              <w:jc w:val="both"/>
            </w:pPr>
            <w:r>
              <w:rPr>
                <w:rFonts w:ascii="仿宋_GB2312" w:hAnsi="仿宋_GB2312" w:cs="仿宋_GB2312" w:eastAsia="仿宋_GB2312"/>
                <w:sz w:val="21"/>
              </w:rPr>
              <w:t>输入带宽：</w:t>
            </w:r>
            <w:r>
              <w:rPr>
                <w:rFonts w:ascii="仿宋_GB2312" w:hAnsi="仿宋_GB2312" w:cs="仿宋_GB2312" w:eastAsia="仿宋_GB2312"/>
                <w:sz w:val="21"/>
              </w:rPr>
              <w:t>≥150Mbps</w:t>
            </w:r>
          </w:p>
          <w:p>
            <w:pPr>
              <w:pStyle w:val="null5"/>
              <w:jc w:val="both"/>
            </w:pPr>
            <w:r>
              <w:rPr>
                <w:rFonts w:ascii="仿宋_GB2312" w:hAnsi="仿宋_GB2312" w:cs="仿宋_GB2312" w:eastAsia="仿宋_GB2312"/>
                <w:sz w:val="21"/>
              </w:rPr>
              <w:t>输出带宽：</w:t>
            </w:r>
            <w:r>
              <w:rPr>
                <w:rFonts w:ascii="仿宋_GB2312" w:hAnsi="仿宋_GB2312" w:cs="仿宋_GB2312" w:eastAsia="仿宋_GB2312"/>
                <w:sz w:val="21"/>
              </w:rPr>
              <w:t>≥150Mbps</w:t>
            </w:r>
            <w:r>
              <w:rPr>
                <w:rFonts w:ascii="仿宋_GB2312" w:hAnsi="仿宋_GB2312" w:cs="仿宋_GB2312" w:eastAsia="仿宋_GB2312"/>
                <w:sz w:val="21"/>
              </w:rPr>
              <w:t>接入能力：</w:t>
            </w:r>
            <w:r>
              <w:rPr>
                <w:rFonts w:ascii="仿宋_GB2312" w:hAnsi="仿宋_GB2312" w:cs="仿宋_GB2312" w:eastAsia="仿宋_GB2312"/>
                <w:sz w:val="21"/>
              </w:rPr>
              <w:t>≥16路H.264、H.265格式高清码流接入</w:t>
            </w:r>
            <w:r>
              <w:rPr>
                <w:rFonts w:ascii="仿宋_GB2312" w:hAnsi="仿宋_GB2312" w:cs="仿宋_GB2312" w:eastAsia="仿宋_GB2312"/>
                <w:sz w:val="21"/>
              </w:rPr>
              <w:t>解码能力：</w:t>
            </w:r>
            <w:r>
              <w:rPr>
                <w:rFonts w:ascii="仿宋_GB2312" w:hAnsi="仿宋_GB2312" w:cs="仿宋_GB2312" w:eastAsia="仿宋_GB2312"/>
                <w:sz w:val="21"/>
              </w:rPr>
              <w:t>≥支持12×1080P</w:t>
            </w:r>
            <w:r>
              <w:rPr>
                <w:rFonts w:ascii="仿宋_GB2312" w:hAnsi="仿宋_GB2312" w:cs="仿宋_GB2312" w:eastAsia="仿宋_GB2312"/>
                <w:sz w:val="21"/>
              </w:rPr>
              <w:t>③智能化要求：</w:t>
            </w:r>
          </w:p>
          <w:p>
            <w:pPr>
              <w:pStyle w:val="null5"/>
              <w:jc w:val="both"/>
            </w:pPr>
            <w:r>
              <w:rPr>
                <w:rFonts w:ascii="仿宋_GB2312" w:hAnsi="仿宋_GB2312" w:cs="仿宋_GB2312" w:eastAsia="仿宋_GB2312"/>
                <w:sz w:val="21"/>
              </w:rPr>
              <w:t>目标识别应用：目标比对报警，</w:t>
            </w:r>
            <w:r>
              <w:rPr>
                <w:rFonts w:ascii="仿宋_GB2312" w:hAnsi="仿宋_GB2312" w:cs="仿宋_GB2312" w:eastAsia="仿宋_GB2312"/>
                <w:sz w:val="21"/>
              </w:rPr>
              <w:t>1V1比对；支持以图搜图、按姓名检索、按属性检索</w:t>
            </w:r>
          </w:p>
          <w:p>
            <w:pPr>
              <w:pStyle w:val="null5"/>
              <w:jc w:val="both"/>
            </w:pPr>
            <w:r>
              <w:rPr>
                <w:rFonts w:ascii="仿宋_GB2312" w:hAnsi="仿宋_GB2312" w:cs="仿宋_GB2312" w:eastAsia="仿宋_GB2312"/>
                <w:sz w:val="21"/>
              </w:rPr>
              <w:t>目标名单库：支持</w:t>
            </w:r>
            <w:r>
              <w:rPr>
                <w:rFonts w:ascii="仿宋_GB2312" w:hAnsi="仿宋_GB2312" w:cs="仿宋_GB2312" w:eastAsia="仿宋_GB2312"/>
                <w:sz w:val="21"/>
              </w:rPr>
              <w:t>16个名单库，名单库库容5万张</w:t>
            </w:r>
          </w:p>
          <w:p>
            <w:pPr>
              <w:pStyle w:val="null5"/>
              <w:jc w:val="both"/>
            </w:pPr>
            <w:r>
              <w:rPr>
                <w:rFonts w:ascii="仿宋_GB2312" w:hAnsi="仿宋_GB2312" w:cs="仿宋_GB2312" w:eastAsia="仿宋_GB2312"/>
                <w:sz w:val="21"/>
              </w:rPr>
              <w:t>目标抓拍：</w:t>
            </w:r>
            <w:r>
              <w:rPr>
                <w:rFonts w:ascii="仿宋_GB2312" w:hAnsi="仿宋_GB2312" w:cs="仿宋_GB2312" w:eastAsia="仿宋_GB2312"/>
                <w:sz w:val="21"/>
              </w:rPr>
              <w:t>2路（4MP）视频流</w:t>
            </w:r>
          </w:p>
          <w:p>
            <w:pPr>
              <w:pStyle w:val="null5"/>
              <w:jc w:val="both"/>
            </w:pPr>
            <w:r>
              <w:rPr>
                <w:rFonts w:ascii="仿宋_GB2312" w:hAnsi="仿宋_GB2312" w:cs="仿宋_GB2312" w:eastAsia="仿宋_GB2312"/>
                <w:sz w:val="21"/>
              </w:rPr>
              <w:t>▲目标比对：支持2路视频流人脸识别，支持8路图片流人脸识别。支持10张/秒人脸比对报警，比对结果显示包括人脸比对成功、人脸比对失败和陌生人报警。</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④管理端所需其他内容，交换机、电缆、光纤、网线等。</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b/>
              </w:rPr>
              <w:t>阻隔系统网络传输服务（电梯井至楼顶）</w:t>
            </w:r>
          </w:p>
          <w:p>
            <w:pPr>
              <w:pStyle w:val="null5"/>
              <w:jc w:val="both"/>
            </w:pPr>
            <w:r>
              <w:rPr>
                <w:rFonts w:ascii="仿宋_GB2312" w:hAnsi="仿宋_GB2312" w:cs="仿宋_GB2312" w:eastAsia="仿宋_GB2312"/>
                <w:sz w:val="21"/>
              </w:rPr>
              <w:t>电梯井数量：</w:t>
            </w:r>
            <w:r>
              <w:rPr>
                <w:rFonts w:ascii="仿宋_GB2312" w:hAnsi="仿宋_GB2312" w:cs="仿宋_GB2312" w:eastAsia="仿宋_GB2312"/>
                <w:sz w:val="21"/>
              </w:rPr>
              <w:t>575处</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①</w:t>
            </w:r>
            <w:r>
              <w:rPr>
                <w:rFonts w:ascii="仿宋_GB2312" w:hAnsi="仿宋_GB2312" w:cs="仿宋_GB2312" w:eastAsia="仿宋_GB2312"/>
                <w:sz w:val="21"/>
              </w:rPr>
              <w:t>传输速率</w:t>
            </w:r>
            <w:r>
              <w:rPr>
                <w:rFonts w:ascii="仿宋_GB2312" w:hAnsi="仿宋_GB2312" w:cs="仿宋_GB2312" w:eastAsia="仿宋_GB2312"/>
                <w:sz w:val="21"/>
              </w:rPr>
              <w:t>≥300Mbps。</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②支持≥1*100Mbps自协商以太网口。</w:t>
            </w:r>
          </w:p>
          <w:p>
            <w:pPr>
              <w:pStyle w:val="null5"/>
              <w:jc w:val="both"/>
            </w:pPr>
            <w:r>
              <w:rPr>
                <w:rFonts w:ascii="仿宋_GB2312" w:hAnsi="仿宋_GB2312" w:cs="仿宋_GB2312" w:eastAsia="仿宋_GB2312"/>
                <w:sz w:val="21"/>
              </w:rPr>
              <w:t>③桥接距离：理论距离不小于1KM。</w:t>
            </w:r>
          </w:p>
          <w:p>
            <w:pPr>
              <w:pStyle w:val="null5"/>
              <w:jc w:val="both"/>
            </w:pPr>
            <w:r>
              <w:rPr>
                <w:rFonts w:ascii="仿宋_GB2312" w:hAnsi="仿宋_GB2312" w:cs="仿宋_GB2312" w:eastAsia="仿宋_GB2312"/>
                <w:sz w:val="21"/>
              </w:rPr>
              <w:t>▲④内置定向天线，水平角度≥60°，垂直角度≥60°。</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▲⑤整机功率≤5W。</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⑥支持12VDC供电和24V非标PoE供电。</w:t>
            </w:r>
          </w:p>
          <w:p>
            <w:pPr>
              <w:pStyle w:val="null5"/>
              <w:jc w:val="both"/>
            </w:pPr>
            <w:r>
              <w:rPr>
                <w:rFonts w:ascii="仿宋_GB2312" w:hAnsi="仿宋_GB2312" w:cs="仿宋_GB2312" w:eastAsia="仿宋_GB2312"/>
                <w:sz w:val="21"/>
              </w:rPr>
              <w:t>⑦支持端口防雷。</w:t>
            </w:r>
          </w:p>
          <w:p>
            <w:pPr>
              <w:pStyle w:val="null5"/>
              <w:jc w:val="both"/>
            </w:pPr>
            <w:r>
              <w:rPr>
                <w:rFonts w:ascii="仿宋_GB2312" w:hAnsi="仿宋_GB2312" w:cs="仿宋_GB2312" w:eastAsia="仿宋_GB2312"/>
                <w:sz w:val="21"/>
              </w:rPr>
              <w:t>▲⑧支持工作温度-20℃~60℃。</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⑨支持对准工具</w:t>
            </w:r>
          </w:p>
          <w:p>
            <w:pPr>
              <w:pStyle w:val="null5"/>
              <w:jc w:val="both"/>
            </w:pPr>
            <w:r>
              <w:rPr>
                <w:rFonts w:ascii="仿宋_GB2312" w:hAnsi="仿宋_GB2312" w:cs="仿宋_GB2312" w:eastAsia="仿宋_GB2312"/>
                <w:sz w:val="21"/>
              </w:rPr>
              <w:t>▲⑩支持高带宽/普通/抗干扰模式切换，适配不同干扰环境。</w:t>
            </w:r>
            <w:r>
              <w:rPr>
                <w:rFonts w:ascii="仿宋_GB2312" w:hAnsi="仿宋_GB2312" w:cs="仿宋_GB2312" w:eastAsia="仿宋_GB2312"/>
                <w:sz w:val="21"/>
              </w:rPr>
              <w:t>（响应文件中需附公安部检测检验报告或产品制造商官方说明书截图或产品制造商官方网站产品参数截图）</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1"/>
                <w:b/>
              </w:rPr>
              <w:t>阻隔系统网络传输服务（小区中控室汇聚）</w:t>
            </w:r>
          </w:p>
          <w:p>
            <w:pPr>
              <w:pStyle w:val="null5"/>
              <w:jc w:val="both"/>
            </w:pPr>
            <w:r>
              <w:rPr>
                <w:rFonts w:ascii="仿宋_GB2312" w:hAnsi="仿宋_GB2312" w:cs="仿宋_GB2312" w:eastAsia="仿宋_GB2312"/>
                <w:sz w:val="21"/>
              </w:rPr>
              <w:t>传输点数量：</w:t>
            </w:r>
            <w:r>
              <w:rPr>
                <w:rFonts w:ascii="仿宋_GB2312" w:hAnsi="仿宋_GB2312" w:cs="仿宋_GB2312" w:eastAsia="仿宋_GB2312"/>
                <w:sz w:val="21"/>
              </w:rPr>
              <w:t>522处</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①</w:t>
            </w:r>
            <w:r>
              <w:rPr>
                <w:rFonts w:ascii="仿宋_GB2312" w:hAnsi="仿宋_GB2312" w:cs="仿宋_GB2312" w:eastAsia="仿宋_GB2312"/>
                <w:sz w:val="21"/>
              </w:rPr>
              <w:t>传输速率</w:t>
            </w:r>
            <w:r>
              <w:rPr>
                <w:rFonts w:ascii="仿宋_GB2312" w:hAnsi="仿宋_GB2312" w:cs="仿宋_GB2312" w:eastAsia="仿宋_GB2312"/>
                <w:sz w:val="21"/>
              </w:rPr>
              <w:t>≥800Mbps。</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②支持≥2*1000Mbps自协商以太网口。</w:t>
            </w:r>
          </w:p>
          <w:p>
            <w:pPr>
              <w:pStyle w:val="null5"/>
              <w:jc w:val="both"/>
            </w:pPr>
            <w:r>
              <w:rPr>
                <w:rFonts w:ascii="仿宋_GB2312" w:hAnsi="仿宋_GB2312" w:cs="仿宋_GB2312" w:eastAsia="仿宋_GB2312"/>
                <w:sz w:val="21"/>
              </w:rPr>
              <w:t>③桥接距离：理论距离不小于3KM。</w:t>
            </w:r>
          </w:p>
          <w:p>
            <w:pPr>
              <w:pStyle w:val="null5"/>
              <w:jc w:val="both"/>
            </w:pPr>
            <w:r>
              <w:rPr>
                <w:rFonts w:ascii="仿宋_GB2312" w:hAnsi="仿宋_GB2312" w:cs="仿宋_GB2312" w:eastAsia="仿宋_GB2312"/>
                <w:sz w:val="21"/>
              </w:rPr>
              <w:t>▲④内置定向天线，水平角度≥30°，垂直角度≥10°。</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▲⑤整机功率≤9W。</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⑥支持12VDC供电和24V非标PoE供电。</w:t>
            </w:r>
          </w:p>
          <w:p>
            <w:pPr>
              <w:pStyle w:val="null5"/>
              <w:jc w:val="both"/>
            </w:pPr>
            <w:r>
              <w:rPr>
                <w:rFonts w:ascii="仿宋_GB2312" w:hAnsi="仿宋_GB2312" w:cs="仿宋_GB2312" w:eastAsia="仿宋_GB2312"/>
                <w:sz w:val="21"/>
              </w:rPr>
              <w:t>⑦支持端口防雷。</w:t>
            </w:r>
          </w:p>
          <w:p>
            <w:pPr>
              <w:pStyle w:val="null5"/>
              <w:jc w:val="both"/>
            </w:pPr>
            <w:r>
              <w:rPr>
                <w:rFonts w:ascii="仿宋_GB2312" w:hAnsi="仿宋_GB2312" w:cs="仿宋_GB2312" w:eastAsia="仿宋_GB2312"/>
                <w:sz w:val="21"/>
              </w:rPr>
              <w:t>▲⑧支持工作温度-20℃~60℃。</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⑨支持对准工具</w:t>
            </w:r>
          </w:p>
          <w:p>
            <w:pPr>
              <w:pStyle w:val="null5"/>
              <w:jc w:val="both"/>
            </w:pPr>
            <w:r>
              <w:rPr>
                <w:rFonts w:ascii="仿宋_GB2312" w:hAnsi="仿宋_GB2312" w:cs="仿宋_GB2312" w:eastAsia="仿宋_GB2312"/>
                <w:sz w:val="21"/>
              </w:rPr>
              <w:t>▲⑩支持高带宽/普通/抗干扰模式切换，适配不同干扰环境。</w:t>
            </w:r>
            <w:r>
              <w:rPr>
                <w:rFonts w:ascii="仿宋_GB2312" w:hAnsi="仿宋_GB2312" w:cs="仿宋_GB2312" w:eastAsia="仿宋_GB2312"/>
                <w:sz w:val="21"/>
              </w:rPr>
              <w:t>（响应文件中需附公安部检测检验报告或产品制造商官方说明书截图或产品制造商官方网站产品参数截图）</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both"/>
            </w:pPr>
            <w:r>
              <w:rPr>
                <w:rFonts w:ascii="仿宋_GB2312" w:hAnsi="仿宋_GB2312" w:cs="仿宋_GB2312" w:eastAsia="仿宋_GB2312"/>
                <w:sz w:val="21"/>
                <w:b/>
              </w:rPr>
              <w:t>网络传输服务标准</w:t>
            </w:r>
          </w:p>
          <w:p>
            <w:pPr>
              <w:pStyle w:val="null5"/>
              <w:jc w:val="both"/>
            </w:pPr>
            <w:r>
              <w:rPr>
                <w:rFonts w:ascii="仿宋_GB2312" w:hAnsi="仿宋_GB2312" w:cs="仿宋_GB2312" w:eastAsia="仿宋_GB2312"/>
                <w:sz w:val="21"/>
              </w:rPr>
              <w:t>中标人承担</w:t>
            </w:r>
            <w:r>
              <w:rPr>
                <w:rFonts w:ascii="仿宋_GB2312" w:hAnsi="仿宋_GB2312" w:cs="仿宋_GB2312" w:eastAsia="仿宋_GB2312"/>
                <w:sz w:val="21"/>
              </w:rPr>
              <w:t>质保</w:t>
            </w:r>
            <w:r>
              <w:rPr>
                <w:rFonts w:ascii="仿宋_GB2312" w:hAnsi="仿宋_GB2312" w:cs="仿宋_GB2312" w:eastAsia="仿宋_GB2312"/>
                <w:sz w:val="21"/>
              </w:rPr>
              <w:t>期内链路传输维护工作，确保前端摄像机监控视频有足够的接入带宽，确保传输畅通。传输链路标准《</w:t>
            </w:r>
            <w:r>
              <w:rPr>
                <w:rFonts w:ascii="仿宋_GB2312" w:hAnsi="仿宋_GB2312" w:cs="仿宋_GB2312" w:eastAsia="仿宋_GB2312"/>
                <w:sz w:val="21"/>
              </w:rPr>
              <w:t>GB/T28181-2016》。</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both"/>
            </w:pPr>
            <w:r>
              <w:rPr>
                <w:rFonts w:ascii="仿宋_GB2312" w:hAnsi="仿宋_GB2312" w:cs="仿宋_GB2312" w:eastAsia="仿宋_GB2312"/>
                <w:sz w:val="21"/>
                <w:b/>
              </w:rPr>
              <w:t>考核</w:t>
            </w:r>
            <w:r>
              <w:rPr>
                <w:rFonts w:ascii="仿宋_GB2312" w:hAnsi="仿宋_GB2312" w:cs="仿宋_GB2312" w:eastAsia="仿宋_GB2312"/>
                <w:sz w:val="21"/>
                <w:b/>
              </w:rPr>
              <w:t>办法</w:t>
            </w:r>
          </w:p>
          <w:p>
            <w:pPr>
              <w:pStyle w:val="null5"/>
              <w:jc w:val="both"/>
            </w:pPr>
            <w:r>
              <w:rPr>
                <w:rFonts w:ascii="仿宋_GB2312" w:hAnsi="仿宋_GB2312" w:cs="仿宋_GB2312" w:eastAsia="仿宋_GB2312"/>
                <w:sz w:val="21"/>
              </w:rPr>
              <w:t>为了确保系统的在线率和完好率，本项目付费方式为分阶段履约考核验收支付，根据财政支付计划进行费用支付。</w:t>
            </w:r>
          </w:p>
          <w:p>
            <w:pPr>
              <w:pStyle w:val="null5"/>
              <w:jc w:val="both"/>
            </w:pPr>
            <w:r>
              <w:rPr>
                <w:rFonts w:ascii="仿宋_GB2312" w:hAnsi="仿宋_GB2312" w:cs="仿宋_GB2312" w:eastAsia="仿宋_GB2312"/>
                <w:sz w:val="21"/>
              </w:rPr>
              <w:t>考核标准：平均在线率必须在</w:t>
            </w:r>
            <w:r>
              <w:rPr>
                <w:rFonts w:ascii="仿宋_GB2312" w:hAnsi="仿宋_GB2312" w:cs="仿宋_GB2312" w:eastAsia="仿宋_GB2312"/>
                <w:sz w:val="21"/>
              </w:rPr>
              <w:t>95%以上。</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投运时在线率未达到</w:t>
            </w:r>
            <w:r>
              <w:rPr>
                <w:rFonts w:ascii="仿宋_GB2312" w:hAnsi="仿宋_GB2312" w:cs="仿宋_GB2312" w:eastAsia="仿宋_GB2312"/>
                <w:sz w:val="21"/>
              </w:rPr>
              <w:t>95%以上，扣除</w:t>
            </w:r>
            <w:r>
              <w:rPr>
                <w:rFonts w:ascii="仿宋_GB2312" w:hAnsi="仿宋_GB2312" w:cs="仿宋_GB2312" w:eastAsia="仿宋_GB2312"/>
                <w:sz w:val="21"/>
              </w:rPr>
              <w:t>本阶段费用额度</w:t>
            </w:r>
            <w:r>
              <w:rPr>
                <w:rFonts w:ascii="仿宋_GB2312" w:hAnsi="仿宋_GB2312" w:cs="仿宋_GB2312" w:eastAsia="仿宋_GB2312"/>
                <w:sz w:val="21"/>
              </w:rPr>
              <w:t>30%</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2）正式运营后</w:t>
            </w:r>
            <w:r>
              <w:rPr>
                <w:rFonts w:ascii="仿宋_GB2312" w:hAnsi="仿宋_GB2312" w:cs="仿宋_GB2312" w:eastAsia="仿宋_GB2312"/>
                <w:sz w:val="21"/>
              </w:rPr>
              <w:t>1个月内平均在线率未达到95%以上，扣除第2次付款额度的50%。</w:t>
            </w:r>
          </w:p>
          <w:p>
            <w:pPr>
              <w:pStyle w:val="null5"/>
              <w:jc w:val="both"/>
            </w:pPr>
            <w:r>
              <w:rPr>
                <w:rFonts w:ascii="仿宋_GB2312" w:hAnsi="仿宋_GB2312" w:cs="仿宋_GB2312" w:eastAsia="仿宋_GB2312"/>
                <w:sz w:val="21"/>
              </w:rPr>
              <w:t>3）服务期满时平均在线率未达到</w:t>
            </w:r>
            <w:r>
              <w:rPr>
                <w:rFonts w:ascii="仿宋_GB2312" w:hAnsi="仿宋_GB2312" w:cs="仿宋_GB2312" w:eastAsia="仿宋_GB2312"/>
                <w:sz w:val="21"/>
              </w:rPr>
              <w:t>95%以上，扣除第3次付款全部额度。</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both"/>
            </w:pPr>
            <w:r>
              <w:rPr>
                <w:rFonts w:ascii="仿宋_GB2312" w:hAnsi="仿宋_GB2312" w:cs="仿宋_GB2312" w:eastAsia="仿宋_GB2312"/>
                <w:sz w:val="21"/>
                <w:b/>
              </w:rPr>
              <w:t>投运服务</w:t>
            </w:r>
            <w:r>
              <w:rPr>
                <w:rFonts w:ascii="仿宋_GB2312" w:hAnsi="仿宋_GB2312" w:cs="仿宋_GB2312" w:eastAsia="仿宋_GB2312"/>
                <w:sz w:val="21"/>
                <w:b/>
              </w:rPr>
              <w:t>要求</w:t>
            </w:r>
          </w:p>
          <w:p>
            <w:pPr>
              <w:pStyle w:val="null5"/>
              <w:jc w:val="both"/>
            </w:pPr>
            <w:r>
              <w:rPr>
                <w:rFonts w:ascii="仿宋_GB2312" w:hAnsi="仿宋_GB2312" w:cs="仿宋_GB2312" w:eastAsia="仿宋_GB2312"/>
                <w:sz w:val="21"/>
              </w:rPr>
              <w:t>合同签订后</w:t>
            </w:r>
            <w:r>
              <w:rPr>
                <w:rFonts w:ascii="仿宋_GB2312" w:hAnsi="仿宋_GB2312" w:cs="仿宋_GB2312" w:eastAsia="仿宋_GB2312"/>
                <w:sz w:val="21"/>
              </w:rPr>
              <w:t>30日历天投入运行</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投运后服务期</w:t>
            </w:r>
            <w:r>
              <w:rPr>
                <w:rFonts w:ascii="仿宋_GB2312" w:hAnsi="仿宋_GB2312" w:cs="仿宋_GB2312" w:eastAsia="仿宋_GB2312"/>
                <w:sz w:val="21"/>
              </w:rPr>
              <w:t>2个月，驻场服务人员不少于3人，确保服务期内阻隔系统在线率大于等于95%，故障处理时间小于等于1小时。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审查投标人递交响应文件截止之日前一年内经会计师事务所出具的财务审计报告或其基本开户银行出具的近一年内的银行资信证明。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技术参数要求应答</w:t>
            </w:r>
          </w:p>
        </w:tc>
        <w:tc>
          <w:tcPr>
            <w:tcW w:type="dxa" w:w="3115"/>
          </w:tcPr>
          <w:p>
            <w:pPr>
              <w:pStyle w:val="null5"/>
              <w:jc w:val="left"/>
            </w:pPr>
            <w:r>
              <w:rPr>
                <w:rFonts w:ascii="仿宋_GB2312" w:hAnsi="仿宋_GB2312" w:cs="仿宋_GB2312" w:eastAsia="仿宋_GB2312"/>
              </w:rPr>
              <w:t>根据投标人应答技术偏离表情况，对标“▲”重要技术参数进行评审，投标人所投产品完全满足招标文件技术需求得15分，有一项不满足扣1分，扣完为止。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技术服务方案</w:t>
            </w:r>
          </w:p>
        </w:tc>
        <w:tc>
          <w:tcPr>
            <w:tcW w:type="dxa" w:w="3115"/>
          </w:tcPr>
          <w:p>
            <w:pPr>
              <w:pStyle w:val="null5"/>
              <w:jc w:val="left"/>
            </w:pPr>
            <w:r>
              <w:rPr>
                <w:rFonts w:ascii="仿宋_GB2312" w:hAnsi="仿宋_GB2312" w:cs="仿宋_GB2312" w:eastAsia="仿宋_GB2312"/>
              </w:rPr>
              <w:t>根据投标人对项目需求分析与实际业务的需求匹配程度、整体方案设计等方面进行综合评分。方案科学、合理、针对性强，完全符合，得10分；全面、合理、针对性一般，得7分；全面、合理、针对性差，得3分;未提供或内容不符合实际难以应用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服务实施方案</w:t>
            </w:r>
          </w:p>
        </w:tc>
        <w:tc>
          <w:tcPr>
            <w:tcW w:type="dxa" w:w="3115"/>
          </w:tcPr>
          <w:p>
            <w:pPr>
              <w:pStyle w:val="null5"/>
              <w:jc w:val="left"/>
            </w:pPr>
            <w:r>
              <w:rPr>
                <w:rFonts w:ascii="仿宋_GB2312" w:hAnsi="仿宋_GB2312" w:cs="仿宋_GB2312" w:eastAsia="仿宋_GB2312"/>
              </w:rPr>
              <w:t>根据投标人对本项目提供的服务实施方案、人员配置、进度计划等进行综合评分。方案科学、合理、可操作性、针对性强，进度计划安排合理得10分；全面、合理、可行、针对性一般，进度计划安排不合理得7分；全面、合理、针对性差，进度计划安排不符合招标要求得3分；未提供或内容不符合实际难以应用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售后服务方案、服务体系、服务团队等维度进评分。方案完整、可行、适用性强，服务体系完善、非常健全得10分；方案完整、可行、适用性一般，服务体系健全得7分；完整性、可行性、适用性差，服务体系不健全得3分；未提供或内容不符合实际难以应用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应急处置方案</w:t>
            </w:r>
          </w:p>
        </w:tc>
        <w:tc>
          <w:tcPr>
            <w:tcW w:type="dxa" w:w="3115"/>
          </w:tcPr>
          <w:p>
            <w:pPr>
              <w:pStyle w:val="null5"/>
              <w:jc w:val="left"/>
            </w:pPr>
            <w:r>
              <w:rPr>
                <w:rFonts w:ascii="仿宋_GB2312" w:hAnsi="仿宋_GB2312" w:cs="仿宋_GB2312" w:eastAsia="仿宋_GB2312"/>
              </w:rPr>
              <w:t>根据投标人针对应急突发事件处置、减少电梯安全隐患等制定合理方案。组织机构科学、工作职责明确、应急预案合理、预警机制全面、科学、非常合理可行得10分；组织机构清楚、工作职责具有、应急预案全面、可行性一般得7分；提供简单组织架构、工作职能混乱、应急预案全面、可行性差得3分；不提供或不符合应急处置实际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数据保密措施</w:t>
            </w:r>
          </w:p>
        </w:tc>
        <w:tc>
          <w:tcPr>
            <w:tcW w:type="dxa" w:w="3115"/>
          </w:tcPr>
          <w:p>
            <w:pPr>
              <w:pStyle w:val="null5"/>
              <w:jc w:val="left"/>
            </w:pPr>
            <w:r>
              <w:rPr>
                <w:rFonts w:ascii="仿宋_GB2312" w:hAnsi="仿宋_GB2312" w:cs="仿宋_GB2312" w:eastAsia="仿宋_GB2312"/>
              </w:rPr>
              <w:t>根据供应商对电梯视频等数据的保密措施、保密管理制度等进行评审:提供的数据保密措施方案全面、详细、合理，完全满足采购需求，得10分；提供的方案内容基本完整，基本满足采购需求，得7分；提供的方案内容可行性差、不完善、不合理得3分；不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质量控制措施</w:t>
            </w:r>
          </w:p>
        </w:tc>
        <w:tc>
          <w:tcPr>
            <w:tcW w:type="dxa" w:w="3115"/>
          </w:tcPr>
          <w:p>
            <w:pPr>
              <w:pStyle w:val="null5"/>
              <w:jc w:val="left"/>
            </w:pPr>
            <w:r>
              <w:rPr>
                <w:rFonts w:ascii="仿宋_GB2312" w:hAnsi="仿宋_GB2312" w:cs="仿宋_GB2312" w:eastAsia="仿宋_GB2312"/>
              </w:rPr>
              <w:t>根据供应商提供的设备质量控制方案是否考虑全面、合理、针对性、可执行性等方案进行评审。提供的方案全面、详细、合理，提供设备质量完全满足采购需求，得10分；提供的方案内容基本完整，基本满足采购需求，提供设备质量基本服务采购需求，得6分;(3)提供的方案不完善、不合理，对设备质量把控措施不符合本项目实际，得3分；不提供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投标人需提供近三年类似服务项目业绩(提供合同和中标通知书复印件)，每提供一项，得5分，不提供不得分，最高得15分。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