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杭锦旗城市综合服务平台项目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杭锦旗大数据中心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鄂尔多斯市公共资源交易中心杭锦旗分中心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鄂尔多斯市公共资源交易中心杭锦旗分中心</w:t>
      </w:r>
      <w:r>
        <w:rPr>
          <w:rFonts w:ascii="仿宋_GB2312" w:hAnsi="仿宋_GB2312" w:cs="仿宋_GB2312" w:eastAsia="仿宋_GB2312"/>
        </w:rPr>
        <w:t xml:space="preserve"> 受 </w:t>
      </w:r>
      <w:r>
        <w:rPr>
          <w:rFonts w:ascii="仿宋_GB2312" w:hAnsi="仿宋_GB2312" w:cs="仿宋_GB2312" w:eastAsia="仿宋_GB2312"/>
        </w:rPr>
        <w:t>杭锦旗大数据中心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杭锦旗城市综合服务平台项目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杭锦旗城市综合服务平台项目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杭锦旗城市综合服务平台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鄂尔多斯市公共资源交易中心杭锦旗分中心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锡尼镇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敖日格乐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0477-6860805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杭锦旗大数据中心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李宝升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0477-6910118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杭锦旗大数据中心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鄂尔多斯市公共资源交易中心杭锦旗分中心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为提升政务工作效率、方便群众办事、加强城市管理和提升地方旅游品牌建设，本项目围绕政务工作、民生服务、城市管理、旅游文化建设，打造一体化多功能微信小程序。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自合同签订后60日历天交付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鄂尔多斯市杭锦旗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1、合同签订后，中标供应商提供相应金额发票，采购人按照财务审核程序完成审批后支付合同金额的60%，达到付款条件起5日，支付合同总金额的60.00%</w:t>
            </w:r>
          </w:p>
          <w:p>
            <w:pPr>
              <w:pStyle w:val="null5"/>
              <w:jc w:val="left"/>
            </w:pPr>
            <w:r>
              <w:rPr>
                <w:rFonts w:ascii="仿宋_GB2312" w:hAnsi="仿宋_GB2312" w:cs="仿宋_GB2312" w:eastAsia="仿宋_GB2312"/>
              </w:rPr>
              <w:t>2、验收合格后，中标供应商提供相应金额发票，采购人按照财务审核程序完成审批后支付合同金额的30%，达到付款条件起5日，支付合同总金额的30.00%</w:t>
            </w:r>
          </w:p>
          <w:p>
            <w:pPr>
              <w:pStyle w:val="null5"/>
              <w:jc w:val="left"/>
            </w:pPr>
            <w:r>
              <w:rPr>
                <w:rFonts w:ascii="仿宋_GB2312" w:hAnsi="仿宋_GB2312" w:cs="仿宋_GB2312" w:eastAsia="仿宋_GB2312"/>
              </w:rPr>
              <w:t>3、服务期满并解决试运行发现问题后，中标供应商提供相应金额发票，采购人按照财务审核程序完成审批后支付合同金额的10%，达到付款条件起5日，支付合同总金额的10.00%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是否邀请投标人验收</w:t>
            </w:r>
          </w:p>
        </w:tc>
        <w:tc>
          <w:tcPr>
            <w:tcW w:type="dxa" w:w="2076"/>
          </w:tcPr>
          <w:p>
            <w:pPr>
              <w:pStyle w:val="null5"/>
              <w:jc w:val="left"/>
            </w:pPr>
            <w:r>
              <w:rPr>
                <w:rFonts w:ascii="仿宋_GB2312" w:hAnsi="仿宋_GB2312" w:cs="仿宋_GB2312" w:eastAsia="仿宋_GB2312"/>
              </w:rPr>
              <w:t>不邀请投标人验收</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标的名称：杭锦旗城市综合服务平台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2"/>
              <w:jc w:val="both"/>
            </w:pPr>
            <w:r>
              <w:rPr>
                <w:rFonts w:ascii="仿宋_GB2312" w:hAnsi="仿宋_GB2312" w:cs="仿宋_GB2312" w:eastAsia="仿宋_GB2312"/>
                <w:sz w:val="24"/>
                <w:b/>
              </w:rPr>
              <w:t>基础架构</w:t>
            </w:r>
          </w:p>
          <w:p>
            <w:pPr>
              <w:pStyle w:val="null5"/>
              <w:ind w:firstLine="480"/>
              <w:jc w:val="both"/>
            </w:pPr>
            <w:r>
              <w:rPr>
                <w:rFonts w:ascii="仿宋_GB2312" w:hAnsi="仿宋_GB2312" w:cs="仿宋_GB2312" w:eastAsia="仿宋_GB2312"/>
                <w:sz w:val="24"/>
              </w:rPr>
              <w:t>1.权限体系</w:t>
            </w:r>
          </w:p>
          <w:p>
            <w:pPr>
              <w:pStyle w:val="null5"/>
              <w:ind w:firstLine="480"/>
              <w:jc w:val="both"/>
            </w:pPr>
            <w:r>
              <w:rPr>
                <w:rFonts w:ascii="仿宋_GB2312" w:hAnsi="仿宋_GB2312" w:cs="仿宋_GB2312" w:eastAsia="仿宋_GB2312"/>
                <w:sz w:val="24"/>
              </w:rPr>
              <w:t>构建完善的权限体系，以满足复杂业务环境下的权限管理需求，提升系统安全性、灵活性以及操作便捷性。此权限体系要涵盖多方面的功能。对于管理后台，需支持菜单配置维护，确保后台功能的有序管理。针对不同部门的操作人员，能够进行细致的权限设置，保障各部门人员在系统中只能访问和操作其职责范围内的功能。整体要体现低代码能力，通过可视化界面，让非技术人员也能轻松进行权限配置和调整，并且支持快速部署调整，及时响应业务变化，提高整个系统的管理效率和适应性。</w:t>
            </w:r>
          </w:p>
          <w:p>
            <w:pPr>
              <w:pStyle w:val="null5"/>
              <w:ind w:firstLine="480"/>
              <w:jc w:val="both"/>
            </w:pPr>
            <w:r>
              <w:rPr>
                <w:rFonts w:ascii="仿宋_GB2312" w:hAnsi="仿宋_GB2312" w:cs="仿宋_GB2312" w:eastAsia="仿宋_GB2312"/>
                <w:sz w:val="24"/>
              </w:rPr>
              <w:t>2.账户体系</w:t>
            </w:r>
          </w:p>
          <w:p>
            <w:pPr>
              <w:pStyle w:val="null5"/>
              <w:jc w:val="both"/>
            </w:pPr>
            <w:r>
              <w:rPr>
                <w:rFonts w:ascii="仿宋_GB2312" w:hAnsi="仿宋_GB2312" w:cs="仿宋_GB2312" w:eastAsia="仿宋_GB2312"/>
                <w:sz w:val="24"/>
              </w:rPr>
              <w:t>构建全面账户体系，实现用户维护，灵活地配置用户组、角色以及执行部门</w:t>
            </w:r>
            <w:r>
              <w:rPr>
                <w:rFonts w:ascii="仿宋_GB2312" w:hAnsi="仿宋_GB2312" w:cs="仿宋_GB2312" w:eastAsia="仿宋_GB2312"/>
                <w:sz w:val="24"/>
              </w:rPr>
              <w:t>/部门信息，确保用户权限和归属的精准设定。提升用户权限管理的精准性和资源整合的高效性。此外，该账户体系还需满足同城、邻里微信商户的开通需求，并支持其收款功能，为商户提供便捷的交易环境。</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firstLine="482"/>
              <w:jc w:val="both"/>
            </w:pPr>
            <w:r>
              <w:rPr>
                <w:rFonts w:ascii="仿宋_GB2312" w:hAnsi="仿宋_GB2312" w:cs="仿宋_GB2312" w:eastAsia="仿宋_GB2312"/>
                <w:sz w:val="24"/>
                <w:b/>
              </w:rPr>
              <w:t>政府服务板块</w:t>
            </w:r>
          </w:p>
          <w:p>
            <w:pPr>
              <w:pStyle w:val="null5"/>
              <w:ind w:firstLine="480"/>
              <w:jc w:val="both"/>
            </w:pPr>
            <w:r>
              <w:rPr>
                <w:rFonts w:ascii="仿宋_GB2312" w:hAnsi="仿宋_GB2312" w:cs="仿宋_GB2312" w:eastAsia="仿宋_GB2312"/>
                <w:sz w:val="24"/>
              </w:rPr>
              <w:t>1.政务名片</w:t>
            </w:r>
          </w:p>
          <w:p>
            <w:pPr>
              <w:pStyle w:val="null5"/>
              <w:ind w:firstLine="480"/>
              <w:jc w:val="both"/>
            </w:pPr>
            <w:r>
              <w:rPr>
                <w:rFonts w:ascii="仿宋_GB2312" w:hAnsi="仿宋_GB2312" w:cs="仿宋_GB2312" w:eastAsia="仿宋_GB2312"/>
                <w:sz w:val="24"/>
              </w:rPr>
              <w:t>政务名片系统应具备管理员可编辑更新政府单位基本信息，有必填项及格式验证；支持文件上传批量导入信息以减少手动录入工作量，对导入数据进行验证处理确保完整一致；提供标准导入模板供用户下载并按格式准备数据。此外，还应具备良好的搜索和导航功能，能够指引用户快速找到想要的数据。</w:t>
            </w:r>
          </w:p>
          <w:p>
            <w:pPr>
              <w:pStyle w:val="null5"/>
              <w:ind w:firstLine="480"/>
              <w:jc w:val="both"/>
            </w:pPr>
            <w:r>
              <w:rPr>
                <w:rFonts w:ascii="仿宋_GB2312" w:hAnsi="仿宋_GB2312" w:cs="仿宋_GB2312" w:eastAsia="仿宋_GB2312"/>
                <w:sz w:val="24"/>
              </w:rPr>
              <w:t>2.部门专栏</w:t>
            </w:r>
          </w:p>
          <w:p>
            <w:pPr>
              <w:pStyle w:val="null5"/>
              <w:ind w:firstLine="480"/>
              <w:jc w:val="both"/>
            </w:pPr>
            <w:r>
              <w:rPr>
                <w:rFonts w:ascii="仿宋_GB2312" w:hAnsi="仿宋_GB2312" w:cs="仿宋_GB2312" w:eastAsia="仿宋_GB2312"/>
                <w:sz w:val="24"/>
              </w:rPr>
              <w:t>构建部门专栏，基于部门管理为单位配置范文地址，可选择小程序、公众号或链接等类型，并填写相应访问地址信息，实现快速维护、低代码维护、动态即时更新。</w:t>
            </w:r>
          </w:p>
          <w:p>
            <w:pPr>
              <w:pStyle w:val="null5"/>
              <w:ind w:firstLine="480"/>
              <w:jc w:val="both"/>
            </w:pPr>
            <w:r>
              <w:rPr>
                <w:rFonts w:ascii="仿宋_GB2312" w:hAnsi="仿宋_GB2312" w:cs="仿宋_GB2312" w:eastAsia="仿宋_GB2312"/>
                <w:sz w:val="24"/>
              </w:rPr>
              <w:t>3.走进杭锦</w:t>
            </w:r>
          </w:p>
          <w:p>
            <w:pPr>
              <w:pStyle w:val="null5"/>
              <w:ind w:firstLine="480"/>
              <w:jc w:val="both"/>
            </w:pPr>
            <w:r>
              <w:rPr>
                <w:rFonts w:ascii="仿宋_GB2312" w:hAnsi="仿宋_GB2312" w:cs="仿宋_GB2312" w:eastAsia="仿宋_GB2312"/>
                <w:sz w:val="24"/>
              </w:rPr>
              <w:t>“走进杭锦”板块，具备以下功能：可自定义添加、编辑、删除如历史文化等多种内容分类；能上传、编辑、删除图片、视频内容并设置相关信息且关联分类；可发布、编辑、删除资讯文章并设置相关信息且关联分类；能控制页面板块内容是否展示。</w:t>
            </w:r>
          </w:p>
          <w:p>
            <w:pPr>
              <w:pStyle w:val="null5"/>
              <w:ind w:firstLine="480"/>
              <w:jc w:val="both"/>
            </w:pPr>
            <w:r>
              <w:rPr>
                <w:rFonts w:ascii="仿宋_GB2312" w:hAnsi="仿宋_GB2312" w:cs="仿宋_GB2312" w:eastAsia="仿宋_GB2312"/>
                <w:sz w:val="24"/>
              </w:rPr>
              <w:t>4.投资杭锦</w:t>
            </w:r>
          </w:p>
          <w:p>
            <w:pPr>
              <w:pStyle w:val="null5"/>
              <w:ind w:firstLine="480"/>
              <w:jc w:val="both"/>
            </w:pPr>
            <w:r>
              <w:rPr>
                <w:rFonts w:ascii="仿宋_GB2312" w:hAnsi="仿宋_GB2312" w:cs="仿宋_GB2312" w:eastAsia="仿宋_GB2312"/>
                <w:sz w:val="24"/>
              </w:rPr>
              <w:t>此板块在内容分类方面，能够实现自定义管理，可按需添加、编辑和删除如商业投资、人才投资、企业投资等各类别。对于多媒体内容和资讯文章，要支持上传、编辑和删除操作，同时可设置相关的标题、描述、内容、发布时间等信息，并将其准确关联到相应分类。最后，还应具备控制页面是否展示板块内容的功能，以便根据实际需求灵活调整展示效果，为用户提供更好的投资信息浏览体验。</w:t>
            </w:r>
          </w:p>
          <w:p>
            <w:pPr>
              <w:pStyle w:val="null5"/>
              <w:ind w:firstLine="480"/>
              <w:jc w:val="both"/>
            </w:pPr>
            <w:r>
              <w:rPr>
                <w:rFonts w:ascii="仿宋_GB2312" w:hAnsi="仿宋_GB2312" w:cs="仿宋_GB2312" w:eastAsia="仿宋_GB2312"/>
                <w:sz w:val="24"/>
              </w:rPr>
              <w:t>5.考察安排</w:t>
            </w:r>
          </w:p>
          <w:p>
            <w:pPr>
              <w:pStyle w:val="null5"/>
              <w:ind w:firstLine="480"/>
              <w:jc w:val="both"/>
            </w:pPr>
            <w:r>
              <w:rPr>
                <w:rFonts w:ascii="仿宋_GB2312" w:hAnsi="仿宋_GB2312" w:cs="仿宋_GB2312" w:eastAsia="仿宋_GB2312"/>
                <w:sz w:val="24"/>
              </w:rPr>
              <w:t>考察活动安排行程。明确各环节流程与时间，从出发至返程精确到小时。涵盖参与人员名单（姓名、职务等）及特殊需求。合理呈现餐住安排。考察点需展示介绍其地址、业务、与考察主题关联度相关内容，同时需记录考察瞬间。</w:t>
            </w:r>
          </w:p>
          <w:p>
            <w:pPr>
              <w:pStyle w:val="null5"/>
              <w:ind w:firstLine="480"/>
              <w:jc w:val="both"/>
            </w:pPr>
            <w:r>
              <w:rPr>
                <w:rFonts w:ascii="仿宋_GB2312" w:hAnsi="仿宋_GB2312" w:cs="仿宋_GB2312" w:eastAsia="仿宋_GB2312"/>
                <w:sz w:val="24"/>
              </w:rPr>
              <w:t>6.通知公告</w:t>
            </w:r>
          </w:p>
          <w:p>
            <w:pPr>
              <w:pStyle w:val="null5"/>
              <w:ind w:firstLine="480"/>
              <w:jc w:val="both"/>
            </w:pPr>
            <w:r>
              <w:rPr>
                <w:rFonts w:ascii="仿宋_GB2312" w:hAnsi="仿宋_GB2312" w:cs="仿宋_GB2312" w:eastAsia="仿宋_GB2312"/>
                <w:sz w:val="24"/>
              </w:rPr>
              <w:t>对已发布公告进行上架和下架操作，支持按标题、发布时间、接收对象等条件查询，统计阅读量和转发量，可图文或纯文字编辑公告并设置相关信息，能选择触达所有用户或指定部门人员。</w:t>
            </w:r>
          </w:p>
          <w:p>
            <w:pPr>
              <w:pStyle w:val="null5"/>
              <w:ind w:firstLine="480"/>
              <w:jc w:val="both"/>
            </w:pPr>
            <w:r>
              <w:rPr>
                <w:rFonts w:ascii="仿宋_GB2312" w:hAnsi="仿宋_GB2312" w:cs="仿宋_GB2312" w:eastAsia="仿宋_GB2312"/>
                <w:sz w:val="24"/>
              </w:rPr>
              <w:t>7.工资查询</w:t>
            </w:r>
          </w:p>
          <w:p>
            <w:pPr>
              <w:pStyle w:val="null5"/>
              <w:ind w:firstLine="480"/>
              <w:jc w:val="both"/>
            </w:pPr>
            <w:r>
              <w:rPr>
                <w:rFonts w:ascii="仿宋_GB2312" w:hAnsi="仿宋_GB2312" w:cs="仿宋_GB2312" w:eastAsia="仿宋_GB2312"/>
                <w:sz w:val="24"/>
              </w:rPr>
              <w:t>该系统需具备灵活的工资项目维护功能，涵盖诸如岗位津贴、职级津贴等不同类型的工资项目。系统要能为后续工资导入模板的生成提供支持。对于导入过程中出现的错误数据，系统应具备相应的修改管理功能。鉴于工资信息的敏感性，系统需要设置个人身份真实性验证入口，保障信息安全。</w:t>
            </w:r>
          </w:p>
          <w:p>
            <w:pPr>
              <w:pStyle w:val="null5"/>
              <w:ind w:firstLine="480"/>
              <w:jc w:val="both"/>
            </w:pPr>
            <w:r>
              <w:rPr>
                <w:rFonts w:ascii="仿宋_GB2312" w:hAnsi="仿宋_GB2312" w:cs="仿宋_GB2312" w:eastAsia="仿宋_GB2312"/>
                <w:sz w:val="24"/>
              </w:rPr>
              <w:t>8.补贴查询</w:t>
            </w:r>
          </w:p>
          <w:p>
            <w:pPr>
              <w:pStyle w:val="null5"/>
              <w:jc w:val="both"/>
            </w:pPr>
            <w:r>
              <w:rPr>
                <w:rFonts w:ascii="仿宋_GB2312" w:hAnsi="仿宋_GB2312" w:cs="仿宋_GB2312" w:eastAsia="仿宋_GB2312"/>
                <w:sz w:val="24"/>
              </w:rPr>
              <w:t>系统要能维护各类补贴项目，包括工龄补贴、高温补贴等不同类型，在维护不同类型补贴时，可自主选择各类型补贴的组成项目系统应助力后续补贴导入模板的生成。需要设置个人身份真实性验证入口以保障信息安全。</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ind w:firstLine="482"/>
              <w:jc w:val="both"/>
            </w:pPr>
            <w:r>
              <w:rPr>
                <w:rFonts w:ascii="仿宋_GB2312" w:hAnsi="仿宋_GB2312" w:cs="仿宋_GB2312" w:eastAsia="仿宋_GB2312"/>
                <w:sz w:val="24"/>
                <w:b/>
              </w:rPr>
              <w:t>民生服务板块</w:t>
            </w:r>
          </w:p>
          <w:p>
            <w:pPr>
              <w:pStyle w:val="null5"/>
              <w:ind w:firstLine="480"/>
              <w:jc w:val="both"/>
            </w:pPr>
            <w:r>
              <w:rPr>
                <w:rFonts w:ascii="仿宋_GB2312" w:hAnsi="仿宋_GB2312" w:cs="仿宋_GB2312" w:eastAsia="仿宋_GB2312"/>
                <w:sz w:val="24"/>
              </w:rPr>
              <w:t>1.志愿服务</w:t>
            </w:r>
          </w:p>
          <w:p>
            <w:pPr>
              <w:pStyle w:val="null5"/>
              <w:ind w:firstLine="480"/>
              <w:jc w:val="both"/>
            </w:pPr>
            <w:r>
              <w:rPr>
                <w:rFonts w:ascii="仿宋_GB2312" w:hAnsi="仿宋_GB2312" w:cs="仿宋_GB2312" w:eastAsia="仿宋_GB2312"/>
                <w:sz w:val="24"/>
              </w:rPr>
              <w:t>构建一套全面且高效的志愿服务管理系统，以满足志愿服务相关业务的多样化需求，提升志愿服务活动的组织、管理与宣传水平。</w:t>
            </w:r>
          </w:p>
          <w:p>
            <w:pPr>
              <w:pStyle w:val="null5"/>
              <w:ind w:firstLine="480"/>
              <w:jc w:val="both"/>
            </w:pPr>
            <w:r>
              <w:rPr>
                <w:rFonts w:ascii="仿宋_GB2312" w:hAnsi="仿宋_GB2312" w:cs="仿宋_GB2312" w:eastAsia="仿宋_GB2312"/>
                <w:sz w:val="24"/>
              </w:rPr>
              <w:t>2."积分商城/礼品商城"</w:t>
            </w:r>
          </w:p>
          <w:p>
            <w:pPr>
              <w:pStyle w:val="null5"/>
              <w:ind w:firstLine="480"/>
              <w:jc w:val="both"/>
            </w:pPr>
            <w:r>
              <w:rPr>
                <w:rFonts w:ascii="仿宋_GB2312" w:hAnsi="仿宋_GB2312" w:cs="仿宋_GB2312" w:eastAsia="仿宋_GB2312"/>
                <w:sz w:val="24"/>
              </w:rPr>
              <w:t>构建一个功能丰富的礼品商城系统，以满足礼品兑换业务的多样化需求，提升志愿者参与度及良好的礼品兑换流程的管理、商品展示与兑换记录水平。</w:t>
            </w:r>
          </w:p>
          <w:p>
            <w:pPr>
              <w:pStyle w:val="null5"/>
              <w:ind w:firstLine="480"/>
              <w:jc w:val="both"/>
            </w:pPr>
            <w:r>
              <w:rPr>
                <w:rFonts w:ascii="仿宋_GB2312" w:hAnsi="仿宋_GB2312" w:cs="仿宋_GB2312" w:eastAsia="仿宋_GB2312"/>
                <w:sz w:val="24"/>
              </w:rPr>
              <w:t>3.便民电话本</w:t>
            </w:r>
          </w:p>
          <w:p>
            <w:pPr>
              <w:pStyle w:val="null5"/>
              <w:ind w:firstLine="480"/>
              <w:jc w:val="both"/>
            </w:pPr>
            <w:r>
              <w:rPr>
                <w:rFonts w:ascii="仿宋_GB2312" w:hAnsi="仿宋_GB2312" w:cs="仿宋_GB2312" w:eastAsia="仿宋_GB2312"/>
                <w:sz w:val="24"/>
              </w:rPr>
              <w:t>满足民众对各类服务电话便捷查询与管理的需求，提升公共服务信息的整合、分类与维护水平。在电话分类方面，要覆盖全面。通过合理的分类，方便用户快速定位所需电话，让用户能够轻松识别和使用，为民众的日常生活提供极大便利。</w:t>
            </w:r>
          </w:p>
          <w:p>
            <w:pPr>
              <w:pStyle w:val="null5"/>
              <w:ind w:firstLine="480"/>
              <w:jc w:val="both"/>
            </w:pPr>
            <w:r>
              <w:rPr>
                <w:rFonts w:ascii="仿宋_GB2312" w:hAnsi="仿宋_GB2312" w:cs="仿宋_GB2312" w:eastAsia="仿宋_GB2312"/>
                <w:sz w:val="24"/>
              </w:rPr>
              <w:t>4.信息发布</w:t>
            </w:r>
          </w:p>
          <w:p>
            <w:pPr>
              <w:pStyle w:val="null5"/>
              <w:ind w:firstLine="480"/>
              <w:jc w:val="both"/>
            </w:pPr>
            <w:r>
              <w:rPr>
                <w:rFonts w:ascii="仿宋_GB2312" w:hAnsi="仿宋_GB2312" w:cs="仿宋_GB2312" w:eastAsia="仿宋_GB2312"/>
                <w:sz w:val="24"/>
              </w:rPr>
              <w:t>满足用户多样化的信息发布与管理需求，提升信息发布质量、用户交互体验以及特殊情况处理的水平。对于用户发布的信息，平台要具备完善的审核机制，同时方便管理员查看和导出信息，以此确保信息的真实性、合法性和有效性。不仅要做好发布审核工作，严格管控信息质量，还要具备处理纠纷的能力，保障相关业务的顺利开展。</w:t>
            </w:r>
          </w:p>
          <w:p>
            <w:pPr>
              <w:pStyle w:val="null5"/>
              <w:ind w:firstLine="480"/>
              <w:jc w:val="both"/>
            </w:pPr>
            <w:r>
              <w:rPr>
                <w:rFonts w:ascii="仿宋_GB2312" w:hAnsi="仿宋_GB2312" w:cs="仿宋_GB2312" w:eastAsia="仿宋_GB2312"/>
                <w:sz w:val="24"/>
              </w:rPr>
              <w:t>5.邻里任务</w:t>
            </w:r>
          </w:p>
          <w:p>
            <w:pPr>
              <w:pStyle w:val="null5"/>
              <w:ind w:firstLine="480"/>
              <w:jc w:val="both"/>
            </w:pPr>
            <w:r>
              <w:rPr>
                <w:rFonts w:ascii="仿宋_GB2312" w:hAnsi="仿宋_GB2312" w:cs="仿宋_GB2312" w:eastAsia="仿宋_GB2312"/>
                <w:sz w:val="24"/>
              </w:rPr>
              <w:t>构建一个综合性的邻里任务平台，以满足社区居民在资源共享、互助帮扶、技能传授以及问题解决等多方面的需求，提升社区邻里间的互动性、互助性以及平台任务管理与激励水平。可以闲置共享、特殊人群帮扶、技能分享、悬赏互助等多种形式开展，平台要建立完善的评级规则，包括关爱特殊人群计划可获得的积分、发布课程所获积分以及达人标签设定等，同时生成排行，通过激励的方式使得居民积极参与平台活动，营造良好的社区邻里氛围。</w:t>
            </w:r>
          </w:p>
          <w:p>
            <w:pPr>
              <w:pStyle w:val="null5"/>
              <w:ind w:firstLine="480"/>
              <w:jc w:val="both"/>
            </w:pPr>
            <w:r>
              <w:rPr>
                <w:rFonts w:ascii="仿宋_GB2312" w:hAnsi="仿宋_GB2312" w:cs="仿宋_GB2312" w:eastAsia="仿宋_GB2312"/>
                <w:sz w:val="24"/>
              </w:rPr>
              <w:t>6.广告推广</w:t>
            </w:r>
          </w:p>
          <w:p>
            <w:pPr>
              <w:pStyle w:val="null5"/>
              <w:jc w:val="both"/>
            </w:pPr>
            <w:r>
              <w:rPr>
                <w:rFonts w:ascii="仿宋_GB2312" w:hAnsi="仿宋_GB2312" w:cs="仿宋_GB2312" w:eastAsia="仿宋_GB2312"/>
                <w:sz w:val="24"/>
              </w:rPr>
              <w:t>广告活动全方位管理的需求，提升精准营销水平和品牌知名度。有效提升品牌在市场中的曝光度，使广告投放效益最大化，不限于：商家、机构、信息发布、邻里任务。</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ind w:firstLine="482"/>
              <w:jc w:val="both"/>
            </w:pPr>
            <w:r>
              <w:rPr>
                <w:rFonts w:ascii="仿宋_GB2312" w:hAnsi="仿宋_GB2312" w:cs="仿宋_GB2312" w:eastAsia="仿宋_GB2312"/>
                <w:sz w:val="24"/>
                <w:b/>
              </w:rPr>
              <w:t>城市管理板块</w:t>
            </w:r>
          </w:p>
          <w:p>
            <w:pPr>
              <w:pStyle w:val="null5"/>
              <w:ind w:firstLine="480"/>
              <w:jc w:val="both"/>
            </w:pPr>
            <w:r>
              <w:rPr>
                <w:rFonts w:ascii="仿宋_GB2312" w:hAnsi="仿宋_GB2312" w:cs="仿宋_GB2312" w:eastAsia="仿宋_GB2312"/>
                <w:sz w:val="24"/>
              </w:rPr>
              <w:t>1.智能客服</w:t>
            </w:r>
          </w:p>
          <w:p>
            <w:pPr>
              <w:pStyle w:val="null5"/>
              <w:ind w:firstLine="480"/>
              <w:jc w:val="both"/>
            </w:pPr>
            <w:r>
              <w:rPr>
                <w:rFonts w:ascii="仿宋_GB2312" w:hAnsi="仿宋_GB2312" w:cs="仿宋_GB2312" w:eastAsia="仿宋_GB2312"/>
                <w:sz w:val="24"/>
              </w:rPr>
              <w:t>构建一个智能客服系统，以满足客服接入渠道配置和页面展示优化的需求，提升用户与客服交互的便捷性和友好性。</w:t>
            </w:r>
          </w:p>
          <w:p>
            <w:pPr>
              <w:pStyle w:val="null5"/>
              <w:ind w:firstLine="480"/>
              <w:jc w:val="both"/>
            </w:pPr>
            <w:r>
              <w:rPr>
                <w:rFonts w:ascii="仿宋_GB2312" w:hAnsi="仿宋_GB2312" w:cs="仿宋_GB2312" w:eastAsia="仿宋_GB2312"/>
                <w:sz w:val="24"/>
              </w:rPr>
              <w:t>2.城市管理</w:t>
            </w:r>
          </w:p>
          <w:p>
            <w:pPr>
              <w:pStyle w:val="null5"/>
              <w:ind w:firstLine="480"/>
              <w:jc w:val="both"/>
            </w:pPr>
            <w:r>
              <w:rPr>
                <w:rFonts w:ascii="仿宋_GB2312" w:hAnsi="仿宋_GB2312" w:cs="仿宋_GB2312" w:eastAsia="仿宋_GB2312"/>
                <w:sz w:val="24"/>
              </w:rPr>
              <w:t>对城市违规违纪行为监管和处理的需求，提升城市管理效率和问题解决的针对性。在违规信息收集方面，系统要支持用户拍摄违规违纪的照片、图片，以此作为问题发现的依据。对于收集到的信息，需实现对应部门的认领机制，同时平台管理员可进行转办和分发工作，并履行督促职责。而且整个处理流程要与小区或区域相关联，确保问题能够准确地定位到相应的管理区域，使城市管理工作更加精准、有序，保障城市的规范运行。</w:t>
            </w:r>
          </w:p>
          <w:p>
            <w:pPr>
              <w:pStyle w:val="null5"/>
              <w:ind w:firstLine="480"/>
              <w:jc w:val="both"/>
            </w:pPr>
            <w:r>
              <w:rPr>
                <w:rFonts w:ascii="仿宋_GB2312" w:hAnsi="仿宋_GB2312" w:cs="仿宋_GB2312" w:eastAsia="仿宋_GB2312"/>
                <w:sz w:val="24"/>
              </w:rPr>
              <w:t>3.征求意见</w:t>
            </w:r>
          </w:p>
          <w:p>
            <w:pPr>
              <w:pStyle w:val="null5"/>
              <w:jc w:val="both"/>
            </w:pPr>
            <w:r>
              <w:rPr>
                <w:rFonts w:ascii="仿宋_GB2312" w:hAnsi="仿宋_GB2312" w:cs="仿宋_GB2312" w:eastAsia="仿宋_GB2312"/>
                <w:sz w:val="24"/>
              </w:rPr>
              <w:t>意见征集需求，提升意见收集过程的科学性、高效性以及互动性。通过投票、问卷等途径，确保意见征求工作有序开展，为决策提供有力的参考依据。并设置抽奖开关和奖品相关内容，以此增加参与者的积极性和参与度。</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ind w:firstLine="482"/>
              <w:jc w:val="both"/>
            </w:pPr>
            <w:r>
              <w:rPr>
                <w:rFonts w:ascii="仿宋_GB2312" w:hAnsi="仿宋_GB2312" w:cs="仿宋_GB2312" w:eastAsia="仿宋_GB2312"/>
                <w:sz w:val="24"/>
                <w:b/>
              </w:rPr>
              <w:t>旅游文化板块</w:t>
            </w:r>
          </w:p>
          <w:p>
            <w:pPr>
              <w:pStyle w:val="null5"/>
              <w:ind w:firstLine="480"/>
              <w:jc w:val="both"/>
            </w:pPr>
            <w:r>
              <w:rPr>
                <w:rFonts w:ascii="仿宋_GB2312" w:hAnsi="仿宋_GB2312" w:cs="仿宋_GB2312" w:eastAsia="仿宋_GB2312"/>
                <w:sz w:val="24"/>
              </w:rPr>
              <w:t>构建</w:t>
            </w:r>
            <w:r>
              <w:rPr>
                <w:rFonts w:ascii="仿宋_GB2312" w:hAnsi="仿宋_GB2312" w:cs="仿宋_GB2312" w:eastAsia="仿宋_GB2312"/>
                <w:sz w:val="24"/>
              </w:rPr>
              <w:t>“云游杭锦”特色平台，满足展示杭锦丰富多样文化旅游资源的需求，提升内容管理的灵活性和展示效果的可控性。</w:t>
            </w:r>
          </w:p>
          <w:p>
            <w:pPr>
              <w:pStyle w:val="null5"/>
              <w:jc w:val="both"/>
            </w:pPr>
            <w:r>
              <w:rPr>
                <w:rFonts w:ascii="仿宋_GB2312" w:hAnsi="仿宋_GB2312" w:cs="仿宋_GB2312" w:eastAsia="仿宋_GB2312"/>
                <w:sz w:val="24"/>
              </w:rPr>
              <w:t>可自定义添加、编辑、删除多种分类，全面涵盖杭锦的特色元素。图片视频等形式，生动、直观地展现杭锦之美。文章资讯方式，为游客提供深度的杭锦解读。</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投标人提供的技术方案可行性进行评分，包括（1）研发理念（2）总体框架（3）系统设计方案（4）平台结构划分（5）平台各模块规划（6）功能清单（7）功能示例（8）数据库设计（9）试运行方案（10）主要技术服务。 每提供一项内容且全面详细、内容具体明确得2分；内容较为完整，较能贴切项目实际需求得1.5分；单项内容较合理、基本满足需求得1分，本项最高得20分，未提供相关方案或相关方案明显不符合本项目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进度计划与保证措施</w:t>
            </w:r>
          </w:p>
        </w:tc>
        <w:tc>
          <w:tcPr>
            <w:tcW w:type="dxa" w:w="3115"/>
          </w:tcPr>
          <w:p>
            <w:pPr>
              <w:pStyle w:val="null5"/>
              <w:jc w:val="left"/>
            </w:pPr>
            <w:r>
              <w:rPr>
                <w:rFonts w:ascii="仿宋_GB2312" w:hAnsi="仿宋_GB2312" w:cs="仿宋_GB2312" w:eastAsia="仿宋_GB2312"/>
              </w:rPr>
              <w:t>根据投标人提供的进度计划与质量保证措施进行评分，包括（1）进度计划表（2）质量保证措施（3）质量保证体系（4）质量管理（5）实施过程质量管理。每提供一项内容且全面详细、内容具体明确得3分；内容较为完整，较能贴切项目实际需求得2分；单项内容较合理、基本满足需求得1分，本项最高得15分，未提供相关方案或提供的相关计划措施明显不符合本项目实际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运维方案</w:t>
            </w:r>
          </w:p>
        </w:tc>
        <w:tc>
          <w:tcPr>
            <w:tcW w:type="dxa" w:w="3115"/>
          </w:tcPr>
          <w:p>
            <w:pPr>
              <w:pStyle w:val="null5"/>
              <w:jc w:val="left"/>
            </w:pPr>
            <w:r>
              <w:rPr>
                <w:rFonts w:ascii="仿宋_GB2312" w:hAnsi="仿宋_GB2312" w:cs="仿宋_GB2312" w:eastAsia="仿宋_GB2312"/>
              </w:rPr>
              <w:t>根据投标人提供的运维方案进行评分，包括（1）平台技术运维（2）运维服务团队设置（3）平台日常维护（4）平台既有模块升级服务（5）运维服务流程。每提供一项内容且全面详细、内容具体明确得2分；内容较为完整，较能贴切项目实际需求得1.5分；单项内容较合理、基本满足需求得1分，本项最高得10分；未提供运维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根据投标人针对本项目的应急预案（应急处置方案、应急处置机构设置、应急资源和应急队伍配备、应急处置流程）进行评分， （1）完整、合理、可行、针对性强，能很好的保障本项目的完成，得10分； （2）较为完整、较为合理、较为可行，能保障本项目的完成，得7分； （3）基本完整、基本合理、基本可行，能保障本项目的完成，得4分； （4）不够完整、不够合理、不够可行，不能保障本项目的完成，得1分； （5）未提供应急预案的不得分。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后端保障方案</w:t>
            </w:r>
          </w:p>
        </w:tc>
        <w:tc>
          <w:tcPr>
            <w:tcW w:type="dxa" w:w="3115"/>
          </w:tcPr>
          <w:p>
            <w:pPr>
              <w:pStyle w:val="null5"/>
              <w:jc w:val="left"/>
            </w:pPr>
            <w:r>
              <w:rPr>
                <w:rFonts w:ascii="仿宋_GB2312" w:hAnsi="仿宋_GB2312" w:cs="仿宋_GB2312" w:eastAsia="仿宋_GB2312"/>
              </w:rPr>
              <w:t>根据投标人提供的后端保障方案进行评分， 包括（1）上线保障方案（2）数据加密方案（3）数据采集（4）安全策略（5）质量保障方案。 每提供一项内容且全面详细、内容具体明确得2分；内容较为完整，较能贴切项目实际需求得1.5分；单项内容较合理、基本满足需求得1分，本项最高得10分，未提供后端保障方案的不得分。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售后方案</w:t>
            </w:r>
          </w:p>
        </w:tc>
        <w:tc>
          <w:tcPr>
            <w:tcW w:type="dxa" w:w="3115"/>
          </w:tcPr>
          <w:p>
            <w:pPr>
              <w:pStyle w:val="null5"/>
              <w:jc w:val="left"/>
            </w:pPr>
            <w:r>
              <w:rPr>
                <w:rFonts w:ascii="仿宋_GB2312" w:hAnsi="仿宋_GB2312" w:cs="仿宋_GB2312" w:eastAsia="仿宋_GB2312"/>
              </w:rPr>
              <w:t>根据投标人提供的售后方案进行评分。方案内容包含售后服务、售后服务机构及售后服务人员配置。（1）方案内容详细、全面、可行性强、核心内容完全满足要求，得5分；（2）方案较详细、较全面、可行性较强，能够满足要求，得3分；（3）方案基本全面、基本可行，基本满足要求，得1分；（4）未提供售后方案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服务保密方案</w:t>
            </w:r>
          </w:p>
        </w:tc>
        <w:tc>
          <w:tcPr>
            <w:tcW w:type="dxa" w:w="3115"/>
          </w:tcPr>
          <w:p>
            <w:pPr>
              <w:pStyle w:val="null5"/>
              <w:jc w:val="left"/>
            </w:pPr>
            <w:r>
              <w:rPr>
                <w:rFonts w:ascii="仿宋_GB2312" w:hAnsi="仿宋_GB2312" w:cs="仿宋_GB2312" w:eastAsia="仿宋_GB2312"/>
              </w:rPr>
              <w:t>根据投标人的服务保密方案进行评分，（1）保密制度完善、保密程序科学合理、保密工作措施能够有效应用的得5分；（2）保密制度完善，程序措施与实际有偏差的得3分；（3）具有保密制度和程序措施，但难以实际运用的得1分；（4）提供的保密制度、程序、措施脱离实际或者不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投标人需提供近三年类似服务项目业绩(提供合同原件扫描件)，每提供一项，得2分，不提供不得分，最高得10分。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拟投入本项目的团队人员中具有计算机相关专业本科及以上学历的，每具备1位得0.2分，最高得1分。响应文件中须提供项目团队成员相关证件扫描件。</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企业实力</w:t>
            </w:r>
          </w:p>
        </w:tc>
        <w:tc>
          <w:tcPr>
            <w:tcW w:type="dxa" w:w="3115"/>
          </w:tcPr>
          <w:p>
            <w:pPr>
              <w:pStyle w:val="null5"/>
              <w:jc w:val="left"/>
            </w:pPr>
            <w:r>
              <w:rPr>
                <w:rFonts w:ascii="仿宋_GB2312" w:hAnsi="仿宋_GB2312" w:cs="仿宋_GB2312" w:eastAsia="仿宋_GB2312"/>
              </w:rPr>
              <w:t>投标人具有与本项目相关计算机软件著作权登记证书的，每具备1项得0.2分，最高得4分。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