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7E7C4">
      <w:pPr>
        <w:keepNext w:val="0"/>
        <w:keepLines w:val="0"/>
        <w:pageBreakBefore w:val="0"/>
        <w:widowControl w:val="0"/>
        <w:kinsoku/>
        <w:wordWrap/>
        <w:overflowPunct/>
        <w:topLinePunct w:val="0"/>
        <w:autoSpaceDE/>
        <w:autoSpaceDN/>
        <w:bidi w:val="0"/>
        <w:adjustRightInd/>
        <w:snapToGrid w:val="0"/>
        <w:spacing w:before="0" w:after="0" w:line="800" w:lineRule="exact"/>
        <w:jc w:val="center"/>
        <w:textAlignment w:val="auto"/>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b/>
          <w:i w:val="0"/>
          <w:color w:val="000000"/>
          <w:kern w:val="0"/>
          <w:sz w:val="40"/>
          <w:szCs w:val="40"/>
          <w:u w:val="none"/>
          <w:lang w:val="en-US" w:eastAsia="zh-CN" w:bidi="ar"/>
        </w:rPr>
        <w:t>内蒙古自治区广播电视传输发射中心杭锦843台发射及天馈系统拆除及恢复重建项目</w:t>
      </w:r>
    </w:p>
    <w:p w14:paraId="0F18CD8E">
      <w:pPr>
        <w:keepNext w:val="0"/>
        <w:keepLines w:val="0"/>
        <w:pageBreakBefore w:val="0"/>
        <w:widowControl w:val="0"/>
        <w:kinsoku/>
        <w:wordWrap/>
        <w:overflowPunct/>
        <w:topLinePunct w:val="0"/>
        <w:autoSpaceDE/>
        <w:autoSpaceDN/>
        <w:bidi w:val="0"/>
        <w:adjustRightInd/>
        <w:snapToGrid w:val="0"/>
        <w:spacing w:before="0" w:after="0" w:line="800" w:lineRule="exact"/>
        <w:jc w:val="center"/>
        <w:textAlignment w:val="auto"/>
        <w:rPr>
          <w:rFonts w:hint="eastAsia" w:ascii="宋体" w:hAnsi="宋体" w:eastAsia="宋体" w:cs="宋体"/>
          <w:b/>
          <w:color w:val="000000"/>
          <w:sz w:val="40"/>
        </w:rPr>
      </w:pPr>
      <w:r>
        <w:rPr>
          <w:rFonts w:hint="eastAsia" w:ascii="宋体" w:hAnsi="宋体" w:eastAsia="宋体" w:cs="宋体"/>
          <w:b/>
          <w:color w:val="000000"/>
          <w:sz w:val="40"/>
          <w:lang w:val="en-US" w:eastAsia="zh-CN"/>
        </w:rPr>
        <w:t>工程量清单编制说明</w:t>
      </w:r>
    </w:p>
    <w:p w14:paraId="6E2C4030">
      <w:pPr>
        <w:pStyle w:val="16"/>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ascii="宋体" w:hAnsi="宋体" w:eastAsia="宋体" w:cs="宋体"/>
          <w:b/>
          <w:sz w:val="28"/>
          <w:szCs w:val="28"/>
        </w:rPr>
      </w:pPr>
      <w:r>
        <w:rPr>
          <w:rFonts w:hint="eastAsia" w:ascii="宋体" w:hAnsi="宋体" w:eastAsia="宋体" w:cs="宋体"/>
          <w:b/>
          <w:sz w:val="28"/>
          <w:szCs w:val="28"/>
          <w:highlight w:val="none"/>
          <w:lang w:val="en-US" w:eastAsia="zh-CN"/>
        </w:rPr>
        <w:t>一、</w:t>
      </w:r>
      <w:r>
        <w:rPr>
          <w:rFonts w:hint="eastAsia" w:ascii="宋体" w:hAnsi="宋体" w:eastAsia="宋体" w:cs="宋体"/>
          <w:b/>
          <w:sz w:val="28"/>
          <w:szCs w:val="28"/>
        </w:rPr>
        <w:t>工程概况</w:t>
      </w:r>
    </w:p>
    <w:p w14:paraId="4F5B38EE">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highlight w:val="none"/>
        </w:rPr>
        <w:t>工程名称：</w:t>
      </w:r>
      <w:r>
        <w:rPr>
          <w:rFonts w:hint="eastAsia" w:ascii="宋体" w:hAnsi="宋体" w:eastAsia="宋体" w:cs="宋体"/>
          <w:sz w:val="28"/>
          <w:szCs w:val="28"/>
          <w:lang w:val="en-US" w:eastAsia="zh-CN"/>
        </w:rPr>
        <w:t>内蒙古自治区广播电视传输发射中心杭锦843台发射及天馈系统拆除及恢复重建项目</w:t>
      </w:r>
    </w:p>
    <w:p w14:paraId="6706A1E9">
      <w:pPr>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highlight w:val="none"/>
          <w:lang w:val="en-US" w:eastAsia="zh-CN"/>
        </w:rPr>
        <w:t>工程地点：</w:t>
      </w:r>
      <w:r>
        <w:rPr>
          <w:rFonts w:hint="eastAsia" w:ascii="宋体" w:hAnsi="宋体" w:eastAsia="宋体" w:cs="宋体"/>
          <w:sz w:val="28"/>
          <w:szCs w:val="28"/>
          <w:lang w:val="en-US" w:eastAsia="zh-CN"/>
        </w:rPr>
        <w:t>杭锦旗锡尼镇</w:t>
      </w:r>
    </w:p>
    <w:p w14:paraId="48A2BAB3">
      <w:pPr>
        <w:pStyle w:val="16"/>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ind w:firstLine="0" w:firstLineChars="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编制范围</w:t>
      </w:r>
    </w:p>
    <w:p w14:paraId="50D6BC76">
      <w:pPr>
        <w:pStyle w:val="16"/>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rPr>
          <w:rFonts w:hint="default" w:ascii="宋体" w:hAnsi="宋体" w:eastAsia="宋体" w:cs="宋体"/>
          <w:color w:val="333333"/>
          <w:kern w:val="2"/>
          <w:sz w:val="28"/>
          <w:szCs w:val="28"/>
          <w:highlight w:val="none"/>
          <w:lang w:val="en-US" w:eastAsia="zh-CN" w:bidi="ar-SA"/>
        </w:rPr>
      </w:pPr>
      <w:r>
        <w:rPr>
          <w:rFonts w:hint="eastAsia" w:ascii="宋体" w:hAnsi="宋体" w:eastAsia="宋体" w:cs="宋体"/>
          <w:b/>
          <w:sz w:val="28"/>
          <w:szCs w:val="28"/>
          <w:highlight w:val="none"/>
          <w:lang w:val="en-US" w:eastAsia="zh-CN"/>
        </w:rPr>
        <w:t xml:space="preserve">    </w:t>
      </w:r>
      <w:r>
        <w:rPr>
          <w:rFonts w:hint="eastAsia" w:ascii="宋体" w:hAnsi="宋体" w:eastAsia="宋体" w:cs="宋体"/>
          <w:b/>
          <w:color w:val="0000FF"/>
          <w:sz w:val="28"/>
          <w:szCs w:val="28"/>
          <w:highlight w:val="none"/>
          <w:lang w:val="en-US" w:eastAsia="zh-CN"/>
        </w:rPr>
        <w:t xml:space="preserve"> </w:t>
      </w:r>
      <w:r>
        <w:rPr>
          <w:rFonts w:hint="eastAsia" w:ascii="宋体" w:hAnsi="宋体" w:eastAsia="宋体" w:cs="宋体"/>
          <w:color w:val="333333"/>
          <w:kern w:val="2"/>
          <w:sz w:val="28"/>
          <w:szCs w:val="28"/>
          <w:highlight w:val="none"/>
          <w:lang w:val="en-US" w:eastAsia="zh-CN" w:bidi="ar-SA"/>
        </w:rPr>
        <w:t>甲方提供的工程量及做法。</w:t>
      </w:r>
    </w:p>
    <w:p w14:paraId="1B674A1D">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ascii="宋体" w:hAnsi="宋体" w:eastAsia="宋体" w:cs="宋体"/>
          <w:b/>
          <w:sz w:val="28"/>
          <w:szCs w:val="28"/>
          <w:highlight w:val="none"/>
        </w:rPr>
      </w:pPr>
      <w:r>
        <w:rPr>
          <w:rFonts w:hint="eastAsia" w:ascii="宋体" w:hAnsi="宋体" w:eastAsia="宋体" w:cs="宋体"/>
          <w:b/>
          <w:sz w:val="28"/>
          <w:szCs w:val="28"/>
          <w:highlight w:val="none"/>
          <w:lang w:val="en-US" w:eastAsia="zh-CN"/>
        </w:rPr>
        <w:t>三</w:t>
      </w:r>
      <w:r>
        <w:rPr>
          <w:rFonts w:hint="eastAsia" w:ascii="宋体" w:hAnsi="宋体" w:eastAsia="宋体" w:cs="宋体"/>
          <w:b/>
          <w:sz w:val="28"/>
          <w:szCs w:val="28"/>
          <w:highlight w:val="none"/>
        </w:rPr>
        <w:t>、编制依据</w:t>
      </w:r>
    </w:p>
    <w:p w14:paraId="718557D7">
      <w:pPr>
        <w:pStyle w:val="9"/>
        <w:keepNext w:val="0"/>
        <w:keepLines w:val="0"/>
        <w:widowControl/>
        <w:suppressLineNumbers w:val="0"/>
        <w:spacing w:before="60" w:beforeAutospacing="0" w:after="120" w:afterAutospacing="0" w:line="500" w:lineRule="exact"/>
        <w:ind w:right="0" w:firstLine="560" w:firstLineChars="200"/>
        <w:jc w:val="both"/>
      </w:pPr>
      <w:r>
        <w:rPr>
          <w:rFonts w:hint="eastAsia" w:ascii="宋体" w:hAnsi="宋体" w:eastAsia="宋体" w:cs="宋体"/>
          <w:sz w:val="28"/>
          <w:szCs w:val="28"/>
          <w:highlight w:val="none"/>
          <w:lang w:val="en-US" w:eastAsia="zh-CN"/>
        </w:rPr>
        <w:t>1、清单依据：</w:t>
      </w:r>
      <w:r>
        <w:rPr>
          <w:rFonts w:hint="eastAsia" w:ascii="宋体" w:hAnsi="宋体" w:eastAsia="宋体" w:cs="宋体"/>
          <w:sz w:val="28"/>
          <w:szCs w:val="28"/>
          <w:highlight w:val="none"/>
          <w:lang w:eastAsia="zh-CN"/>
        </w:rPr>
        <w:t>《建设工程工程</w:t>
      </w:r>
      <w:r>
        <w:rPr>
          <w:rFonts w:hint="eastAsia" w:ascii="宋体" w:hAnsi="宋体" w:eastAsia="宋体" w:cs="宋体"/>
          <w:sz w:val="28"/>
          <w:szCs w:val="28"/>
          <w:highlight w:val="none"/>
          <w:lang w:val="en-US" w:eastAsia="zh-CN"/>
        </w:rPr>
        <w:t>量</w:t>
      </w:r>
      <w:r>
        <w:rPr>
          <w:rFonts w:hint="eastAsia" w:ascii="宋体" w:hAnsi="宋体" w:eastAsia="宋体" w:cs="宋体"/>
          <w:sz w:val="28"/>
          <w:szCs w:val="28"/>
          <w:highlight w:val="none"/>
          <w:lang w:eastAsia="zh-CN"/>
        </w:rPr>
        <w:t>清单计价规范》GB50500-2013、《房屋建筑与装饰工程工程量清单计算规范》GB50854-2013、《通用安装工程工程量计算规范》GB50856-2013、</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《市政工程工程量计算规范》GB 50857-2013</w:t>
      </w:r>
      <w:r>
        <w:rPr>
          <w:rFonts w:hint="eastAsia" w:ascii="宋体" w:hAnsi="宋体" w:eastAsia="宋体" w:cs="宋体"/>
          <w:b w:val="0"/>
          <w:bCs w:val="0"/>
          <w:i w:val="0"/>
          <w:iCs w:val="0"/>
          <w:color w:val="333333"/>
          <w:spacing w:val="0"/>
          <w:w w:val="100"/>
          <w:sz w:val="28"/>
          <w:szCs w:val="28"/>
          <w:vertAlign w:val="baseline"/>
        </w:rPr>
        <w:t>及相关的清单</w:t>
      </w:r>
      <w:bookmarkStart w:id="0" w:name="_GoBack"/>
      <w:bookmarkEnd w:id="0"/>
      <w:r>
        <w:rPr>
          <w:rFonts w:hint="eastAsia" w:ascii="宋体" w:hAnsi="宋体" w:eastAsia="宋体" w:cs="宋体"/>
          <w:b w:val="0"/>
          <w:bCs w:val="0"/>
          <w:i w:val="0"/>
          <w:iCs w:val="0"/>
          <w:color w:val="333333"/>
          <w:spacing w:val="0"/>
          <w:w w:val="100"/>
          <w:sz w:val="28"/>
          <w:szCs w:val="28"/>
          <w:vertAlign w:val="baseline"/>
        </w:rPr>
        <w:t>计价编制依据。</w:t>
      </w:r>
    </w:p>
    <w:p w14:paraId="09FBCFC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2、税金执行</w:t>
      </w:r>
      <w:r>
        <w:rPr>
          <w:rFonts w:hint="eastAsia" w:ascii="宋体" w:hAnsi="宋体" w:eastAsia="宋体" w:cs="宋体"/>
          <w:sz w:val="28"/>
          <w:szCs w:val="28"/>
          <w:highlight w:val="none"/>
          <w:lang w:eastAsia="zh-CN"/>
        </w:rPr>
        <w:t>内建标【2019】113号关于调整内蒙古自治区建设工程计价依据增值税税率的通知。</w:t>
      </w:r>
    </w:p>
    <w:p w14:paraId="01B56AE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left"/>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规费中养老保险执行</w:t>
      </w:r>
      <w:r>
        <w:rPr>
          <w:rFonts w:hint="eastAsia" w:ascii="宋体" w:hAnsi="宋体" w:eastAsia="宋体" w:cs="宋体"/>
          <w:sz w:val="28"/>
          <w:szCs w:val="28"/>
          <w:highlight w:val="none"/>
          <w:lang w:eastAsia="zh-CN"/>
        </w:rPr>
        <w:t>内建标函【2019】468号文件关于调整内蒙古自治区建设工程计价依据规费中养老保险费率的通知。</w:t>
      </w:r>
    </w:p>
    <w:p w14:paraId="5A27909C">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四、其他项目费说明</w:t>
      </w:r>
    </w:p>
    <w:p w14:paraId="1BBB6CE1">
      <w:pPr>
        <w:pStyle w:val="11"/>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hint="default"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1、本次招标项目不设暂列金额；</w:t>
      </w:r>
    </w:p>
    <w:p w14:paraId="6EE2AD0E">
      <w:pPr>
        <w:pStyle w:val="11"/>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hint="eastAsia"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2、本次招标项目不计取材料检验试验费；</w:t>
      </w:r>
    </w:p>
    <w:p w14:paraId="2C5F76A1">
      <w:pPr>
        <w:pStyle w:val="11"/>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hint="default"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3、本次招标项目不计取建筑工人实名制费；</w:t>
      </w:r>
    </w:p>
    <w:p w14:paraId="0C6AA421">
      <w:pPr>
        <w:pStyle w:val="11"/>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hint="default"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4、工程量清单中</w:t>
      </w:r>
      <w:r>
        <w:rPr>
          <w:rFonts w:hint="eastAsia" w:ascii="宋体" w:hAnsi="宋体" w:eastAsia="宋体" w:cs="Times New Roman"/>
          <w:sz w:val="28"/>
          <w:szCs w:val="28"/>
          <w:lang w:val="en-US" w:eastAsia="zh-CN"/>
        </w:rPr>
        <w:t>高频绝缘子综合单价为8000元/只、10kW中波广播发射机140000元/台为暂估价，后期按照双方认可综合单价进行结算。</w:t>
      </w:r>
    </w:p>
    <w:p w14:paraId="4BD435FD">
      <w:pPr>
        <w:pStyle w:val="11"/>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hint="default"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5、</w:t>
      </w:r>
      <w:r>
        <w:rPr>
          <w:rFonts w:hint="eastAsia" w:ascii="宋体" w:hAnsi="宋体" w:eastAsia="宋体" w:cs="宋体"/>
          <w:b w:val="0"/>
          <w:color w:val="333333"/>
          <w:kern w:val="2"/>
          <w:sz w:val="28"/>
          <w:szCs w:val="28"/>
          <w:highlight w:val="none"/>
          <w:lang w:val="en-US" w:eastAsia="zh-CN" w:bidi="ar-SA"/>
        </w:rPr>
        <w:t>本次招标项目安全文明施工费调整执行内建标〔2025〕98 号文件《内</w:t>
      </w:r>
      <w:r>
        <w:rPr>
          <w:rFonts w:hint="eastAsia" w:ascii="宋体" w:hAnsi="宋体" w:eastAsia="宋体" w:cs="宋体"/>
          <w:color w:val="333333"/>
          <w:kern w:val="2"/>
          <w:sz w:val="28"/>
          <w:szCs w:val="28"/>
          <w:highlight w:val="none"/>
          <w:lang w:val="en-US" w:eastAsia="zh-CN" w:bidi="ar-SA"/>
        </w:rPr>
        <w:t>蒙古自治区住房和城乡建设厅关于调整建设工程安全文明施工费的通知》，安全生产费计提费用以建筑安装工程、市政公用工程工程造价为依据计入招标控制价。在投标时不得作为竞争性费用，投标单位根据清单给定的固定价格报价；结算时根据经建设单位、监理单位、监督单位及安全生产管理部门批复的安全生产施工方案结合实际投入情况据实结算。工程竣工决算后结余的企业安全生产费用，应当退回建设单位。</w:t>
      </w:r>
    </w:p>
    <w:p w14:paraId="14A21A7F">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五、投标人须知</w:t>
      </w:r>
    </w:p>
    <w:p w14:paraId="61CC81ED">
      <w:pPr>
        <w:keepNext w:val="0"/>
        <w:keepLines w:val="0"/>
        <w:pageBreakBefore w:val="0"/>
        <w:widowControl w:val="0"/>
        <w:kinsoku/>
        <w:wordWrap/>
        <w:overflowPunct/>
        <w:topLinePunct w:val="0"/>
        <w:autoSpaceDE/>
        <w:autoSpaceDN/>
        <w:bidi w:val="0"/>
        <w:adjustRightInd w:val="0"/>
        <w:snapToGrid w:val="0"/>
        <w:spacing w:before="38" w:line="500" w:lineRule="exact"/>
        <w:ind w:left="568"/>
        <w:textAlignment w:val="auto"/>
        <w:rPr>
          <w:rFonts w:hint="eastAsia" w:ascii="宋体" w:hAnsi="宋体" w:eastAsia="宋体" w:cs="宋体"/>
          <w:color w:val="333333"/>
          <w:spacing w:val="-13"/>
          <w:sz w:val="28"/>
          <w:szCs w:val="28"/>
          <w:highlight w:val="none"/>
        </w:rPr>
      </w:pPr>
      <w:r>
        <w:rPr>
          <w:rFonts w:hint="eastAsia" w:ascii="宋体" w:hAnsi="宋体" w:eastAsia="宋体" w:cs="宋体"/>
          <w:color w:val="333333"/>
          <w:spacing w:val="-13"/>
          <w:sz w:val="28"/>
          <w:szCs w:val="28"/>
          <w:highlight w:val="none"/>
        </w:rPr>
        <w:t>1、本工程</w:t>
      </w:r>
      <w:r>
        <w:rPr>
          <w:rFonts w:hint="eastAsia" w:ascii="宋体" w:hAnsi="宋体" w:eastAsia="宋体" w:cs="宋体"/>
          <w:color w:val="333333"/>
          <w:spacing w:val="-13"/>
          <w:sz w:val="28"/>
          <w:szCs w:val="28"/>
          <w:highlight w:val="none"/>
          <w:lang w:val="en-US" w:eastAsia="zh-CN"/>
        </w:rPr>
        <w:t>土方、</w:t>
      </w:r>
      <w:r>
        <w:rPr>
          <w:rFonts w:hint="eastAsia" w:ascii="宋体" w:hAnsi="宋体" w:eastAsia="宋体" w:cs="宋体"/>
          <w:color w:val="333333"/>
          <w:spacing w:val="-13"/>
          <w:sz w:val="28"/>
          <w:szCs w:val="28"/>
          <w:highlight w:val="none"/>
        </w:rPr>
        <w:t>垃圾外运运距施工单位自行考虑，运输过程满足环保要求；</w:t>
      </w:r>
    </w:p>
    <w:p w14:paraId="78B2F4FF">
      <w:pPr>
        <w:keepNext w:val="0"/>
        <w:keepLines w:val="0"/>
        <w:pageBreakBefore w:val="0"/>
        <w:widowControl w:val="0"/>
        <w:kinsoku/>
        <w:wordWrap/>
        <w:overflowPunct/>
        <w:topLinePunct w:val="0"/>
        <w:autoSpaceDE/>
        <w:autoSpaceDN/>
        <w:bidi w:val="0"/>
        <w:adjustRightInd w:val="0"/>
        <w:snapToGrid w:val="0"/>
        <w:spacing w:before="38" w:line="500" w:lineRule="exact"/>
        <w:ind w:left="568"/>
        <w:textAlignment w:val="auto"/>
        <w:rPr>
          <w:rFonts w:hint="eastAsia" w:ascii="宋体" w:hAnsi="宋体" w:eastAsia="宋体" w:cs="宋体"/>
          <w:color w:val="333333"/>
          <w:spacing w:val="-13"/>
          <w:sz w:val="28"/>
          <w:szCs w:val="28"/>
          <w:highlight w:val="none"/>
        </w:rPr>
      </w:pPr>
      <w:r>
        <w:rPr>
          <w:rFonts w:hint="eastAsia" w:ascii="宋体" w:hAnsi="宋体" w:eastAsia="宋体" w:cs="宋体"/>
          <w:color w:val="333333"/>
          <w:spacing w:val="-13"/>
          <w:sz w:val="28"/>
          <w:szCs w:val="28"/>
          <w:highlight w:val="none"/>
        </w:rPr>
        <w:t>2、其他未尽事宜详见招标文件和清单。</w:t>
      </w:r>
    </w:p>
    <w:p w14:paraId="203C1782">
      <w:pPr>
        <w:keepNext w:val="0"/>
        <w:keepLines w:val="0"/>
        <w:pageBreakBefore w:val="0"/>
        <w:widowControl w:val="0"/>
        <w:kinsoku/>
        <w:wordWrap/>
        <w:overflowPunct/>
        <w:topLinePunct w:val="0"/>
        <w:autoSpaceDE/>
        <w:autoSpaceDN/>
        <w:bidi w:val="0"/>
        <w:adjustRightInd w:val="0"/>
        <w:snapToGrid w:val="0"/>
        <w:spacing w:before="38" w:line="500" w:lineRule="exact"/>
        <w:ind w:left="568"/>
        <w:textAlignment w:val="auto"/>
        <w:rPr>
          <w:rFonts w:ascii="宋体" w:hAnsi="宋体" w:eastAsia="宋体" w:cs="宋体"/>
          <w:color w:val="333333"/>
          <w:spacing w:val="-13"/>
          <w:sz w:val="28"/>
          <w:szCs w:val="28"/>
          <w:highlight w:val="none"/>
        </w:rPr>
      </w:pPr>
      <w:r>
        <w:rPr>
          <w:rFonts w:hint="eastAsia" w:ascii="宋体" w:hAnsi="宋体" w:eastAsia="宋体" w:cs="宋体"/>
          <w:color w:val="333333"/>
          <w:spacing w:val="-13"/>
          <w:sz w:val="28"/>
          <w:szCs w:val="28"/>
          <w:highlight w:val="none"/>
          <w:lang w:val="en-US" w:eastAsia="zh-CN"/>
        </w:rPr>
        <w:t>3</w:t>
      </w:r>
      <w:r>
        <w:rPr>
          <w:rFonts w:ascii="宋体" w:hAnsi="宋体" w:eastAsia="宋体" w:cs="宋体"/>
          <w:color w:val="333333"/>
          <w:spacing w:val="-13"/>
          <w:sz w:val="28"/>
          <w:szCs w:val="28"/>
          <w:highlight w:val="none"/>
        </w:rPr>
        <w:t>、清单中涉及内容需要场</w:t>
      </w:r>
      <w:r>
        <w:rPr>
          <w:rFonts w:hint="eastAsia" w:ascii="宋体" w:hAnsi="宋体" w:eastAsia="宋体" w:cs="宋体"/>
          <w:color w:val="333333"/>
          <w:spacing w:val="-13"/>
          <w:sz w:val="28"/>
          <w:szCs w:val="28"/>
          <w:highlight w:val="none"/>
          <w:lang w:val="en-US" w:eastAsia="zh-CN"/>
        </w:rPr>
        <w:t>内</w:t>
      </w:r>
      <w:r>
        <w:rPr>
          <w:rFonts w:ascii="宋体" w:hAnsi="宋体" w:eastAsia="宋体" w:cs="宋体"/>
          <w:color w:val="333333"/>
          <w:spacing w:val="-13"/>
          <w:sz w:val="28"/>
          <w:szCs w:val="28"/>
          <w:highlight w:val="none"/>
        </w:rPr>
        <w:t>外</w:t>
      </w:r>
      <w:r>
        <w:rPr>
          <w:rFonts w:hint="eastAsia" w:ascii="宋体" w:hAnsi="宋体" w:eastAsia="宋体" w:cs="宋体"/>
          <w:color w:val="333333"/>
          <w:spacing w:val="-13"/>
          <w:sz w:val="28"/>
          <w:szCs w:val="28"/>
          <w:highlight w:val="none"/>
          <w:lang w:val="en-US" w:eastAsia="zh-CN"/>
        </w:rPr>
        <w:t>二次倒运</w:t>
      </w:r>
      <w:r>
        <w:rPr>
          <w:rFonts w:ascii="宋体" w:hAnsi="宋体" w:eastAsia="宋体" w:cs="宋体"/>
          <w:color w:val="333333"/>
          <w:spacing w:val="-13"/>
          <w:sz w:val="28"/>
          <w:szCs w:val="28"/>
          <w:highlight w:val="none"/>
        </w:rPr>
        <w:t>运输的须考虑在综合单价内；</w:t>
      </w:r>
    </w:p>
    <w:p w14:paraId="2FEFC13B">
      <w:pPr>
        <w:keepNext w:val="0"/>
        <w:keepLines w:val="0"/>
        <w:pageBreakBefore w:val="0"/>
        <w:widowControl w:val="0"/>
        <w:kinsoku/>
        <w:wordWrap/>
        <w:overflowPunct/>
        <w:topLinePunct w:val="0"/>
        <w:autoSpaceDE/>
        <w:autoSpaceDN/>
        <w:bidi w:val="0"/>
        <w:adjustRightInd w:val="0"/>
        <w:snapToGrid w:val="0"/>
        <w:spacing w:before="92" w:line="500" w:lineRule="exact"/>
        <w:ind w:left="1" w:right="72" w:firstLine="563"/>
        <w:textAlignment w:val="auto"/>
        <w:rPr>
          <w:rFonts w:ascii="宋体" w:hAnsi="宋体" w:eastAsia="宋体" w:cs="宋体"/>
          <w:color w:val="333333"/>
          <w:spacing w:val="-2"/>
          <w:sz w:val="28"/>
          <w:szCs w:val="28"/>
          <w:highlight w:val="none"/>
        </w:rPr>
      </w:pPr>
      <w:r>
        <w:rPr>
          <w:rFonts w:hint="eastAsia" w:ascii="宋体" w:hAnsi="宋体" w:eastAsia="宋体" w:cs="宋体"/>
          <w:color w:val="333333"/>
          <w:spacing w:val="-2"/>
          <w:sz w:val="28"/>
          <w:szCs w:val="28"/>
          <w:highlight w:val="none"/>
          <w:lang w:val="en-US" w:eastAsia="zh-CN"/>
        </w:rPr>
        <w:t>4</w:t>
      </w:r>
      <w:r>
        <w:rPr>
          <w:rFonts w:ascii="宋体" w:hAnsi="宋体" w:eastAsia="宋体" w:cs="宋体"/>
          <w:color w:val="333333"/>
          <w:spacing w:val="-2"/>
          <w:sz w:val="28"/>
          <w:szCs w:val="28"/>
          <w:highlight w:val="none"/>
        </w:rPr>
        <w:t>、分部分项工程量清单中项目特征及具体做法只做重点描述，组价时应结合技术规范书及现场勘查情况，包含现场所有工序、工作内容的全部费用。</w:t>
      </w:r>
    </w:p>
    <w:p w14:paraId="52A7A636">
      <w:pPr>
        <w:bidi w:val="0"/>
        <w:rPr>
          <w:rFonts w:hint="eastAsia"/>
          <w:lang w:val="en-US" w:eastAsia="zh-CN"/>
        </w:rPr>
      </w:pPr>
    </w:p>
    <w:p w14:paraId="29BAFA14">
      <w:pPr>
        <w:pStyle w:val="11"/>
        <w:ind w:left="0" w:leftChars="0" w:firstLine="0" w:firstLineChars="0"/>
        <w:rPr>
          <w:rFonts w:hint="eastAsia"/>
          <w:lang w:val="en-US" w:eastAsia="zh-CN"/>
        </w:rPr>
      </w:pPr>
    </w:p>
    <w:p w14:paraId="1D81EE9C">
      <w:pPr>
        <w:pStyle w:val="11"/>
        <w:ind w:left="0" w:leftChars="0" w:firstLine="0" w:firstLineChars="0"/>
      </w:pPr>
    </w:p>
    <w:sectPr>
      <w:pgSz w:w="11905" w:h="16838"/>
      <w:pgMar w:top="1361" w:right="1417" w:bottom="1361" w:left="1417" w:header="720" w:footer="720" w:gutter="0"/>
      <w:pgBorders>
        <w:top w:val="none" w:sz="0" w:space="0"/>
        <w:left w:val="none" w:sz="0" w:space="0"/>
        <w:bottom w:val="none" w:sz="0" w:space="0"/>
        <w:right w:val="none" w:sz="0" w:space="0"/>
      </w:pgBorders>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p>
  </w:footnote>
  <w:footnote w:type="continuationSeparator" w:id="1">
    <w:p>
      <w:pPr>
        <w:spacing w:before="0" w:after="0" w:line="312"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325C46"/>
    <w:multiLevelType w:val="singleLevel"/>
    <w:tmpl w:val="56325C4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4MGNiNmYwOThmYzY3ZmMxYWFlNGRiN2FjMDAyYjQifQ=="/>
  </w:docVars>
  <w:rsids>
    <w:rsidRoot w:val="009D6944"/>
    <w:rsid w:val="00212611"/>
    <w:rsid w:val="0037752A"/>
    <w:rsid w:val="004C184F"/>
    <w:rsid w:val="004F7C0E"/>
    <w:rsid w:val="006654FA"/>
    <w:rsid w:val="006B6D1F"/>
    <w:rsid w:val="00786AC4"/>
    <w:rsid w:val="00883E21"/>
    <w:rsid w:val="009742D3"/>
    <w:rsid w:val="009D6944"/>
    <w:rsid w:val="00A53D90"/>
    <w:rsid w:val="00B758C5"/>
    <w:rsid w:val="00D27933"/>
    <w:rsid w:val="00D8793D"/>
    <w:rsid w:val="00E16C68"/>
    <w:rsid w:val="020C5A2F"/>
    <w:rsid w:val="0246401D"/>
    <w:rsid w:val="029F53A6"/>
    <w:rsid w:val="03B54C19"/>
    <w:rsid w:val="03E15982"/>
    <w:rsid w:val="04E84DE3"/>
    <w:rsid w:val="062F45C1"/>
    <w:rsid w:val="06565D7C"/>
    <w:rsid w:val="06A04558"/>
    <w:rsid w:val="075F336A"/>
    <w:rsid w:val="07897A11"/>
    <w:rsid w:val="097D47A3"/>
    <w:rsid w:val="09C80D3F"/>
    <w:rsid w:val="09E57FEA"/>
    <w:rsid w:val="0A0D6695"/>
    <w:rsid w:val="0A844221"/>
    <w:rsid w:val="0AEE5B49"/>
    <w:rsid w:val="0BAE51B2"/>
    <w:rsid w:val="0BB4598F"/>
    <w:rsid w:val="0BD66E27"/>
    <w:rsid w:val="0CBD0903"/>
    <w:rsid w:val="0F283534"/>
    <w:rsid w:val="0F8F699F"/>
    <w:rsid w:val="10CD79C6"/>
    <w:rsid w:val="10FB40F0"/>
    <w:rsid w:val="11C049F1"/>
    <w:rsid w:val="14AE45AC"/>
    <w:rsid w:val="177961E0"/>
    <w:rsid w:val="18CE7054"/>
    <w:rsid w:val="19EE76D0"/>
    <w:rsid w:val="19EF40C6"/>
    <w:rsid w:val="1A0F5460"/>
    <w:rsid w:val="1AAB4490"/>
    <w:rsid w:val="1ACB068F"/>
    <w:rsid w:val="1C9E1917"/>
    <w:rsid w:val="1EB7274A"/>
    <w:rsid w:val="1F352885"/>
    <w:rsid w:val="222803CA"/>
    <w:rsid w:val="22DF57F7"/>
    <w:rsid w:val="22F159E4"/>
    <w:rsid w:val="2355234E"/>
    <w:rsid w:val="244330AF"/>
    <w:rsid w:val="271E0008"/>
    <w:rsid w:val="28264C1F"/>
    <w:rsid w:val="28D53097"/>
    <w:rsid w:val="28FA6A9D"/>
    <w:rsid w:val="29EA5969"/>
    <w:rsid w:val="2A0A1FC2"/>
    <w:rsid w:val="2AD0584D"/>
    <w:rsid w:val="2C570615"/>
    <w:rsid w:val="2D6A1CAA"/>
    <w:rsid w:val="2D811A38"/>
    <w:rsid w:val="2DB444AD"/>
    <w:rsid w:val="2E5868F3"/>
    <w:rsid w:val="2FD73A03"/>
    <w:rsid w:val="3180038B"/>
    <w:rsid w:val="31A135DC"/>
    <w:rsid w:val="31A35A6A"/>
    <w:rsid w:val="332D5F33"/>
    <w:rsid w:val="33851301"/>
    <w:rsid w:val="35112F2A"/>
    <w:rsid w:val="35571045"/>
    <w:rsid w:val="376153D7"/>
    <w:rsid w:val="389C29AE"/>
    <w:rsid w:val="38A65E3F"/>
    <w:rsid w:val="38D54826"/>
    <w:rsid w:val="3A7A7AAB"/>
    <w:rsid w:val="3A811B61"/>
    <w:rsid w:val="3C530170"/>
    <w:rsid w:val="3C9536BD"/>
    <w:rsid w:val="3CFE29A0"/>
    <w:rsid w:val="3DF265CF"/>
    <w:rsid w:val="3F55692A"/>
    <w:rsid w:val="411476C5"/>
    <w:rsid w:val="415F7EC5"/>
    <w:rsid w:val="41B05FC1"/>
    <w:rsid w:val="42E30E0A"/>
    <w:rsid w:val="44454EE4"/>
    <w:rsid w:val="44D8188B"/>
    <w:rsid w:val="4531633F"/>
    <w:rsid w:val="45670113"/>
    <w:rsid w:val="467A410A"/>
    <w:rsid w:val="471B4EC0"/>
    <w:rsid w:val="47B506BF"/>
    <w:rsid w:val="48E4183C"/>
    <w:rsid w:val="48E87D4A"/>
    <w:rsid w:val="4BEA4E78"/>
    <w:rsid w:val="4D553C64"/>
    <w:rsid w:val="4DCF4E66"/>
    <w:rsid w:val="4DEC6E00"/>
    <w:rsid w:val="4E141CCA"/>
    <w:rsid w:val="4E3D4189"/>
    <w:rsid w:val="4E3E57CD"/>
    <w:rsid w:val="50E62426"/>
    <w:rsid w:val="53C83F18"/>
    <w:rsid w:val="54F82C0F"/>
    <w:rsid w:val="55055BB4"/>
    <w:rsid w:val="56155C36"/>
    <w:rsid w:val="568D4E60"/>
    <w:rsid w:val="588A4969"/>
    <w:rsid w:val="58FA2406"/>
    <w:rsid w:val="59FC32D0"/>
    <w:rsid w:val="5A011A11"/>
    <w:rsid w:val="5A773D8D"/>
    <w:rsid w:val="5A982DB8"/>
    <w:rsid w:val="5B3F184B"/>
    <w:rsid w:val="5B517E11"/>
    <w:rsid w:val="5D164899"/>
    <w:rsid w:val="6042508C"/>
    <w:rsid w:val="606240F6"/>
    <w:rsid w:val="60674154"/>
    <w:rsid w:val="6067671A"/>
    <w:rsid w:val="61160B4B"/>
    <w:rsid w:val="61656152"/>
    <w:rsid w:val="63100D1A"/>
    <w:rsid w:val="63FF0976"/>
    <w:rsid w:val="640D0E35"/>
    <w:rsid w:val="65157AF4"/>
    <w:rsid w:val="65E120E1"/>
    <w:rsid w:val="66A55805"/>
    <w:rsid w:val="693D60AB"/>
    <w:rsid w:val="6C450EF0"/>
    <w:rsid w:val="6D6A56EB"/>
    <w:rsid w:val="6E2B13B6"/>
    <w:rsid w:val="6F7D6A5B"/>
    <w:rsid w:val="6F834B31"/>
    <w:rsid w:val="6FF751DF"/>
    <w:rsid w:val="705A5E6C"/>
    <w:rsid w:val="71EE207F"/>
    <w:rsid w:val="739906A4"/>
    <w:rsid w:val="73C14381"/>
    <w:rsid w:val="73EC2A60"/>
    <w:rsid w:val="748E5EBF"/>
    <w:rsid w:val="764011B2"/>
    <w:rsid w:val="7736177B"/>
    <w:rsid w:val="79217561"/>
    <w:rsid w:val="79657CDE"/>
    <w:rsid w:val="7A3E49BE"/>
    <w:rsid w:val="7ACF47A6"/>
    <w:rsid w:val="7AF75AAB"/>
    <w:rsid w:val="7B0F1047"/>
    <w:rsid w:val="7C29117A"/>
    <w:rsid w:val="7C30077B"/>
    <w:rsid w:val="7EDB0CE4"/>
    <w:rsid w:val="7F974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96"/>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before="60" w:after="60" w:line="312" w:lineRule="auto"/>
    </w:pPr>
    <w:rPr>
      <w:rFonts w:asciiTheme="minorHAnsi" w:hAnsiTheme="minorHAnsi" w:eastAsiaTheme="minorEastAsia" w:cstheme="minorBidi"/>
      <w:color w:val="333333"/>
      <w:kern w:val="2"/>
      <w:sz w:val="22"/>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0"/>
    <w:pPr>
      <w:spacing w:after="120"/>
    </w:pPr>
    <w:rPr>
      <w:szCs w:val="24"/>
    </w:rPr>
  </w:style>
  <w:style w:type="paragraph" w:styleId="7">
    <w:name w:val="footer"/>
    <w:basedOn w:val="1"/>
    <w:link w:val="15"/>
    <w:unhideWhenUsed/>
    <w:qFormat/>
    <w:uiPriority w:val="99"/>
    <w:pPr>
      <w:tabs>
        <w:tab w:val="center" w:pos="4153"/>
        <w:tab w:val="right" w:pos="8306"/>
      </w:tabs>
      <w:spacing w:line="240" w:lineRule="auto"/>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9"/>
    <w:pPr>
      <w:keepNext/>
      <w:keepLines/>
      <w:spacing w:before="0" w:after="0" w:line="408" w:lineRule="auto"/>
      <w:jc w:val="center"/>
      <w:outlineLvl w:val="0"/>
    </w:pPr>
    <w:rPr>
      <w:b/>
      <w:bCs/>
      <w:color w:val="1A1A1A"/>
      <w:sz w:val="48"/>
      <w:szCs w:val="48"/>
    </w:rPr>
  </w:style>
  <w:style w:type="paragraph" w:styleId="11">
    <w:name w:val="Body Text First Indent"/>
    <w:basedOn w:val="6"/>
    <w:qFormat/>
    <w:uiPriority w:val="99"/>
    <w:pPr>
      <w:spacing w:line="312" w:lineRule="auto"/>
      <w:ind w:firstLine="420"/>
    </w:pPr>
  </w:style>
  <w:style w:type="character" w:customStyle="1" w:styleId="14">
    <w:name w:val="页眉 字符"/>
    <w:basedOn w:val="13"/>
    <w:link w:val="8"/>
    <w:qFormat/>
    <w:uiPriority w:val="99"/>
    <w:rPr>
      <w:sz w:val="18"/>
      <w:szCs w:val="18"/>
    </w:rPr>
  </w:style>
  <w:style w:type="character" w:customStyle="1" w:styleId="15">
    <w:name w:val="页脚 字符"/>
    <w:basedOn w:val="13"/>
    <w:link w:val="7"/>
    <w:qFormat/>
    <w:uiPriority w:val="99"/>
    <w:rPr>
      <w:sz w:val="18"/>
      <w:szCs w:val="18"/>
    </w:rPr>
  </w:style>
  <w:style w:type="paragraph" w:customStyle="1" w:styleId="16">
    <w:name w:val="列出段落1"/>
    <w:basedOn w:val="1"/>
    <w:qFormat/>
    <w:uiPriority w:val="0"/>
    <w:pPr>
      <w:ind w:firstLine="420" w:firstLineChars="200"/>
    </w:pPr>
    <w:rPr>
      <w:rFonts w:ascii="Calibri" w:hAnsi="Calibri"/>
      <w:szCs w:val="22"/>
    </w:rPr>
  </w:style>
  <w:style w:type="character" w:customStyle="1" w:styleId="17">
    <w:name w:val="font112"/>
    <w:basedOn w:val="13"/>
    <w:qFormat/>
    <w:uiPriority w:val="0"/>
    <w:rPr>
      <w:rFonts w:ascii="仿宋" w:hAnsi="仿宋" w:eastAsia="仿宋" w:cs="仿宋"/>
      <w:color w:val="000000"/>
      <w:sz w:val="28"/>
      <w:szCs w:val="28"/>
      <w:u w:val="none"/>
    </w:rPr>
  </w:style>
  <w:style w:type="character" w:customStyle="1" w:styleId="18">
    <w:name w:val="font41"/>
    <w:basedOn w:val="13"/>
    <w:qFormat/>
    <w:uiPriority w:val="0"/>
    <w:rPr>
      <w:rFonts w:hint="eastAsia" w:ascii="仿宋" w:hAnsi="仿宋" w:eastAsia="仿宋" w:cs="仿宋"/>
      <w:color w:val="333333"/>
      <w:sz w:val="20"/>
      <w:szCs w:val="20"/>
      <w:u w:val="none"/>
    </w:rPr>
  </w:style>
  <w:style w:type="character" w:customStyle="1" w:styleId="19">
    <w:name w:val="font121"/>
    <w:basedOn w:val="13"/>
    <w:qFormat/>
    <w:uiPriority w:val="0"/>
    <w:rPr>
      <w:rFonts w:hint="eastAsia" w:ascii="仿宋" w:hAnsi="仿宋" w:eastAsia="仿宋" w:cs="仿宋"/>
      <w:color w:val="000000"/>
      <w:sz w:val="24"/>
      <w:szCs w:val="24"/>
      <w:u w:val="none"/>
    </w:rPr>
  </w:style>
  <w:style w:type="character" w:customStyle="1" w:styleId="20">
    <w:name w:val="font51"/>
    <w:basedOn w:val="13"/>
    <w:qFormat/>
    <w:uiPriority w:val="0"/>
    <w:rPr>
      <w:rFonts w:ascii="仿宋" w:hAnsi="仿宋" w:eastAsia="仿宋" w:cs="仿宋"/>
      <w:color w:val="000000"/>
      <w:sz w:val="28"/>
      <w:szCs w:val="28"/>
      <w:u w:val="none"/>
    </w:rPr>
  </w:style>
  <w:style w:type="character" w:customStyle="1" w:styleId="21">
    <w:name w:val="font21"/>
    <w:basedOn w:val="13"/>
    <w:qFormat/>
    <w:uiPriority w:val="0"/>
    <w:rPr>
      <w:rFonts w:hint="eastAsia" w:ascii="仿宋" w:hAnsi="仿宋" w:eastAsia="仿宋" w:cs="仿宋"/>
      <w:color w:val="333333"/>
      <w:sz w:val="20"/>
      <w:szCs w:val="20"/>
      <w:u w:val="none"/>
    </w:rPr>
  </w:style>
  <w:style w:type="character" w:customStyle="1" w:styleId="22">
    <w:name w:val="font11"/>
    <w:basedOn w:val="13"/>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8301E-F1B3-4B62-9F1C-1E18ABE2BAB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762</Words>
  <Characters>823</Characters>
  <Lines>15</Lines>
  <Paragraphs>4</Paragraphs>
  <TotalTime>1</TotalTime>
  <ScaleCrop>false</ScaleCrop>
  <LinksUpToDate>false</LinksUpToDate>
  <CharactersWithSpaces>831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2022-03-14T16:00:00Z</dcterms:created>
  <dc:creator>Administrator</dc:creator>
  <cp:lastModifiedBy>猫猫</cp:lastModifiedBy>
  <cp:lastPrinted>2022-03-31T09:53:00Z</cp:lastPrinted>
  <dcterms:modified xsi:type="dcterms:W3CDTF">2025-10-17T09:34:33Z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CFC2F31A9AD14C5787C068D6472D8D65</vt:lpwstr>
  </property>
  <property fmtid="{D5CDD505-2E9C-101B-9397-08002B2CF9AE}" pid="4" name="commondata">
    <vt:lpwstr>eyJoZGlkIjoiNDJkZGI3OTdkYTUzNjJmYmMwYjVlOTNkZDcwMTVkZDgifQ==</vt:lpwstr>
  </property>
  <property fmtid="{D5CDD505-2E9C-101B-9397-08002B2CF9AE}" pid="5" name="KSOTemplateDocerSaveRecord">
    <vt:lpwstr>eyJoZGlkIjoiNjM1Y2EyOGI3Y2E5ZDQ4OTEwOGMzNTQxZDk1OTE3ZTQiLCJ1c2VySWQiOiI1ODQ2NzUwMDUifQ==</vt:lpwstr>
  </property>
</Properties>
</file>