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杭锦旗农业水价综合改革奖补节水材料采购项目(二次)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杭锦旗水利局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内蒙古利凡工程项目管理有限公司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ESZCHJS-G-H-250004.1B1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内蒙古利凡工程项目管理有限公司</w:t>
      </w:r>
      <w:r>
        <w:rPr>
          <w:rFonts w:ascii="仿宋_GB2312" w:hAnsi="仿宋_GB2312" w:cs="仿宋_GB2312" w:eastAsia="仿宋_GB2312"/>
        </w:rPr>
        <w:t xml:space="preserve"> 受 </w:t>
      </w:r>
      <w:r>
        <w:rPr>
          <w:rFonts w:ascii="仿宋_GB2312" w:hAnsi="仿宋_GB2312" w:cs="仿宋_GB2312" w:eastAsia="仿宋_GB2312"/>
        </w:rPr>
        <w:t>杭锦旗水利局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杭锦旗农业水价综合改革奖补节水材料采购项目(二次)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杭锦旗农业水价综合改革奖补节水材料采购项目(二次)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ESZCHJS-G-H-250004.1B1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433[2025]00008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PE滴灌带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1,800,000.00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内蒙古利凡工程项目管理有限公司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内蒙古自治区鄂尔多斯市东胜区铁西迎宾路东，科技街北双骏金融大厦1号楼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0477-3109767/18347310664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杭锦旗水利局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鄂尔多斯市杭锦旗锡尼镇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郭先生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15704959030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代理服务费收费标准：参照《内蒙古自治区建设工程招标代理服务收费指导意见》（内工建协【2022】34号）文件下浮20%收取。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杭锦旗水利局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内蒙古利凡工程项目管理有限公司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审查投标人有效的营业执照。</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审查投标人提供的2022年度或2023年度经会计师事务所出具的财务审计报告或其基本开户银行出具的近一年内银行资信证明。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1.提供投标截止之日前一年内 (至少一个月)的良好缴纳税收的相关凭据 2.提供投标截止之日前一年内 (至少一个月)缴纳社会保险的凭证。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审查投标人提供的具有履行合同所必需的设备和专业技术能力的书面声明。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符合关于联合体投标的相关规定（本项目不接受联合体）。</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杭锦旗农业水价综合改革奖补节水材料采购项目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自合同签订之日起60日</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鄂尔多斯市杭锦旗锡尼镇</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1、验收合格后支付，达到付款条件起30日，支付合同总金额的100.00%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标的名称：PE滴灌带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color w:val="000000"/>
              </w:rPr>
              <w:t>1.内径（mm）：16</w:t>
            </w:r>
          </w:p>
          <w:p>
            <w:pPr>
              <w:pStyle w:val="null5"/>
              <w:jc w:val="both"/>
            </w:pPr>
            <w:r>
              <w:rPr>
                <w:rFonts w:ascii="仿宋_GB2312" w:hAnsi="仿宋_GB2312" w:cs="仿宋_GB2312" w:eastAsia="仿宋_GB2312"/>
                <w:sz w:val="20"/>
                <w:color w:val="000000"/>
              </w:rPr>
              <w:t>2.壁厚（mm）：0.3</w:t>
            </w:r>
          </w:p>
          <w:p>
            <w:pPr>
              <w:pStyle w:val="null5"/>
              <w:jc w:val="both"/>
            </w:pPr>
            <w:r>
              <w:rPr>
                <w:rFonts w:ascii="仿宋_GB2312" w:hAnsi="仿宋_GB2312" w:cs="仿宋_GB2312" w:eastAsia="仿宋_GB2312"/>
                <w:sz w:val="20"/>
                <w:color w:val="000000"/>
              </w:rPr>
              <w:t>3.滴孔间距（cm）：30</w:t>
            </w:r>
          </w:p>
          <w:p>
            <w:pPr>
              <w:pStyle w:val="null5"/>
              <w:jc w:val="left"/>
            </w:pPr>
            <w:r>
              <w:rPr>
                <w:rFonts w:ascii="仿宋_GB2312" w:hAnsi="仿宋_GB2312" w:cs="仿宋_GB2312" w:eastAsia="仿宋_GB2312"/>
                <w:sz w:val="20"/>
                <w:color w:val="000000"/>
              </w:rPr>
              <w:t>4.工作压力（MPa）：0.1</w:t>
            </w:r>
          </w:p>
          <w:p>
            <w:pPr>
              <w:pStyle w:val="null5"/>
              <w:jc w:val="left"/>
            </w:pPr>
            <w:r>
              <w:rPr>
                <w:rFonts w:ascii="仿宋_GB2312" w:hAnsi="仿宋_GB2312" w:cs="仿宋_GB2312" w:eastAsia="仿宋_GB2312"/>
                <w:sz w:val="20"/>
                <w:color w:val="000000"/>
              </w:rPr>
              <w:t>5.流量（L/h）：2.0</w:t>
            </w:r>
          </w:p>
          <w:p>
            <w:pPr>
              <w:pStyle w:val="null5"/>
              <w:jc w:val="left"/>
            </w:pPr>
            <w:r>
              <w:rPr>
                <w:rFonts w:ascii="仿宋_GB2312" w:hAnsi="仿宋_GB2312" w:cs="仿宋_GB2312" w:eastAsia="仿宋_GB2312"/>
                <w:sz w:val="20"/>
                <w:color w:val="000000"/>
              </w:rPr>
              <w:t>6.材质：聚乙烯</w:t>
            </w:r>
          </w:p>
          <w:p>
            <w:pPr>
              <w:pStyle w:val="null5"/>
              <w:jc w:val="left"/>
            </w:pPr>
            <w:r>
              <w:rPr>
                <w:rFonts w:ascii="仿宋_GB2312" w:hAnsi="仿宋_GB2312" w:cs="仿宋_GB2312" w:eastAsia="仿宋_GB2312"/>
                <w:sz w:val="20"/>
                <w:color w:val="000000"/>
              </w:rPr>
              <w:t>7.长度：约1800万米</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项目实施和管理方案</w:t>
            </w:r>
          </w:p>
        </w:tc>
        <w:tc>
          <w:tcPr>
            <w:tcW w:type="dxa" w:w="3115"/>
          </w:tcPr>
          <w:p>
            <w:pPr>
              <w:pStyle w:val="null5"/>
              <w:jc w:val="left"/>
            </w:pPr>
            <w:r>
              <w:rPr>
                <w:rFonts w:ascii="仿宋_GB2312" w:hAnsi="仿宋_GB2312" w:cs="仿宋_GB2312" w:eastAsia="仿宋_GB2312"/>
              </w:rPr>
              <w:t>项目实施和管理方案详细合理，时间节点安排明确有序，实施成员能力强 、职责明确。内容全面详细，针对性、可操作性强得8.1-12分；内容合理性较强得4.1-8分；内容合理性一般得1-4分；未提供不得分。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质量保证方案及措施</w:t>
            </w:r>
          </w:p>
        </w:tc>
        <w:tc>
          <w:tcPr>
            <w:tcW w:type="dxa" w:w="3115"/>
          </w:tcPr>
          <w:p>
            <w:pPr>
              <w:pStyle w:val="null5"/>
              <w:jc w:val="left"/>
            </w:pPr>
            <w:r>
              <w:rPr>
                <w:rFonts w:ascii="仿宋_GB2312" w:hAnsi="仿宋_GB2312" w:cs="仿宋_GB2312" w:eastAsia="仿宋_GB2312"/>
              </w:rPr>
              <w:t>投标人提供的质量保证方案、体系、质量保证措施，内容严谨、全面、详 细、合理性强得8.1- 12分；内容合理性较强得4.1-8分；内容合理性一般得1-4分；未提供不得分。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进度保证方案及措施</w:t>
            </w:r>
          </w:p>
        </w:tc>
        <w:tc>
          <w:tcPr>
            <w:tcW w:type="dxa" w:w="3115"/>
          </w:tcPr>
          <w:p>
            <w:pPr>
              <w:pStyle w:val="null5"/>
              <w:jc w:val="left"/>
            </w:pPr>
            <w:r>
              <w:rPr>
                <w:rFonts w:ascii="仿宋_GB2312" w:hAnsi="仿宋_GB2312" w:cs="仿宋_GB2312" w:eastAsia="仿宋_GB2312"/>
              </w:rPr>
              <w:t>投标人提供的供货实施方案、进度保证方案及措施，内容严谨、全面、详 细、合理性强得8.1-12分；内容合理性较强得4.1-8分；内容合理性一般得1-4分；未提供不得分。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投标人提供的应急方案(如临近供货期限调配货物不足，验收时货物的数量 、质量不合格等问题的处理能力等)，内容严谨、全面、详细、合理性强得8.1-12分；内容合理性较强得4.1-8分；内容合理性一般得1-4分；未提供不得分。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有完善、健全、有效的售后服务方案，包括但不限于：服务机构、人员及联系方式、服务响应时间、服务体系等进行评价，内容全面、详细、合理性强得8.1-12分；内容合理性较强得4.1-8分；内容合理性一般得1-4分；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投标人业绩</w:t>
            </w:r>
          </w:p>
        </w:tc>
        <w:tc>
          <w:tcPr>
            <w:tcW w:type="dxa" w:w="3115"/>
          </w:tcPr>
          <w:p>
            <w:pPr>
              <w:pStyle w:val="null5"/>
              <w:jc w:val="left"/>
            </w:pPr>
            <w:r>
              <w:rPr>
                <w:rFonts w:ascii="仿宋_GB2312" w:hAnsi="仿宋_GB2312" w:cs="仿宋_GB2312" w:eastAsia="仿宋_GB2312"/>
              </w:rPr>
              <w:t>近年(2021年至今，以合同签订时间为准) 投标人每提供一份供货业绩得5 分，最多得10分。（以供货合同签定时间为准，投标文件需附合同扫描件）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