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杭锦旗南岸灌区2024年渠道清淤工程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杭锦旗黄河灌排服务中心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内蒙古利凡工程项目管理有限公司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ESZCHJS-C-G-250010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内蒙古利凡工程项目管理有限公司</w:t>
      </w:r>
      <w:r>
        <w:rPr>
          <w:rFonts w:ascii="仿宋_GB2312" w:hAnsi="仿宋_GB2312" w:cs="仿宋_GB2312" w:eastAsia="仿宋_GB2312"/>
        </w:rPr>
        <w:t xml:space="preserve"> 受 </w:t>
      </w:r>
      <w:r>
        <w:rPr>
          <w:rFonts w:ascii="仿宋_GB2312" w:hAnsi="仿宋_GB2312" w:cs="仿宋_GB2312" w:eastAsia="仿宋_GB2312"/>
        </w:rPr>
        <w:t>杭锦旗黄河灌排服务中心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杭锦旗南岸灌区2024年渠道清淤工程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杭锦旗南岸灌区2024年渠道清淤工程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ESZCHJS-C-G-250010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433[2025]00111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2,778,560.00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杭锦旗南岸灌区2024年渠道清淤工程施工服务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2,778,560.00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资质要求：供应商须具备建设行政主管部门颁发的【水利水电工程施工总承包】叁级（含）以上资质，如供应商已申办2020年11月30日建市〔2020〕94号《住房和城乡建设部关于印发建设工程企业资质管理制度改革方案的通知》中住建部要求的最新资质，须具备建设行政主管部门颁发的【施工综合资质】或【水利水电工程施工总承包】乙级（含）以上资质，且具备有效的安全生产许可证，并在人员、设备、资金等方面具有相应的能力，（响应文件须附资质证书、安全生产许可证扫描件）</w:t>
      </w:r>
    </w:p>
    <w:p>
      <w:pPr>
        <w:pStyle w:val="null5"/>
        <w:jc w:val="left"/>
      </w:pPr>
      <w:r>
        <w:rPr>
          <w:rFonts w:ascii="仿宋_GB2312" w:hAnsi="仿宋_GB2312" w:cs="仿宋_GB2312" w:eastAsia="仿宋_GB2312"/>
        </w:rPr>
        <w:t>2、项目负责人要求：项目负责人要求：拟派项目负责人须具备本单位注册的【水利水电工程专业贰级】(含) 以上建造师资格，同时具备有效的B类安全生产考核合格证书 (以有效的建造师执业资格证、注册证、安全生产考核合格证为准，响应文件中须附相关证书扫描件) 且未担任其他在建工程的项目负责人 (项目经理 ) ，提供承诺书并加盖公章 (承诺书格式自拟) ；上述人员必须在本单位工作，年龄不得超过65周岁，以供应商所属社保机构出具的2024年2月至今连续3个月(含)以上的社保缴费证明为准 (须加盖缴费证明专用章) (新入职人员要求提供入职至投标截止到日前的社保缴费证明，并加盖缴费证明专用章) ；退休人员无需提供社保缴费证明，须提供与聘用单位签订的有效的聘用劳动合同及退休证明 (响应文件附相应佐证材料扫描件)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内蒙古利凡工程项目管理有限公司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鄂尔多斯市东胜区铁西迎宾路东，科技街北双骏金融大厦1号楼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0477-3109767/18347310664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杭锦旗黄河灌排服务中心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13754070889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代理服务费收费标准：参照内蒙古建设工程招标代理收费指导意见（内工建协【2022】34号文件）规定取费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杭锦旗黄河灌排服务中心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内蒙古利凡工程项目管理有限公司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次工程建设的主要内容包括总干渠清淤12.778km，渠顶路面土方整形压实25555m³，建设分干渠清淤7.2km，渠顶路面土方整形压实11520m³，建设分干渠一闸、二闸、三闸管理房院落土方填筑3323m³，铺砂1700㎡，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合同签订后30日历天(实际开竣工日期以合同签订为准)</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杭锦旗吉日嘎朗图镇</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1、具体支付比例按照财政拨款支付，达到付款条件起30日，支付合同总金额的100.00%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标的名称：杭锦旗南岸灌区2024年渠道清淤工程施工服务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105"/>
              <w:ind w:left="105"/>
              <w:jc w:val="left"/>
            </w:pPr>
            <w:r>
              <w:rPr>
                <w:rFonts w:ascii="仿宋_GB2312" w:hAnsi="仿宋_GB2312" w:cs="仿宋_GB2312" w:eastAsia="仿宋_GB2312"/>
                <w:sz w:val="19"/>
                <w:color w:val="000000"/>
              </w:rPr>
              <w:t>详见工程量清单</w:t>
            </w:r>
          </w:p>
          <w:p>
            <w:pPr>
              <w:pStyle w:val="null5"/>
              <w:jc w:val="left"/>
            </w:pPr>
            <w:r>
              <w:rPr>
                <w:rFonts w:ascii="仿宋_GB2312" w:hAnsi="仿宋_GB2312" w:cs="仿宋_GB2312" w:eastAsia="仿宋_GB2312"/>
                <w:sz w:val="19"/>
                <w:color w:val="000000"/>
              </w:rPr>
              <w:t>注：各投标人的</w:t>
            </w:r>
            <w:r>
              <w:rPr>
                <w:rFonts w:ascii="仿宋_GB2312" w:hAnsi="仿宋_GB2312" w:cs="仿宋_GB2312" w:eastAsia="仿宋_GB2312"/>
                <w:sz w:val="19"/>
                <w:color w:val="000000"/>
              </w:rPr>
              <w:t>响应</w:t>
            </w:r>
            <w:r>
              <w:rPr>
                <w:rFonts w:ascii="仿宋_GB2312" w:hAnsi="仿宋_GB2312" w:cs="仿宋_GB2312" w:eastAsia="仿宋_GB2312"/>
                <w:sz w:val="19"/>
                <w:color w:val="000000"/>
              </w:rPr>
              <w:t>文件中必须附已标价工程量清单，并符合磋商文件中</w:t>
            </w:r>
            <w:r>
              <w:rPr>
                <w:rFonts w:ascii="仿宋_GB2312" w:hAnsi="仿宋_GB2312" w:cs="仿宋_GB2312" w:eastAsia="仿宋_GB2312"/>
                <w:sz w:val="19"/>
                <w:color w:val="000000"/>
              </w:rPr>
              <w:t>“工程量清单编制说明”、“工程量清单”给出的项目编码 、项目名称、项目特征、计量单位和工程量等内容，不得缺项、漏项、不得高于采购预算价。否则，作否决其投标处理。</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最终报价环节投标人须上传对应的已标价工程量清单。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 (至少一个月) 的良好缴纳税收的相关凭据。 (以税务机关提供的纳税凭据或银行入账单 为准) 2.提供递交响应文件截止之日前一年内 (至少一个月) 缴纳社会保险的凭证。 (以专用收据或社会保险缴纳清单为准)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资质要求：供应商须具备建设行政主管部门颁发的【水利水电工程施工总承包】叁级（含）以上资质，如供应商已申办2020年11月30日建市〔2020〕94号《住房和城乡建设部关于印发建设工程企业资质管理制度改革方案的通知》中住建部要求的最新资质，须具备建设行政主管部门颁发的【施工综合资质】或【水利水电工程施工总承包】乙级（含）以上资质，且具备有效的安全生产许可证，并在人员、设备、资金等方面具有相应的能力，（响应文件须附资质证书、安全生产许可证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项目负责人要求：拟派项目负责人须具备本单位注册的【水利水电工程专业贰级】(含) 以上建造师资格，同时具备有效的B类安全生产考核合格证书 (以有效的建造师执业资格证、注册证、安全生产考核合格证为准，响应文件中须附相关证书扫描件) 且未担任其他在建工程的项目负责人 (项目经理 ) ，提供承诺书并加盖公章 (承诺书格式自拟) ；上述人员必须在本单位工作，年龄不得超过65周岁，以供应商所属社保机构出具的2024年2月至今连续3个月(含)以上的社保缴费证明为准 (须加盖缴费证明专用章) (新入职人员要求提供入职至投标截止到日前的社保缴费证明，并加盖缴费证明专用章) ；退休人员无需提供社保缴费证明，须提供与聘用单位签订的有效的聘用劳动合同及退休证明 (响应文件附相应佐证材料扫描件)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根据施工组织设计的内容完整性、科学有效性、针对性及编制水平打分， 重点针对本项目建设内容制定专项技术及安全防护方案、施工人员安置、 组织流线等制定技术方案。方案内容完整全面、针对性强得10.1-15分；方案 内容相对完整、部分内容具有针对性得5.1-10分；方案内容有缺失，无针对性得1-5分，未提供不得分。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主要施工方案与技术措施</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根据施工方案的合理性，技术措施对工程质量、工期和施工安全保障的针对性打分， 统一协调做具体的技术措施和施工方案；内容合理性强得7.1-10分；内容合理性较强得4.1-7分；内容合理性一般得1-4分；未提供不得分。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根据质量管理体系与措施合理、有效，措施与方案的完善性，酌情打分。内容完善性强得5.1-8分；内容完善性较强得3.1-5分；内容完善性一般得1-3分；未提供不得分。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根据安全管理体系与措施的合理、可靠、有效性，酌情打分。建立安全围栏屏障、 防止相关事故等制定具体、有效的安全管理体系与措施；内容合理、可靠、有效性强得5.1-8分；内容合理、可靠、有效性较强得3.1-5分；内容合理、可靠、有效性一般得1-3分； 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根据编制情况的合理性、可靠性、 有效性，酌情打分。有明确的工期节点计划，针对本项目编制工程进度计划及整体工期安排按期完工。内容合理性、可靠性、有效性强得5.1-8分；内容合理性、可靠性、有效性较强得3.1-5分；内容合理性、可靠性、有效性一般得1-3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根据承诺投入的劳动力与施工设备数量、种类的全面、合理、有效性，酌情打分。 内容全面、合理、有效性强得5.1-8分；内容全面、合理、有效性较强得3.1-5分；内容全面、合理、有效性一般得1-3分；未提供不得分。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新技术、新材料、新工艺的应用</w:t>
            </w:r>
          </w:p>
        </w:tc>
        <w:tc>
          <w:tcPr>
            <w:tcW w:type="dxa" w:w="3115"/>
          </w:tcPr>
          <w:p>
            <w:pPr>
              <w:pStyle w:val="null5"/>
              <w:jc w:val="left"/>
            </w:pPr>
            <w:r>
              <w:rPr>
                <w:rFonts w:ascii="仿宋_GB2312" w:hAnsi="仿宋_GB2312" w:cs="仿宋_GB2312" w:eastAsia="仿宋_GB2312"/>
              </w:rPr>
              <w:t>提出应用新材料、新技术、新标准规范的科学、合理、先进，得5.1-8分；提出应用新材料、新技术、新标准规范的较科学、较合理、较先进，得3.1-5分，提出应用新材料、新技术、新标准规范一般，得1-3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投标人近年 (2022年至今，以合同签订时间为准)，每有一项水利工程施工业绩得5分，最多得15分。(业绩以合同书为准，响应文件需附扫描件)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