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DA438">
      <w:pPr>
        <w:spacing w:line="360" w:lineRule="auto"/>
        <w:jc w:val="center"/>
        <w:rPr>
          <w:rFonts w:ascii="仿宋" w:hAnsi="仿宋" w:eastAsia="仿宋" w:cs="仿宋"/>
          <w:b/>
          <w:bCs/>
          <w:sz w:val="36"/>
          <w:szCs w:val="36"/>
        </w:rPr>
      </w:pPr>
      <w:r>
        <w:rPr>
          <w:rFonts w:hint="eastAsia" w:ascii="仿宋" w:hAnsi="仿宋" w:eastAsia="仿宋" w:cs="仿宋"/>
          <w:b/>
          <w:bCs/>
          <w:spacing w:val="9"/>
          <w:sz w:val="36"/>
          <w:szCs w:val="36"/>
          <w14:textOutline w14:w="4064" w14:cap="flat" w14:cmpd="sng" w14:algn="ctr">
            <w14:solidFill>
              <w14:srgbClr w14:val="000000"/>
            </w14:solidFill>
            <w14:prstDash w14:val="solid"/>
            <w14:miter w14:val="0"/>
          </w14:textOutline>
        </w:rPr>
        <w:t>杭锦旗祥和福星老年公寓外墙保温工程</w:t>
      </w:r>
      <w:r>
        <w:rPr>
          <w:rFonts w:hint="eastAsia" w:ascii="仿宋" w:hAnsi="仿宋" w:eastAsia="仿宋" w:cs="仿宋"/>
          <w:b/>
          <w:bCs/>
          <w:spacing w:val="9"/>
          <w:sz w:val="36"/>
          <w:szCs w:val="36"/>
          <w:lang w:val="en-US" w:eastAsia="zh-CN"/>
          <w14:textOutline w14:w="4064" w14:cap="flat" w14:cmpd="sng" w14:algn="ctr">
            <w14:solidFill>
              <w14:srgbClr w14:val="000000"/>
            </w14:solidFill>
            <w14:prstDash w14:val="solid"/>
            <w14:miter w14:val="0"/>
          </w14:textOutline>
        </w:rPr>
        <w:t>工程量清单</w:t>
      </w:r>
      <w:r>
        <w:rPr>
          <w:rFonts w:ascii="仿宋" w:hAnsi="仿宋" w:eastAsia="仿宋" w:cs="仿宋"/>
          <w:b/>
          <w:bCs/>
          <w:spacing w:val="9"/>
          <w:sz w:val="36"/>
          <w:szCs w:val="36"/>
          <w14:textOutline w14:w="4064" w14:cap="flat" w14:cmpd="sng" w14:algn="ctr">
            <w14:solidFill>
              <w14:srgbClr w14:val="000000"/>
            </w14:solidFill>
            <w14:prstDash w14:val="solid"/>
            <w14:miter w14:val="0"/>
          </w14:textOutline>
        </w:rPr>
        <w:t>编制说</w:t>
      </w:r>
      <w:r>
        <w:rPr>
          <w:rFonts w:ascii="仿宋" w:hAnsi="仿宋" w:eastAsia="仿宋" w:cs="仿宋"/>
          <w:b/>
          <w:bCs/>
          <w:spacing w:val="8"/>
          <w:sz w:val="36"/>
          <w:szCs w:val="36"/>
          <w14:textOutline w14:w="4064" w14:cap="flat" w14:cmpd="sng" w14:algn="ctr">
            <w14:solidFill>
              <w14:srgbClr w14:val="000000"/>
            </w14:solidFill>
            <w14:prstDash w14:val="solid"/>
            <w14:miter w14:val="0"/>
          </w14:textOutline>
        </w:rPr>
        <w:t>明</w:t>
      </w:r>
    </w:p>
    <w:p w14:paraId="6312844D">
      <w:pPr>
        <w:keepNext w:val="0"/>
        <w:keepLines w:val="0"/>
        <w:pageBreakBefore w:val="0"/>
        <w:widowControl/>
        <w:kinsoku w:val="0"/>
        <w:wordWrap/>
        <w:overflowPunct/>
        <w:topLinePunct w:val="0"/>
        <w:autoSpaceDE w:val="0"/>
        <w:autoSpaceDN w:val="0"/>
        <w:bidi w:val="0"/>
        <w:adjustRightInd w:val="0"/>
        <w:snapToGrid w:val="0"/>
        <w:spacing w:line="540" w:lineRule="exact"/>
        <w:ind w:firstLine="512" w:firstLineChars="200"/>
        <w:textAlignment w:val="baseline"/>
        <w:rPr>
          <w:rFonts w:ascii="仿宋" w:hAnsi="仿宋" w:eastAsia="仿宋" w:cs="仿宋"/>
          <w:sz w:val="24"/>
          <w:szCs w:val="24"/>
        </w:rPr>
      </w:pPr>
      <w:r>
        <w:rPr>
          <w:rFonts w:ascii="仿宋" w:hAnsi="仿宋" w:eastAsia="仿宋" w:cs="仿宋"/>
          <w:spacing w:val="8"/>
          <w:sz w:val="24"/>
          <w:szCs w:val="24"/>
          <w14:textOutline w14:w="3556" w14:cap="flat" w14:cmpd="sng" w14:algn="ctr">
            <w14:solidFill>
              <w14:srgbClr w14:val="000000"/>
            </w14:solidFill>
            <w14:prstDash w14:val="solid"/>
            <w14:miter w14:val="0"/>
          </w14:textOutline>
        </w:rPr>
        <w:t>一</w:t>
      </w:r>
      <w:r>
        <w:rPr>
          <w:rFonts w:ascii="仿宋" w:hAnsi="仿宋" w:eastAsia="仿宋" w:cs="仿宋"/>
          <w:spacing w:val="7"/>
          <w:sz w:val="24"/>
          <w:szCs w:val="24"/>
          <w14:textOutline w14:w="3556" w14:cap="flat" w14:cmpd="sng" w14:algn="ctr">
            <w14:solidFill>
              <w14:srgbClr w14:val="000000"/>
            </w14:solidFill>
            <w14:prstDash w14:val="solid"/>
            <w14:miter w14:val="0"/>
          </w14:textOutline>
        </w:rPr>
        <w:t>、工程概况</w:t>
      </w:r>
    </w:p>
    <w:p w14:paraId="5A6D8673">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1、工程名称：</w:t>
      </w:r>
      <w:r>
        <w:rPr>
          <w:rFonts w:hint="eastAsia" w:ascii="仿宋" w:hAnsi="仿宋" w:eastAsia="仿宋" w:cs="仿宋"/>
          <w:spacing w:val="-11"/>
          <w:sz w:val="24"/>
          <w:szCs w:val="24"/>
        </w:rPr>
        <w:t>杭锦旗祥和福星老年公寓外墙保温工程</w:t>
      </w:r>
    </w:p>
    <w:p w14:paraId="5ACEB4CE">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rPr>
        <w:t>2、建设单位：</w:t>
      </w:r>
      <w:r>
        <w:rPr>
          <w:rFonts w:hint="eastAsia" w:ascii="仿宋" w:hAnsi="仿宋" w:eastAsia="仿宋" w:cs="仿宋"/>
          <w:spacing w:val="34"/>
          <w:sz w:val="24"/>
          <w:szCs w:val="24"/>
          <w:lang w:val="en-US" w:eastAsia="zh-CN"/>
        </w:rPr>
        <w:t>杭锦旗政府投资项目代建中心</w:t>
      </w:r>
    </w:p>
    <w:p w14:paraId="6F06F775">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hint="eastAsia" w:ascii="仿宋" w:hAnsi="仿宋" w:eastAsia="仿宋" w:cs="仿宋"/>
          <w:spacing w:val="34"/>
          <w:sz w:val="24"/>
          <w:szCs w:val="24"/>
        </w:rPr>
        <w:t>3、建设地点：</w:t>
      </w:r>
      <w:r>
        <w:rPr>
          <w:rFonts w:hint="eastAsia" w:ascii="仿宋" w:hAnsi="仿宋" w:eastAsia="仿宋" w:cs="仿宋"/>
          <w:spacing w:val="34"/>
          <w:sz w:val="24"/>
          <w:szCs w:val="24"/>
          <w:lang w:val="en-US" w:eastAsia="zh-CN"/>
        </w:rPr>
        <w:t>杭锦旗</w:t>
      </w:r>
    </w:p>
    <w:p w14:paraId="6D3E5A8E">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rPr>
        <w:t>4、</w:t>
      </w:r>
      <w:r>
        <w:rPr>
          <w:rFonts w:hint="eastAsia" w:ascii="仿宋" w:hAnsi="仿宋" w:eastAsia="仿宋" w:cs="仿宋"/>
          <w:spacing w:val="34"/>
          <w:sz w:val="24"/>
          <w:szCs w:val="24"/>
          <w:lang w:val="en-US" w:eastAsia="zh-CN"/>
        </w:rPr>
        <w:t>工程</w:t>
      </w:r>
      <w:r>
        <w:rPr>
          <w:rFonts w:hint="eastAsia" w:ascii="仿宋" w:hAnsi="仿宋" w:eastAsia="仿宋" w:cs="仿宋"/>
          <w:spacing w:val="34"/>
          <w:sz w:val="24"/>
          <w:szCs w:val="24"/>
        </w:rPr>
        <w:t>内容：</w:t>
      </w:r>
      <w:r>
        <w:rPr>
          <w:rFonts w:hint="eastAsia" w:ascii="仿宋" w:hAnsi="仿宋" w:eastAsia="仿宋" w:cs="仿宋"/>
          <w:spacing w:val="34"/>
          <w:sz w:val="24"/>
          <w:szCs w:val="24"/>
          <w:lang w:val="en-US" w:eastAsia="zh-CN"/>
        </w:rPr>
        <w:t>杭锦旗祥和福星老年公寓、餐厅包括与之相连的连廊外墙保温维修相关内容</w:t>
      </w:r>
    </w:p>
    <w:p w14:paraId="719DC4A6">
      <w:pPr>
        <w:keepNext w:val="0"/>
        <w:keepLines w:val="0"/>
        <w:pageBreakBefore w:val="0"/>
        <w:widowControl/>
        <w:kinsoku w:val="0"/>
        <w:wordWrap/>
        <w:overflowPunct/>
        <w:topLinePunct w:val="0"/>
        <w:autoSpaceDE w:val="0"/>
        <w:autoSpaceDN w:val="0"/>
        <w:bidi w:val="0"/>
        <w:adjustRightInd w:val="0"/>
        <w:snapToGrid w:val="0"/>
        <w:spacing w:line="540" w:lineRule="exact"/>
        <w:ind w:firstLine="512" w:firstLineChars="200"/>
        <w:textAlignment w:val="baseline"/>
        <w:rPr>
          <w:rFonts w:ascii="仿宋" w:hAnsi="仿宋" w:eastAsia="仿宋" w:cs="仿宋"/>
          <w:sz w:val="24"/>
          <w:szCs w:val="24"/>
        </w:rPr>
      </w:pPr>
      <w:r>
        <w:rPr>
          <w:rFonts w:ascii="仿宋" w:hAnsi="仿宋" w:eastAsia="仿宋" w:cs="仿宋"/>
          <w:spacing w:val="8"/>
          <w:sz w:val="24"/>
          <w:szCs w:val="24"/>
          <w14:textOutline w14:w="3556" w14:cap="flat" w14:cmpd="sng" w14:algn="ctr">
            <w14:solidFill>
              <w14:srgbClr w14:val="000000"/>
            </w14:solidFill>
            <w14:prstDash w14:val="solid"/>
            <w14:miter w14:val="0"/>
          </w14:textOutline>
        </w:rPr>
        <w:t>二</w:t>
      </w:r>
      <w:r>
        <w:rPr>
          <w:rFonts w:ascii="仿宋" w:hAnsi="仿宋" w:eastAsia="仿宋" w:cs="仿宋"/>
          <w:spacing w:val="6"/>
          <w:sz w:val="24"/>
          <w:szCs w:val="24"/>
          <w14:textOutline w14:w="3556" w14:cap="flat" w14:cmpd="sng" w14:algn="ctr">
            <w14:solidFill>
              <w14:srgbClr w14:val="000000"/>
            </w14:solidFill>
            <w14:prstDash w14:val="solid"/>
            <w14:miter w14:val="0"/>
          </w14:textOutline>
        </w:rPr>
        <w:t>、编制依据</w:t>
      </w:r>
    </w:p>
    <w:p w14:paraId="15487664">
      <w:pPr>
        <w:keepNext w:val="0"/>
        <w:keepLines w:val="0"/>
        <w:pageBreakBefore w:val="0"/>
        <w:widowControl/>
        <w:kinsoku w:val="0"/>
        <w:wordWrap/>
        <w:overflowPunct/>
        <w:topLinePunct w:val="0"/>
        <w:autoSpaceDE w:val="0"/>
        <w:autoSpaceDN w:val="0"/>
        <w:bidi w:val="0"/>
        <w:adjustRightInd w:val="0"/>
        <w:snapToGrid w:val="0"/>
        <w:spacing w:line="540" w:lineRule="exact"/>
        <w:ind w:firstLine="602" w:firstLineChars="200"/>
        <w:textAlignment w:val="baseline"/>
        <w:rPr>
          <w:rFonts w:ascii="仿宋" w:hAnsi="仿宋" w:eastAsia="仿宋" w:cs="仿宋"/>
          <w:spacing w:val="30"/>
          <w:sz w:val="24"/>
          <w:szCs w:val="24"/>
        </w:rPr>
      </w:pPr>
      <w:r>
        <w:rPr>
          <w:rFonts w:ascii="仿宋" w:hAnsi="仿宋" w:eastAsia="仿宋" w:cs="仿宋"/>
          <w:b/>
          <w:bCs/>
          <w:spacing w:val="30"/>
          <w:sz w:val="24"/>
          <w:szCs w:val="24"/>
        </w:rPr>
        <w:t>(一)工程量依据</w:t>
      </w:r>
    </w:p>
    <w:p w14:paraId="4FED3D5F">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1、</w:t>
      </w:r>
      <w:r>
        <w:rPr>
          <w:rFonts w:hint="eastAsia" w:ascii="仿宋" w:hAnsi="仿宋" w:eastAsia="仿宋" w:cs="仿宋"/>
          <w:spacing w:val="34"/>
          <w:sz w:val="24"/>
          <w:szCs w:val="24"/>
          <w:lang w:val="en-US" w:eastAsia="zh-CN"/>
        </w:rPr>
        <w:t>送审控制价的工程量及工程做法</w:t>
      </w:r>
      <w:r>
        <w:rPr>
          <w:rFonts w:ascii="仿宋" w:hAnsi="仿宋" w:eastAsia="仿宋" w:cs="仿宋"/>
          <w:spacing w:val="34"/>
          <w:sz w:val="24"/>
          <w:szCs w:val="24"/>
        </w:rPr>
        <w:t>；</w:t>
      </w:r>
    </w:p>
    <w:p w14:paraId="68B11F1D">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17"/>
          <w:sz w:val="24"/>
          <w:szCs w:val="24"/>
          <w:lang w:eastAsia="zh-CN"/>
        </w:rPr>
      </w:pPr>
      <w:r>
        <w:rPr>
          <w:rFonts w:ascii="仿宋" w:hAnsi="仿宋" w:eastAsia="仿宋" w:cs="仿宋"/>
          <w:spacing w:val="34"/>
          <w:sz w:val="24"/>
          <w:szCs w:val="24"/>
        </w:rPr>
        <w:t>2</w:t>
      </w:r>
      <w:r>
        <w:rPr>
          <w:rFonts w:ascii="仿宋" w:hAnsi="仿宋" w:eastAsia="仿宋" w:cs="仿宋"/>
          <w:spacing w:val="20"/>
          <w:sz w:val="24"/>
          <w:szCs w:val="24"/>
        </w:rPr>
        <w:t>、</w:t>
      </w:r>
      <w:r>
        <w:rPr>
          <w:rFonts w:ascii="仿宋" w:hAnsi="仿宋" w:eastAsia="仿宋" w:cs="仿宋"/>
          <w:spacing w:val="17"/>
          <w:sz w:val="24"/>
          <w:szCs w:val="24"/>
        </w:rPr>
        <w:t>与本工程有关的标准(包括标准图集)、规范、技术资料</w:t>
      </w:r>
      <w:r>
        <w:rPr>
          <w:rFonts w:hint="eastAsia" w:ascii="仿宋" w:hAnsi="仿宋" w:eastAsia="仿宋" w:cs="仿宋"/>
          <w:spacing w:val="17"/>
          <w:sz w:val="24"/>
          <w:szCs w:val="24"/>
          <w:lang w:eastAsia="zh-CN"/>
        </w:rPr>
        <w:t>；</w:t>
      </w:r>
    </w:p>
    <w:p w14:paraId="444C2AC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3、审核回复文件。</w:t>
      </w:r>
    </w:p>
    <w:p w14:paraId="18356881">
      <w:pPr>
        <w:keepNext w:val="0"/>
        <w:keepLines w:val="0"/>
        <w:pageBreakBefore w:val="0"/>
        <w:widowControl/>
        <w:kinsoku w:val="0"/>
        <w:wordWrap/>
        <w:overflowPunct/>
        <w:topLinePunct w:val="0"/>
        <w:autoSpaceDE w:val="0"/>
        <w:autoSpaceDN w:val="0"/>
        <w:bidi w:val="0"/>
        <w:adjustRightInd w:val="0"/>
        <w:snapToGrid w:val="0"/>
        <w:spacing w:line="540" w:lineRule="exact"/>
        <w:ind w:firstLine="602" w:firstLineChars="200"/>
        <w:textAlignment w:val="baseline"/>
        <w:rPr>
          <w:rFonts w:ascii="仿宋" w:hAnsi="仿宋" w:eastAsia="仿宋" w:cs="仿宋"/>
          <w:b/>
          <w:bCs/>
          <w:sz w:val="24"/>
          <w:szCs w:val="24"/>
        </w:rPr>
      </w:pPr>
      <w:r>
        <w:rPr>
          <w:rFonts w:ascii="仿宋" w:hAnsi="仿宋" w:eastAsia="仿宋" w:cs="仿宋"/>
          <w:b/>
          <w:bCs/>
          <w:spacing w:val="30"/>
          <w:sz w:val="24"/>
          <w:szCs w:val="24"/>
        </w:rPr>
        <w:t>(</w:t>
      </w:r>
      <w:r>
        <w:rPr>
          <w:rFonts w:ascii="仿宋" w:hAnsi="仿宋" w:eastAsia="仿宋" w:cs="仿宋"/>
          <w:b/>
          <w:bCs/>
          <w:spacing w:val="28"/>
          <w:sz w:val="24"/>
          <w:szCs w:val="24"/>
        </w:rPr>
        <w:t>二)法律法规文件</w:t>
      </w:r>
    </w:p>
    <w:p w14:paraId="2B752063">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1、《中华人民共和国合同法》；</w:t>
      </w:r>
    </w:p>
    <w:p w14:paraId="1BA206D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2、《工程造价咨询业务操作指导规程》；</w:t>
      </w:r>
    </w:p>
    <w:p w14:paraId="37CA67A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3、《工程造价咨询单位执业行为准则》；</w:t>
      </w:r>
    </w:p>
    <w:p w14:paraId="51BEF63B">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ascii="仿宋" w:hAnsi="仿宋" w:eastAsia="仿宋" w:cs="仿宋"/>
          <w:spacing w:val="34"/>
          <w:sz w:val="24"/>
          <w:szCs w:val="24"/>
        </w:rPr>
      </w:pPr>
      <w:r>
        <w:rPr>
          <w:rFonts w:ascii="仿宋" w:hAnsi="仿宋" w:eastAsia="仿宋" w:cs="仿宋"/>
          <w:spacing w:val="34"/>
          <w:sz w:val="24"/>
          <w:szCs w:val="24"/>
        </w:rPr>
        <w:t>4、《建设工程造价咨询规范》GB/T51095-2015。</w:t>
      </w:r>
    </w:p>
    <w:p w14:paraId="223124CD">
      <w:pPr>
        <w:keepNext w:val="0"/>
        <w:keepLines w:val="0"/>
        <w:pageBreakBefore w:val="0"/>
        <w:widowControl/>
        <w:kinsoku w:val="0"/>
        <w:wordWrap/>
        <w:overflowPunct/>
        <w:topLinePunct w:val="0"/>
        <w:autoSpaceDE w:val="0"/>
        <w:autoSpaceDN w:val="0"/>
        <w:bidi w:val="0"/>
        <w:adjustRightInd w:val="0"/>
        <w:snapToGrid w:val="0"/>
        <w:spacing w:line="540" w:lineRule="exact"/>
        <w:ind w:firstLine="490" w:firstLineChars="200"/>
        <w:textAlignment w:val="baseline"/>
        <w:rPr>
          <w:rFonts w:ascii="仿宋" w:hAnsi="仿宋" w:eastAsia="仿宋" w:cs="仿宋"/>
          <w:sz w:val="24"/>
          <w:szCs w:val="24"/>
        </w:rPr>
      </w:pPr>
      <w:r>
        <w:rPr>
          <w:rFonts w:ascii="仿宋" w:hAnsi="仿宋" w:eastAsia="仿宋" w:cs="仿宋"/>
          <w:b/>
          <w:bCs/>
          <w:spacing w:val="2"/>
          <w:sz w:val="24"/>
          <w:szCs w:val="24"/>
        </w:rPr>
        <w:t>(三) 清单定额执</w:t>
      </w:r>
      <w:r>
        <w:rPr>
          <w:rFonts w:ascii="仿宋" w:hAnsi="仿宋" w:eastAsia="仿宋" w:cs="仿宋"/>
          <w:b/>
          <w:bCs/>
          <w:spacing w:val="1"/>
          <w:sz w:val="24"/>
          <w:szCs w:val="24"/>
        </w:rPr>
        <w:t>行内蒙古自治区建设厅颁布的标准、规范及相关</w:t>
      </w:r>
      <w:r>
        <w:rPr>
          <w:rFonts w:ascii="仿宋" w:hAnsi="仿宋" w:eastAsia="仿宋" w:cs="仿宋"/>
          <w:b/>
          <w:bCs/>
          <w:spacing w:val="-19"/>
          <w:sz w:val="24"/>
          <w:szCs w:val="24"/>
        </w:rPr>
        <w:t>文</w:t>
      </w:r>
      <w:r>
        <w:rPr>
          <w:rFonts w:ascii="仿宋" w:hAnsi="仿宋" w:eastAsia="仿宋" w:cs="仿宋"/>
          <w:b/>
          <w:bCs/>
          <w:spacing w:val="-17"/>
          <w:sz w:val="24"/>
          <w:szCs w:val="24"/>
        </w:rPr>
        <w:t>件</w:t>
      </w:r>
    </w:p>
    <w:p w14:paraId="6EFDEBBB">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1、清单依据《建设工程工程量清单计价规范(GB 50500-2013)》、《房屋建筑与装饰工程工程量清单计价规范(GB 50854-2013)》</w:t>
      </w:r>
      <w:r>
        <w:rPr>
          <w:rFonts w:hint="eastAsia" w:ascii="仿宋" w:hAnsi="仿宋" w:eastAsia="仿宋" w:cs="仿宋"/>
          <w:spacing w:val="34"/>
          <w:sz w:val="24"/>
          <w:szCs w:val="24"/>
          <w:lang w:eastAsia="zh-CN"/>
        </w:rPr>
        <w:t>、</w:t>
      </w:r>
      <w:r>
        <w:rPr>
          <w:rFonts w:hint="eastAsia" w:ascii="仿宋" w:hAnsi="仿宋" w:eastAsia="仿宋" w:cs="仿宋"/>
          <w:spacing w:val="34"/>
          <w:sz w:val="24"/>
          <w:szCs w:val="24"/>
        </w:rPr>
        <w:t>《通用安装工程工程量清单计价规范（GB 50856-2013）》</w:t>
      </w:r>
      <w:r>
        <w:rPr>
          <w:rFonts w:hint="eastAsia" w:ascii="仿宋" w:hAnsi="仿宋" w:eastAsia="仿宋" w:cs="仿宋"/>
          <w:spacing w:val="34"/>
          <w:sz w:val="24"/>
          <w:szCs w:val="24"/>
          <w:lang w:val="en-US" w:eastAsia="zh-CN"/>
        </w:rPr>
        <w:t>等</w:t>
      </w:r>
      <w:r>
        <w:rPr>
          <w:rFonts w:hint="eastAsia" w:ascii="仿宋" w:hAnsi="仿宋" w:eastAsia="仿宋" w:cs="仿宋"/>
          <w:spacing w:val="34"/>
          <w:sz w:val="24"/>
          <w:szCs w:val="24"/>
        </w:rPr>
        <w:t>；</w:t>
      </w:r>
    </w:p>
    <w:p w14:paraId="30D848A7">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2、2017年《内蒙古自治区房屋建筑与装饰工程预算定额》；</w:t>
      </w:r>
    </w:p>
    <w:p w14:paraId="5ABF4811">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3、2017年《内蒙古自治区安装工程预算定额》；</w:t>
      </w:r>
    </w:p>
    <w:p w14:paraId="6C117E3D">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rPr>
      </w:pPr>
      <w:r>
        <w:rPr>
          <w:rFonts w:hint="eastAsia" w:ascii="仿宋" w:hAnsi="仿宋" w:eastAsia="仿宋" w:cs="仿宋"/>
          <w:spacing w:val="34"/>
          <w:sz w:val="24"/>
          <w:szCs w:val="24"/>
        </w:rPr>
        <w:t>4、2017年《内蒙古市政工程预算定额》；</w:t>
      </w:r>
    </w:p>
    <w:p w14:paraId="0789639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5、2021年《内蒙古自治区房屋修缮工程预算定额》；</w:t>
      </w:r>
    </w:p>
    <w:p w14:paraId="46DD1902">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eastAsia="zh-CN"/>
        </w:rPr>
      </w:pPr>
      <w:r>
        <w:rPr>
          <w:rFonts w:hint="eastAsia" w:ascii="仿宋" w:hAnsi="仿宋" w:eastAsia="仿宋" w:cs="仿宋"/>
          <w:spacing w:val="34"/>
          <w:sz w:val="24"/>
          <w:szCs w:val="24"/>
          <w:lang w:val="en-US" w:eastAsia="zh-CN"/>
        </w:rPr>
        <w:t>6、</w:t>
      </w:r>
      <w:r>
        <w:rPr>
          <w:rFonts w:hint="eastAsia" w:ascii="仿宋" w:hAnsi="仿宋" w:eastAsia="仿宋" w:cs="仿宋"/>
          <w:spacing w:val="34"/>
          <w:sz w:val="24"/>
          <w:szCs w:val="24"/>
        </w:rPr>
        <w:t>税金依据[2019]113号文《关于调整内蒙古自治区建设工程计价依据增值税税率的通知》为9%，</w:t>
      </w:r>
      <w:r>
        <w:rPr>
          <w:rFonts w:hint="eastAsia" w:ascii="仿宋" w:hAnsi="仿宋" w:eastAsia="仿宋" w:cs="仿宋"/>
          <w:spacing w:val="34"/>
          <w:sz w:val="24"/>
          <w:szCs w:val="24"/>
          <w:lang w:val="en-US" w:eastAsia="zh-CN"/>
        </w:rPr>
        <w:t>人工费调整按照内建[2021]148号文，</w:t>
      </w:r>
      <w:r>
        <w:rPr>
          <w:rFonts w:hint="eastAsia" w:ascii="仿宋" w:hAnsi="仿宋" w:eastAsia="仿宋" w:cs="仿宋"/>
          <w:spacing w:val="34"/>
          <w:sz w:val="24"/>
          <w:szCs w:val="24"/>
        </w:rPr>
        <w:t>2017版《内蒙古自治区建设工程</w:t>
      </w:r>
      <w:r>
        <w:rPr>
          <w:rFonts w:hint="eastAsia" w:ascii="仿宋" w:hAnsi="仿宋" w:eastAsia="仿宋" w:cs="仿宋"/>
          <w:spacing w:val="34"/>
          <w:sz w:val="24"/>
          <w:szCs w:val="24"/>
          <w:lang w:val="en-US" w:eastAsia="zh-CN"/>
        </w:rPr>
        <w:t>费用定额</w:t>
      </w:r>
      <w:r>
        <w:rPr>
          <w:rFonts w:hint="eastAsia" w:ascii="仿宋" w:hAnsi="仿宋" w:eastAsia="仿宋" w:cs="仿宋"/>
          <w:spacing w:val="34"/>
          <w:sz w:val="24"/>
          <w:szCs w:val="24"/>
        </w:rPr>
        <w:t>》</w:t>
      </w:r>
      <w:r>
        <w:rPr>
          <w:rFonts w:hint="eastAsia" w:ascii="仿宋" w:hAnsi="仿宋" w:eastAsia="仿宋" w:cs="仿宋"/>
          <w:spacing w:val="34"/>
          <w:sz w:val="24"/>
          <w:szCs w:val="24"/>
          <w:highlight w:val="none"/>
          <w:lang w:eastAsia="zh-CN"/>
        </w:rPr>
        <w:t>，</w:t>
      </w:r>
      <w:r>
        <w:rPr>
          <w:rFonts w:hint="eastAsia" w:ascii="仿宋" w:hAnsi="仿宋" w:eastAsia="仿宋" w:cs="仿宋"/>
          <w:spacing w:val="34"/>
          <w:sz w:val="24"/>
          <w:szCs w:val="24"/>
          <w:highlight w:val="none"/>
          <w:lang w:val="en-US" w:eastAsia="zh-CN"/>
        </w:rPr>
        <w:t>安全文明施工费依据《内蒙古自治区住房和城乡建设厅关于调整建设工程安全文明施工费的通知》内建标[2025]98号文件执行</w:t>
      </w:r>
      <w:r>
        <w:rPr>
          <w:rFonts w:hint="eastAsia" w:ascii="仿宋" w:hAnsi="仿宋" w:eastAsia="仿宋" w:cs="仿宋"/>
          <w:spacing w:val="34"/>
          <w:sz w:val="24"/>
          <w:szCs w:val="24"/>
          <w:highlight w:val="none"/>
          <w:lang w:eastAsia="zh-CN"/>
        </w:rPr>
        <w:t>；</w:t>
      </w:r>
    </w:p>
    <w:p w14:paraId="4B4F3E0A">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eastAsia" w:ascii="仿宋" w:hAnsi="仿宋" w:eastAsia="仿宋" w:cs="仿宋"/>
          <w:spacing w:val="34"/>
          <w:sz w:val="24"/>
          <w:szCs w:val="24"/>
          <w:lang w:val="en-US" w:eastAsia="zh-CN"/>
        </w:rPr>
      </w:pPr>
      <w:r>
        <w:rPr>
          <w:rFonts w:hint="eastAsia" w:ascii="仿宋" w:hAnsi="仿宋" w:eastAsia="仿宋" w:cs="仿宋"/>
          <w:spacing w:val="34"/>
          <w:sz w:val="24"/>
          <w:szCs w:val="24"/>
          <w:lang w:val="en-US" w:eastAsia="zh-CN"/>
        </w:rPr>
        <w:t>7、材料价差参考2025年10月杭锦旗、东胜区工程造价信息，对于工程造价信息没有发布价格信息的材料，参照定额测定价、广材网及市场价。</w:t>
      </w:r>
    </w:p>
    <w:p w14:paraId="1108EB49">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jc w:val="right"/>
        <w:textAlignment w:val="baseline"/>
        <w:rPr>
          <w:rFonts w:hint="eastAsia" w:ascii="仿宋" w:hAnsi="仿宋" w:eastAsia="仿宋" w:cs="仿宋"/>
          <w:spacing w:val="34"/>
          <w:sz w:val="24"/>
          <w:szCs w:val="24"/>
          <w:lang w:val="en-US" w:eastAsia="zh-CN"/>
        </w:rPr>
      </w:pPr>
    </w:p>
    <w:p w14:paraId="2A146CBF">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jc w:val="right"/>
        <w:textAlignment w:val="baseline"/>
        <w:rPr>
          <w:rFonts w:hint="eastAsia" w:ascii="仿宋" w:hAnsi="仿宋" w:eastAsia="仿宋" w:cs="仿宋"/>
          <w:spacing w:val="34"/>
          <w:sz w:val="24"/>
          <w:szCs w:val="24"/>
          <w:lang w:val="en-US" w:eastAsia="zh-CN"/>
        </w:rPr>
      </w:pPr>
    </w:p>
    <w:p w14:paraId="71D170E6">
      <w:pPr>
        <w:rPr>
          <w:rFonts w:hint="eastAsia"/>
          <w:lang w:val="en-US" w:eastAsia="zh-CN"/>
        </w:rPr>
      </w:pPr>
      <w:bookmarkStart w:id="0" w:name="_GoBack"/>
      <w:bookmarkEnd w:id="0"/>
    </w:p>
    <w:p w14:paraId="22BAB840">
      <w:pPr>
        <w:keepNext w:val="0"/>
        <w:keepLines w:val="0"/>
        <w:pageBreakBefore w:val="0"/>
        <w:widowControl/>
        <w:kinsoku w:val="0"/>
        <w:wordWrap/>
        <w:overflowPunct/>
        <w:topLinePunct w:val="0"/>
        <w:autoSpaceDE w:val="0"/>
        <w:autoSpaceDN w:val="0"/>
        <w:bidi w:val="0"/>
        <w:adjustRightInd w:val="0"/>
        <w:snapToGrid w:val="0"/>
        <w:spacing w:line="540" w:lineRule="exact"/>
        <w:ind w:firstLine="616" w:firstLineChars="200"/>
        <w:textAlignment w:val="baseline"/>
        <w:rPr>
          <w:rFonts w:hint="default" w:ascii="仿宋" w:hAnsi="仿宋" w:eastAsia="仿宋" w:cs="仿宋"/>
          <w:spacing w:val="34"/>
          <w:sz w:val="24"/>
          <w:szCs w:val="24"/>
          <w:lang w:val="en-US" w:eastAsia="zh-CN"/>
        </w:rPr>
      </w:pPr>
    </w:p>
    <w:sectPr>
      <w:pgSz w:w="11905" w:h="16840"/>
      <w:pgMar w:top="1440" w:right="1800" w:bottom="1440" w:left="1800"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TVhMWE5MDY4Mjc5YmRjYmU2YzE2ODg1ZTI2NmU4MDcifQ=="/>
    <w:docVar w:name="KSO_WPS_MARK_KEY" w:val="860536ac-94e7-4c8f-a558-baeff6a1f317"/>
  </w:docVars>
  <w:rsids>
    <w:rsidRoot w:val="00E12EF0"/>
    <w:rsid w:val="000E2B7E"/>
    <w:rsid w:val="001A5B82"/>
    <w:rsid w:val="004A6BDF"/>
    <w:rsid w:val="004D0C99"/>
    <w:rsid w:val="006130D0"/>
    <w:rsid w:val="0062637A"/>
    <w:rsid w:val="006842BB"/>
    <w:rsid w:val="00A64F9A"/>
    <w:rsid w:val="00A72727"/>
    <w:rsid w:val="00B23B29"/>
    <w:rsid w:val="00B87BB4"/>
    <w:rsid w:val="00BA4DDC"/>
    <w:rsid w:val="00CB3303"/>
    <w:rsid w:val="00D7522F"/>
    <w:rsid w:val="00E12EF0"/>
    <w:rsid w:val="00F73BA8"/>
    <w:rsid w:val="00F96F9E"/>
    <w:rsid w:val="029C3B08"/>
    <w:rsid w:val="02C976C5"/>
    <w:rsid w:val="05670DF1"/>
    <w:rsid w:val="05A3050F"/>
    <w:rsid w:val="05D830A9"/>
    <w:rsid w:val="062736E9"/>
    <w:rsid w:val="06F10B69"/>
    <w:rsid w:val="08C6543B"/>
    <w:rsid w:val="09774987"/>
    <w:rsid w:val="0B494599"/>
    <w:rsid w:val="0D0522AA"/>
    <w:rsid w:val="10802373"/>
    <w:rsid w:val="128D25BF"/>
    <w:rsid w:val="14BF5434"/>
    <w:rsid w:val="187D753B"/>
    <w:rsid w:val="198F7ACB"/>
    <w:rsid w:val="1B832FF3"/>
    <w:rsid w:val="1BF65BDF"/>
    <w:rsid w:val="1FED65EB"/>
    <w:rsid w:val="20971013"/>
    <w:rsid w:val="20A83220"/>
    <w:rsid w:val="2141562E"/>
    <w:rsid w:val="22151A80"/>
    <w:rsid w:val="22AD4B1E"/>
    <w:rsid w:val="23891BF0"/>
    <w:rsid w:val="26357304"/>
    <w:rsid w:val="26395046"/>
    <w:rsid w:val="26774F4F"/>
    <w:rsid w:val="27F76F67"/>
    <w:rsid w:val="2ACD2201"/>
    <w:rsid w:val="2E2D6352"/>
    <w:rsid w:val="2F542EF1"/>
    <w:rsid w:val="2F725125"/>
    <w:rsid w:val="3104265F"/>
    <w:rsid w:val="315847F2"/>
    <w:rsid w:val="3434509F"/>
    <w:rsid w:val="34A73978"/>
    <w:rsid w:val="3645019F"/>
    <w:rsid w:val="37CA01F4"/>
    <w:rsid w:val="3ADB2718"/>
    <w:rsid w:val="3BC419C2"/>
    <w:rsid w:val="3CBE557D"/>
    <w:rsid w:val="3D3F6F8E"/>
    <w:rsid w:val="3EBD1A70"/>
    <w:rsid w:val="3F2D5977"/>
    <w:rsid w:val="3FDB0AC5"/>
    <w:rsid w:val="41CC2DBB"/>
    <w:rsid w:val="42D83553"/>
    <w:rsid w:val="43B059CF"/>
    <w:rsid w:val="44867251"/>
    <w:rsid w:val="44DB094F"/>
    <w:rsid w:val="44EE4B49"/>
    <w:rsid w:val="45E348EC"/>
    <w:rsid w:val="470E79D1"/>
    <w:rsid w:val="47ED32A1"/>
    <w:rsid w:val="480F1C53"/>
    <w:rsid w:val="4B9132B3"/>
    <w:rsid w:val="4FD712A8"/>
    <w:rsid w:val="4FEA28BF"/>
    <w:rsid w:val="5012408F"/>
    <w:rsid w:val="51BF0246"/>
    <w:rsid w:val="520143BB"/>
    <w:rsid w:val="52495D62"/>
    <w:rsid w:val="52E02222"/>
    <w:rsid w:val="55C21E48"/>
    <w:rsid w:val="562E51AE"/>
    <w:rsid w:val="56707D61"/>
    <w:rsid w:val="56F42740"/>
    <w:rsid w:val="5809221B"/>
    <w:rsid w:val="591C7D2C"/>
    <w:rsid w:val="5B70610D"/>
    <w:rsid w:val="5D9F603C"/>
    <w:rsid w:val="5E4F2952"/>
    <w:rsid w:val="5E5F0DE7"/>
    <w:rsid w:val="5E9842F9"/>
    <w:rsid w:val="5FBC4017"/>
    <w:rsid w:val="600B1606"/>
    <w:rsid w:val="608F34D9"/>
    <w:rsid w:val="61181721"/>
    <w:rsid w:val="61B41449"/>
    <w:rsid w:val="64FE1EDD"/>
    <w:rsid w:val="6646288C"/>
    <w:rsid w:val="67F26828"/>
    <w:rsid w:val="67F81964"/>
    <w:rsid w:val="6AB04778"/>
    <w:rsid w:val="6B8A4FC9"/>
    <w:rsid w:val="6BAC3191"/>
    <w:rsid w:val="6D58745C"/>
    <w:rsid w:val="6E810905"/>
    <w:rsid w:val="700F3CEF"/>
    <w:rsid w:val="70366B8A"/>
    <w:rsid w:val="721113E9"/>
    <w:rsid w:val="726C367A"/>
    <w:rsid w:val="74311E72"/>
    <w:rsid w:val="74392BB2"/>
    <w:rsid w:val="79DC08AE"/>
    <w:rsid w:val="7A990D85"/>
    <w:rsid w:val="7CB4634A"/>
    <w:rsid w:val="7D4A1113"/>
    <w:rsid w:val="7F0D3AEF"/>
    <w:rsid w:val="7F8A15E4"/>
    <w:rsid w:val="7F91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Autospacing="1" w:afterAutospacing="1"/>
    </w:pPr>
    <w:rPr>
      <w:rFonts w:cs="Times New Roman"/>
      <w:sz w:val="24"/>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眉 Char"/>
    <w:basedOn w:val="6"/>
    <w:link w:val="3"/>
    <w:qFormat/>
    <w:uiPriority w:val="0"/>
    <w:rPr>
      <w:rFonts w:ascii="Arial" w:hAnsi="Arial" w:eastAsia="Arial" w:cs="Arial"/>
      <w:snapToGrid w:val="0"/>
      <w:color w:val="000000"/>
      <w:sz w:val="18"/>
      <w:szCs w:val="18"/>
    </w:rPr>
  </w:style>
  <w:style w:type="character" w:customStyle="1" w:styleId="9">
    <w:name w:val="页脚 Char"/>
    <w:basedOn w:val="6"/>
    <w:link w:val="2"/>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671</Words>
  <Characters>766</Characters>
  <Lines>5</Lines>
  <Paragraphs>1</Paragraphs>
  <TotalTime>0</TotalTime>
  <ScaleCrop>false</ScaleCrop>
  <LinksUpToDate>false</LinksUpToDate>
  <CharactersWithSpaces>804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2022-11-26T11:21:00Z</dcterms:created>
  <dc:creator>Administrator</dc:creator>
  <cp:keywords>GrandReport</cp:keywords>
  <cp:lastModifiedBy>不忘初心</cp:lastModifiedBy>
  <dcterms:modified xsi:type="dcterms:W3CDTF">2026-01-07T08:30:47Z</dcterms:modified>
  <dc:subject>None</dc:subject>
  <dc:title>GrandReport</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2022-11-26T11:21:49Z</vt:filetime>
  </property>
  <property fmtid="{D5CDD505-2E9C-101B-9397-08002B2CF9AE}" pid="4" name="KSOProductBuildVer">
    <vt:lpwstr>2052-12.1.0.24034</vt:lpwstr>
  </property>
  <property fmtid="{D5CDD505-2E9C-101B-9397-08002B2CF9AE}" pid="5" name="ICV">
    <vt:lpwstr>3A45C44F68924F8F9648C4B6154A8470</vt:lpwstr>
  </property>
  <property fmtid="{D5CDD505-2E9C-101B-9397-08002B2CF9AE}" pid="6" name="KSOTemplateDocerSaveRecord">
    <vt:lpwstr>eyJoZGlkIjoiZjY4NmRmN2Q1Mzc2NTE5NWI4ZDcwMWY3MjBhYzA4ZGEiLCJ1c2VySWQiOiIzNzEwOTI1MDIifQ==</vt:lpwstr>
  </property>
</Properties>
</file>