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杭锦经济开发区气防站装备智能提升项目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鄂尔多斯杭锦经济开发区管理委员会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内蒙古国盛诚安建设管理发展有限责任公司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ESZCHKS-G-H-250002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内蒙古国盛诚安建设管理发展有限责任公司</w:t>
      </w:r>
      <w:r>
        <w:rPr>
          <w:rFonts w:ascii="仿宋_GB2312" w:hAnsi="仿宋_GB2312" w:cs="仿宋_GB2312" w:eastAsia="仿宋_GB2312"/>
        </w:rPr>
        <w:t xml:space="preserve"> 受 </w:t>
      </w:r>
      <w:r>
        <w:rPr>
          <w:rFonts w:ascii="仿宋_GB2312" w:hAnsi="仿宋_GB2312" w:cs="仿宋_GB2312" w:eastAsia="仿宋_GB2312"/>
        </w:rPr>
        <w:t>鄂尔多斯杭锦经济开发区管理委员会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杭锦经济开发区气防站装备智能提升项目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杭锦经济开发区气防站装备智能提升项目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ESZCHKS-G-H-250002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433002[2025]00004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杭锦经济开发区气防站装备智能提升项目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3,900,000.00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内蒙古国盛诚安建设管理发展有限责任公司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呼和浩特市新城区腾飞北路兴泰大厦11楼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内蒙古国盛诚安建设管理发展有限责任公司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0471-5615150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鄂尔多斯杭锦经济开发区管理委员会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内蒙古鄂尔多斯市杭锦旗锡尼镇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赵旺</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18804928914</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代理服务费收费标准：以中标价为基数，参照内工建协（2022）34号文件收取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鄂尔多斯杭锦经济开发区管理委员会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内蒙古国盛诚安建设管理发展有限责任公司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2022或2023年度经会计师事务所出具的财务审计报告或其基本开户银行出具的近一年内的银行资信证明或具备良好的商业信誉和健全的财务会计制度声明函(如投标人为当年成立企业或工商个体户及自然人，可根据自身情况做出承诺)。</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提供递交投标文件截止之日前一年内（至少一个月）缴纳社会保险的凭证；（以专用收据或社会保险缴纳清单为准）。2.或提供有依法缴纳税收和社会保障资金的良好记录的承诺函(如供应商为当年成立企业或工商个体户及自然人，可根据自身情况做出承诺)。</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审查投标人出具的“具有履行合同所必须的设备和专业技术能力"声明函（格式自拟）。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审查投标人参加本次投标活动前3年内在经营活动中没有重大违法记录的书面声明函（格式自拟）。</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资格审查时，投标人未被列入失信被执行人、重大税收违法失信主体名单、政府采购严重违法失信行为记录名单，以资格审查时采购人现场查询为准。</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杭锦经济开发区气防站装备智能提升项目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合同签订之日起6个月内完成供货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鄂尔多斯市杭锦旗，具体以项目实际地点为准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1、合同签订7日内支付合同价款的30%，达到付款条件起7日，支付合同总金额的30.00%</w:t>
            </w:r>
          </w:p>
          <w:p>
            <w:pPr>
              <w:pStyle w:val="null5"/>
              <w:jc w:val="left"/>
            </w:pPr>
            <w:r>
              <w:rPr>
                <w:rFonts w:ascii="仿宋_GB2312" w:hAnsi="仿宋_GB2312" w:cs="仿宋_GB2312" w:eastAsia="仿宋_GB2312"/>
              </w:rPr>
              <w:t>2、供货完成验收合格后支付合同价款的70%，达到付款条件起7日，支付合同总金额的70.00%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标的名称：杭锦经济开发区气防站装备智能提升项目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rPr>
              <w:t>详细设备参数详见附件。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商务部分14.00分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技术响应</w:t>
            </w:r>
          </w:p>
        </w:tc>
        <w:tc>
          <w:tcPr>
            <w:tcW w:type="dxa" w:w="3115"/>
          </w:tcPr>
          <w:p>
            <w:pPr>
              <w:pStyle w:val="null5"/>
              <w:jc w:val="left"/>
            </w:pPr>
            <w:r>
              <w:rPr>
                <w:rFonts w:ascii="仿宋_GB2312" w:hAnsi="仿宋_GB2312" w:cs="仿宋_GB2312" w:eastAsia="仿宋_GB2312"/>
              </w:rPr>
              <w:t>投标人所投货物完全满足招标文件技术要求，▲参数为重要指标，需提供相关检测报告或相关佐证材料，每提供一种设备的佐证材料得1分，本项最多得10分。 （注：每种设备佐证材料需包含该设备下所有▲参数，每种设备下的▲参数可提供多个文件作为佐证材料，没有或提供不全不得分）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项目情况，视投标人提供的供货方案进行评审。内容应包括但不限于：①货物的包装、运输、装卸计划；②货物运输及现场交接人员配备；③到货交接方案；④运输损坏处理措施；⑤车辆上户等相关服务。包括以上内容但不限于以上内容，以上内容合理、完整、方案切实可行、针对性强、不存在不合理（瑕疵）或缺项的，得10分；每缺一项扣2分，存在不合理或瑕疵的，一项扣1-1.5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项目实施进度计划</w:t>
            </w:r>
          </w:p>
        </w:tc>
        <w:tc>
          <w:tcPr>
            <w:tcW w:type="dxa" w:w="3115"/>
          </w:tcPr>
          <w:p>
            <w:pPr>
              <w:pStyle w:val="null5"/>
              <w:jc w:val="left"/>
            </w:pPr>
            <w:r>
              <w:rPr>
                <w:rFonts w:ascii="仿宋_GB2312" w:hAnsi="仿宋_GB2312" w:cs="仿宋_GB2312" w:eastAsia="仿宋_GB2312"/>
              </w:rPr>
              <w:t>根据项目情况，视投标人提供的项目实施进度计划进行评审。内容应包括但不限于：①项目整体实施进度保障措施；②时间节点滞后补救措施；③供货进度保障措施；④整体供货服务时间节点保障措施。包括以上内容但不限于以上内容，以上内容合理、完整、进度计划切实可行、针对性强、不存在不合理（瑕疵）或缺项的，得10分；每缺一项扣2.5分，存在不合理或瑕疵的，一项扣1-2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项目情况，视投标人提供的质量保证措施进行评审。内容应包括但不限于：①产品质量保证措施；②产品稳定性、安全性；③产品质量保障承诺；④设备故障解决预案。包括以上内容但不限于以上内容，以上内容合理、完整、保障措施切实可行、针对性强、不存在不合理（瑕疵）或缺项的，得10分；每缺一项扣2.5分，存在不合理或瑕疵的，一项扣1-2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项目情况，视投标人提供的培训方案进行评审。内容应包括但不限于：①培训内容、方式及培训人员安排；②故障预防、分析、解决措施等培训内容；③培训时间、培训进度安排。包括以上内容但不限于以上内容，以上内容合理、完整、培训方案切实可行、针对性强、不存在不合理（瑕疵）或缺项的，得6分；每缺一项扣2分，存在不合理或瑕疵的，一项扣1-1.5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验收方案</w:t>
            </w:r>
          </w:p>
        </w:tc>
        <w:tc>
          <w:tcPr>
            <w:tcW w:type="dxa" w:w="3115"/>
          </w:tcPr>
          <w:p>
            <w:pPr>
              <w:pStyle w:val="null5"/>
              <w:jc w:val="left"/>
            </w:pPr>
            <w:r>
              <w:rPr>
                <w:rFonts w:ascii="仿宋_GB2312" w:hAnsi="仿宋_GB2312" w:cs="仿宋_GB2312" w:eastAsia="仿宋_GB2312"/>
              </w:rPr>
              <w:t>根据项目情况，视投标人提供的验收服务方案进行评审。内容应包括但不限于：①货物性能验收、功能检查方案；②技术资料、文件核对移交安排；③货物数量、外观及质量的全面验收检查方案。包括以上内容但不限于以上内容，以上内容合理、完整、验收方案切实可行、针对性强、不存在不合理（瑕疵）或缺项的，得6分；每缺一项扣2分，存在不合理或瑕疵的，一项扣1-1.5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w:t>
            </w:r>
          </w:p>
        </w:tc>
        <w:tc>
          <w:tcPr>
            <w:tcW w:type="dxa" w:w="3115"/>
          </w:tcPr>
          <w:p>
            <w:pPr>
              <w:pStyle w:val="null5"/>
              <w:jc w:val="left"/>
            </w:pPr>
            <w:r>
              <w:rPr>
                <w:rFonts w:ascii="仿宋_GB2312" w:hAnsi="仿宋_GB2312" w:cs="仿宋_GB2312" w:eastAsia="仿宋_GB2312"/>
              </w:rPr>
              <w:t>根据项目情况，视投标人提供的应急预案进行评审。内容应包括但不限于：①应急管理预案（运输过程、货物损坏等可能出现的紧急状况）；②应急保障措施（人员保障、技术保障等应急措施）。包括以上内容但不限于以上内容，以上内容合理、完整、应急预案切实可行、针对性强、不存在不合理（瑕疵）或缺项的，得4分；每缺一项扣2分，存在不合理或瑕疵的，一项扣1-1.5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相关业绩</w:t>
            </w:r>
          </w:p>
        </w:tc>
        <w:tc>
          <w:tcPr>
            <w:tcW w:type="dxa" w:w="3115"/>
          </w:tcPr>
          <w:p>
            <w:pPr>
              <w:pStyle w:val="null5"/>
              <w:jc w:val="left"/>
            </w:pPr>
            <w:r>
              <w:rPr>
                <w:rFonts w:ascii="仿宋_GB2312" w:hAnsi="仿宋_GB2312" w:cs="仿宋_GB2312" w:eastAsia="仿宋_GB2312"/>
              </w:rPr>
              <w:t>近三年（2022年01月至今）投标人承揽过与本项目类似的供货业绩，每提供一份得4分，最多得8分。 注：1.须提供佐证材料（以中标通知书或合同为准）。时间以合同签订时间或中标通知书发出时间为准。 2.类似业绩指消防类设备的供货业绩。</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项目情况，视投标人提供的售后服务进行评审。内容应包括但不限于：①售后服务内容及售后保障措施；②故障响应时间及故障维修处理措施以及技术支持、技术指导；③质保期满后的售后服务内容（零配件供应、维护保养服务等服务内容）。包括以上内容但不限于以上内容，以上内容合理、完整、售后服务方案切实可行、针对性强、不存在不合理（瑕疵）或缺项的，得6分；每缺一项扣2分，存在不合理或瑕疵的，一项扣1-1.5分，扣完为止。（本项所指“不合理或瑕疵”是指内容不完整或缺少关键点；非专门针对本项目或不适用本项目特性、套用其他项目内容；存在逻辑漏洞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