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嘎鲁图镇城区通讯网络升级改造项目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乌审旗工信和科技局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内蒙古元鸿项目管理有限公司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ESZCWSS-G-F-250006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内蒙古元鸿项目管理有限公司</w:t>
      </w:r>
      <w:r>
        <w:rPr>
          <w:rFonts w:ascii="仿宋_GB2312" w:hAnsi="仿宋_GB2312" w:cs="仿宋_GB2312" w:eastAsia="仿宋_GB2312"/>
        </w:rPr>
        <w:t xml:space="preserve"> 受 </w:t>
      </w:r>
      <w:r>
        <w:rPr>
          <w:rFonts w:ascii="仿宋_GB2312" w:hAnsi="仿宋_GB2312" w:cs="仿宋_GB2312" w:eastAsia="仿宋_GB2312"/>
        </w:rPr>
        <w:t>乌审旗工信和科技局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嘎鲁图镇城区通讯网络升级改造项目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嘎鲁图镇城区通讯网络升级改造项目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BUYPLANNUM[2025]00147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嘎鲁图镇城区通讯网络升级改造项目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信息传输业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1、特定资格要求：投标人须具备基础电信业务经营许可证或具备通信工程施工总承包二级（含）以上资质。（投标文件须附证书扫描件）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内蒙古元鸿项目管理有限公司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鄂尔多斯市伊金霍洛旗水岸金钻东塔20楼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赵晓磊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17604871807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乌审旗工信和科技局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张小龙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04777581933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招标代理服务费参照《内蒙古自治区建设工程招标代理服务收费指导意见》（内工建协(2022)34号）中“招标代理服务收费方法，招标代理服务收费实行差额定率累进法计取”，具体收费金额在基准价格基础上下浮8%。</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乌审旗工信和科技局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内蒙古元鸿项目管理有限公司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审查投标人营业执照等证明文件或者其他身份证明。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具有良好的商业信誉和健全的财务会计制度，具备2022年度或2023年度财务审计报告或其基本开户银行近一年内出具的资信证明（响应文件须附复印件）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次招标接受联合体投标，且应满足下列要求:(1)联合体各方应按招标文件提供的格式签订联合体协议书，明确联合体牵头人和各方权利义务，联合体各方就中标项目向招标人承担连带责任。(2)联合体协议书约定同一专业分工由两个及以上单位共同承担的，按照就低不就高的原则确定联合体的资质;不同专业分工由不同单位分别承担的按照各单位的相应资质确定联合体的资质。联合体牵头人和联合体成员按专业分工确定的联合体资质须满足招标文件的要求。 (3)联合体各方不得再以自己名义单独或参加其他联合体在本招标项目中投标。(4)联合体牵头人代表所有联合体成员负责投标和合同实施工作。(5)联合体各方的业绩均可作为该联合体的业绩:(6)联合体各方的奖项均可作为该联合体的奖项;(7)本项目中要求的人员可以是任意一个联合体成员的人员，但必须在本单位工作。</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投标人须具备基础电信业务经营许可证或具备通信工程施工总承包二级（含）以上资质。（投标文件须附证书扫描件）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为进一步增强全旗网络基础保障能力，提升通信安全应急水平，满足公众对高效、便捷网络服务的需求，持续促进城区整洁优美、规范有序、安全和谐，实施嘎鲁图镇城区通讯网络升级改造服务项目。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1、签订合同服务开始后付合同价款的30%，达到付款条件起10日，支付合同总金额的30.00%</w:t>
            </w:r>
          </w:p>
          <w:p>
            <w:pPr>
              <w:pStyle w:val="null5"/>
              <w:jc w:val="left"/>
            </w:pPr>
            <w:r>
              <w:rPr>
                <w:rFonts w:ascii="仿宋_GB2312" w:hAnsi="仿宋_GB2312" w:cs="仿宋_GB2312" w:eastAsia="仿宋_GB2312"/>
              </w:rPr>
              <w:t>2、服务进度达到60%后付合同价款的30%，达到付款条件起10日，支付合同总金额的30.00%</w:t>
            </w:r>
          </w:p>
          <w:p>
            <w:pPr>
              <w:pStyle w:val="null5"/>
              <w:jc w:val="left"/>
            </w:pPr>
            <w:r>
              <w:rPr>
                <w:rFonts w:ascii="仿宋_GB2312" w:hAnsi="仿宋_GB2312" w:cs="仿宋_GB2312" w:eastAsia="仿宋_GB2312"/>
              </w:rPr>
              <w:t>3、服务进度达到90%后付合同价款的30%，达到付款条件起10日，支付合同总金额的30.00%</w:t>
            </w:r>
          </w:p>
          <w:p>
            <w:pPr>
              <w:pStyle w:val="null5"/>
              <w:jc w:val="left"/>
            </w:pPr>
            <w:r>
              <w:rPr>
                <w:rFonts w:ascii="仿宋_GB2312" w:hAnsi="仿宋_GB2312" w:cs="仿宋_GB2312" w:eastAsia="仿宋_GB2312"/>
              </w:rPr>
              <w:t>4、升级改造完成并经验收合格后付合同价款的10%，达到付款条件起10日，支付合同总金额的10.00%</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服务期：合同签订后至2025年06月30日前完成</w:t>
              <w:br/>
              <w:t>服务地点：采购人约定地点</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标的名称：嘎鲁图镇城区通讯网络升级改造项目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left="420"/>
              <w:jc w:val="left"/>
            </w:pPr>
            <w:r>
              <w:rPr>
                <w:rFonts w:ascii="仿宋_GB2312" w:hAnsi="仿宋_GB2312" w:cs="仿宋_GB2312" w:eastAsia="仿宋_GB2312"/>
                <w:sz w:val="21"/>
                <w:b/>
              </w:rPr>
              <w:t>一、项目范围</w:t>
            </w:r>
          </w:p>
          <w:p>
            <w:pPr>
              <w:pStyle w:val="null5"/>
              <w:ind w:firstLine="420"/>
              <w:jc w:val="both"/>
            </w:pPr>
            <w:r>
              <w:rPr>
                <w:rFonts w:ascii="仿宋_GB2312" w:hAnsi="仿宋_GB2312" w:cs="仿宋_GB2312" w:eastAsia="仿宋_GB2312"/>
                <w:sz w:val="21"/>
              </w:rPr>
              <w:t>嘎鲁图镇城区范围内部分主次干道、住宅小区、平房区、支路小巷、公共场所线路及电信通讯设备</w:t>
            </w:r>
            <w:r>
              <w:rPr>
                <w:rFonts w:ascii="仿宋_GB2312" w:hAnsi="仿宋_GB2312" w:cs="仿宋_GB2312" w:eastAsia="仿宋_GB2312"/>
                <w:sz w:val="21"/>
              </w:rPr>
              <w:t>升级改造</w:t>
            </w:r>
            <w:r>
              <w:rPr>
                <w:rFonts w:ascii="仿宋_GB2312" w:hAnsi="仿宋_GB2312" w:cs="仿宋_GB2312" w:eastAsia="仿宋_GB2312"/>
                <w:sz w:val="21"/>
              </w:rPr>
              <w:t>等。具体为（包括以下且不限于以下范围）：</w:t>
            </w:r>
          </w:p>
          <w:p>
            <w:pPr>
              <w:pStyle w:val="null5"/>
              <w:ind w:left="420"/>
              <w:jc w:val="left"/>
            </w:pPr>
            <w:r>
              <w:rPr>
                <w:rFonts w:ascii="仿宋_GB2312" w:hAnsi="仿宋_GB2312" w:cs="仿宋_GB2312" w:eastAsia="仿宋_GB2312"/>
                <w:sz w:val="21"/>
                <w:b/>
              </w:rPr>
              <w:t>（一）主要街道及次干道（计</w:t>
            </w:r>
            <w:r>
              <w:rPr>
                <w:rFonts w:ascii="仿宋_GB2312" w:hAnsi="仿宋_GB2312" w:cs="仿宋_GB2312" w:eastAsia="仿宋_GB2312"/>
                <w:sz w:val="21"/>
                <w:b/>
              </w:rPr>
              <w:t>3条）</w:t>
            </w:r>
          </w:p>
          <w:p>
            <w:pPr>
              <w:pStyle w:val="null5"/>
              <w:ind w:firstLine="420"/>
              <w:jc w:val="both"/>
            </w:pPr>
            <w:r>
              <w:rPr>
                <w:rFonts w:ascii="仿宋_GB2312" w:hAnsi="仿宋_GB2312" w:cs="仿宋_GB2312" w:eastAsia="仿宋_GB2312"/>
                <w:sz w:val="21"/>
              </w:rPr>
              <w:t>萨拉乌苏街、达布察克路、苏里格街。</w:t>
            </w:r>
          </w:p>
          <w:p>
            <w:pPr>
              <w:pStyle w:val="null5"/>
              <w:ind w:left="420"/>
              <w:jc w:val="left"/>
            </w:pPr>
            <w:r>
              <w:rPr>
                <w:rFonts w:ascii="仿宋_GB2312" w:hAnsi="仿宋_GB2312" w:cs="仿宋_GB2312" w:eastAsia="仿宋_GB2312"/>
                <w:sz w:val="21"/>
                <w:b/>
              </w:rPr>
              <w:t>（二）平房住宅（计</w:t>
            </w:r>
            <w:r>
              <w:rPr>
                <w:rFonts w:ascii="仿宋_GB2312" w:hAnsi="仿宋_GB2312" w:cs="仿宋_GB2312" w:eastAsia="仿宋_GB2312"/>
                <w:sz w:val="21"/>
                <w:b/>
              </w:rPr>
              <w:t>20处）</w:t>
            </w:r>
          </w:p>
          <w:p>
            <w:pPr>
              <w:pStyle w:val="null5"/>
              <w:ind w:firstLine="420"/>
              <w:jc w:val="both"/>
            </w:pPr>
            <w:r>
              <w:rPr>
                <w:rFonts w:ascii="仿宋_GB2312" w:hAnsi="仿宋_GB2312" w:cs="仿宋_GB2312" w:eastAsia="仿宋_GB2312"/>
                <w:sz w:val="21"/>
              </w:rPr>
              <w:t>林荫路北四区（畜牧局平房区）；锡尼路北一区（明星幼儿园平房区）；达布察克路东平房</w:t>
            </w:r>
            <w:r>
              <w:rPr>
                <w:rFonts w:ascii="仿宋_GB2312" w:hAnsi="仿宋_GB2312" w:cs="仿宋_GB2312" w:eastAsia="仿宋_GB2312"/>
                <w:sz w:val="21"/>
              </w:rPr>
              <w:t>、</w:t>
            </w:r>
            <w:r>
              <w:rPr>
                <w:rFonts w:ascii="仿宋_GB2312" w:hAnsi="仿宋_GB2312" w:cs="仿宋_GB2312" w:eastAsia="仿宋_GB2312"/>
                <w:sz w:val="21"/>
              </w:rPr>
              <w:t>劳动力小区（一马路车站平房区）；巴音路北五区（独贵龙平房区）；林荫路北四区、北三区（福海平房区）；林荫路北一区（赛马场平房区）；林荫路北五区（广播电视局平房区）；达布察克北一区、二区</w:t>
            </w:r>
            <w:r>
              <w:rPr>
                <w:rFonts w:ascii="仿宋_GB2312" w:hAnsi="仿宋_GB2312" w:cs="仿宋_GB2312" w:eastAsia="仿宋_GB2312"/>
                <w:sz w:val="21"/>
              </w:rPr>
              <w:t>1-7栋（嘎鲁图北平房区）；锡尼路北二区（旧博仁医院平房区）；巴音路北四区（社保局西平房区）；奥腾花园北侧平房区（锡尼路北五区）；锡尼路北二区（妇幼保健院平房区）；锡尼路北五区（鑫源宾馆）；锡尼路北三区（一市场平房区）；达布察克路北三区、谷世林小区（中天丽府东平房区）；第一派出所南侧平房区（达布察克路北六区、三和小区及平房区）；达布察克路北五区（人大巷西平房区、乡企小区和政府统建楼）；达布察克路北二区（蒙医院北平房区）；司法局平房区；巴音路北一区（高级中学南侧平房区）。</w:t>
            </w:r>
          </w:p>
          <w:p>
            <w:pPr>
              <w:pStyle w:val="null5"/>
              <w:ind w:left="420"/>
              <w:jc w:val="left"/>
            </w:pPr>
            <w:r>
              <w:rPr>
                <w:rFonts w:ascii="仿宋_GB2312" w:hAnsi="仿宋_GB2312" w:cs="仿宋_GB2312" w:eastAsia="仿宋_GB2312"/>
                <w:sz w:val="21"/>
                <w:b/>
              </w:rPr>
              <w:t>（三）支路小巷（名称为俗名，计</w:t>
            </w:r>
            <w:r>
              <w:rPr>
                <w:rFonts w:ascii="仿宋_GB2312" w:hAnsi="仿宋_GB2312" w:cs="仿宋_GB2312" w:eastAsia="仿宋_GB2312"/>
                <w:sz w:val="21"/>
                <w:b/>
              </w:rPr>
              <w:t>3条）</w:t>
            </w:r>
          </w:p>
          <w:p>
            <w:pPr>
              <w:pStyle w:val="null5"/>
              <w:ind w:firstLine="420"/>
              <w:jc w:val="both"/>
            </w:pPr>
            <w:r>
              <w:rPr>
                <w:rFonts w:ascii="仿宋_GB2312" w:hAnsi="仿宋_GB2312" w:cs="仿宋_GB2312" w:eastAsia="仿宋_GB2312"/>
                <w:sz w:val="21"/>
              </w:rPr>
              <w:t>旧旗政府东巷、鑫世泰小区东巷、旧旗政府西巷（档案局西巷）</w:t>
            </w:r>
          </w:p>
          <w:p>
            <w:pPr>
              <w:pStyle w:val="null5"/>
              <w:ind w:left="420"/>
              <w:jc w:val="left"/>
            </w:pPr>
            <w:r>
              <w:rPr>
                <w:rFonts w:ascii="仿宋_GB2312" w:hAnsi="仿宋_GB2312" w:cs="仿宋_GB2312" w:eastAsia="仿宋_GB2312"/>
                <w:sz w:val="21"/>
                <w:b/>
              </w:rPr>
              <w:t>二、</w:t>
            </w:r>
            <w:r>
              <w:rPr>
                <w:rFonts w:ascii="仿宋_GB2312" w:hAnsi="仿宋_GB2312" w:cs="仿宋_GB2312" w:eastAsia="仿宋_GB2312"/>
                <w:sz w:val="21"/>
                <w:b/>
              </w:rPr>
              <w:t>升级改造</w:t>
            </w:r>
            <w:r>
              <w:rPr>
                <w:rFonts w:ascii="仿宋_GB2312" w:hAnsi="仿宋_GB2312" w:cs="仿宋_GB2312" w:eastAsia="仿宋_GB2312"/>
                <w:sz w:val="21"/>
                <w:b/>
              </w:rPr>
              <w:t>内容：</w:t>
            </w:r>
          </w:p>
          <w:p>
            <w:pPr>
              <w:pStyle w:val="null5"/>
              <w:ind w:firstLine="420"/>
              <w:jc w:val="both"/>
            </w:pPr>
            <w:r>
              <w:rPr>
                <w:rFonts w:ascii="仿宋_GB2312" w:hAnsi="仿宋_GB2312" w:cs="仿宋_GB2312" w:eastAsia="仿宋_GB2312"/>
                <w:sz w:val="21"/>
              </w:rPr>
              <w:t>优先采取集中下地方式，如不具备下地条件，按照适地适宜方式进行</w:t>
            </w:r>
            <w:r>
              <w:rPr>
                <w:rFonts w:ascii="仿宋_GB2312" w:hAnsi="仿宋_GB2312" w:cs="仿宋_GB2312" w:eastAsia="仿宋_GB2312"/>
                <w:sz w:val="21"/>
              </w:rPr>
              <w:t>升级改造</w:t>
            </w:r>
            <w:r>
              <w:rPr>
                <w:rFonts w:ascii="仿宋_GB2312" w:hAnsi="仿宋_GB2312" w:cs="仿宋_GB2312" w:eastAsia="仿宋_GB2312"/>
                <w:sz w:val="21"/>
              </w:rPr>
              <w:t>。</w:t>
            </w:r>
            <w:r>
              <w:rPr>
                <w:rFonts w:ascii="仿宋_GB2312" w:hAnsi="仿宋_GB2312" w:cs="仿宋_GB2312" w:eastAsia="仿宋_GB2312"/>
                <w:sz w:val="21"/>
              </w:rPr>
              <w:t>实施</w:t>
            </w:r>
            <w:r>
              <w:rPr>
                <w:rFonts w:ascii="仿宋_GB2312" w:hAnsi="仿宋_GB2312" w:cs="仿宋_GB2312" w:eastAsia="仿宋_GB2312"/>
                <w:sz w:val="21"/>
              </w:rPr>
              <w:t>前要对每个</w:t>
            </w:r>
            <w:r>
              <w:rPr>
                <w:rFonts w:ascii="仿宋_GB2312" w:hAnsi="仿宋_GB2312" w:cs="仿宋_GB2312" w:eastAsia="仿宋_GB2312"/>
                <w:sz w:val="21"/>
              </w:rPr>
              <w:t>升级改造</w:t>
            </w:r>
            <w:r>
              <w:rPr>
                <w:rFonts w:ascii="仿宋_GB2312" w:hAnsi="仿宋_GB2312" w:cs="仿宋_GB2312" w:eastAsia="仿宋_GB2312"/>
                <w:sz w:val="21"/>
              </w:rPr>
              <w:t>单元制定</w:t>
            </w:r>
            <w:r>
              <w:rPr>
                <w:rFonts w:ascii="仿宋_GB2312" w:hAnsi="仿宋_GB2312" w:cs="仿宋_GB2312" w:eastAsia="仿宋_GB2312"/>
                <w:sz w:val="21"/>
              </w:rPr>
              <w:t>实施</w:t>
            </w:r>
            <w:r>
              <w:rPr>
                <w:rFonts w:ascii="仿宋_GB2312" w:hAnsi="仿宋_GB2312" w:cs="仿宋_GB2312" w:eastAsia="仿宋_GB2312"/>
                <w:sz w:val="21"/>
              </w:rPr>
              <w:t>方案，</w:t>
            </w:r>
            <w:r>
              <w:rPr>
                <w:rFonts w:ascii="仿宋_GB2312" w:hAnsi="仿宋_GB2312" w:cs="仿宋_GB2312" w:eastAsia="仿宋_GB2312"/>
                <w:sz w:val="21"/>
              </w:rPr>
              <w:t>实施</w:t>
            </w:r>
            <w:r>
              <w:rPr>
                <w:rFonts w:ascii="仿宋_GB2312" w:hAnsi="仿宋_GB2312" w:cs="仿宋_GB2312" w:eastAsia="仿宋_GB2312"/>
                <w:sz w:val="21"/>
              </w:rPr>
              <w:t>过程中要撰写施工日志并留存。具体标准如下（包括以下且不限于以下标准）：</w:t>
            </w:r>
          </w:p>
          <w:p>
            <w:pPr>
              <w:pStyle w:val="null5"/>
              <w:ind w:left="420"/>
              <w:jc w:val="left"/>
            </w:pPr>
            <w:r>
              <w:rPr>
                <w:rFonts w:ascii="仿宋_GB2312" w:hAnsi="仿宋_GB2312" w:cs="仿宋_GB2312" w:eastAsia="仿宋_GB2312"/>
                <w:sz w:val="21"/>
                <w:b/>
              </w:rPr>
              <w:t>（一）主次干道</w:t>
            </w:r>
          </w:p>
          <w:p>
            <w:pPr>
              <w:pStyle w:val="null5"/>
              <w:ind w:firstLine="420"/>
              <w:jc w:val="both"/>
            </w:pPr>
            <w:r>
              <w:rPr>
                <w:rFonts w:ascii="仿宋_GB2312" w:hAnsi="仿宋_GB2312" w:cs="仿宋_GB2312" w:eastAsia="仿宋_GB2312"/>
                <w:sz w:val="21"/>
              </w:rPr>
              <w:t>综合考虑下地条件、现实状况，优先采取集中下地方式，如不具备下地条件，则采取集中走线和规范捆扎方式进行</w:t>
            </w:r>
            <w:r>
              <w:rPr>
                <w:rFonts w:ascii="仿宋_GB2312" w:hAnsi="仿宋_GB2312" w:cs="仿宋_GB2312" w:eastAsia="仿宋_GB2312"/>
                <w:sz w:val="21"/>
              </w:rPr>
              <w:t>改造</w:t>
            </w:r>
            <w:r>
              <w:rPr>
                <w:rFonts w:ascii="仿宋_GB2312" w:hAnsi="仿宋_GB2312" w:cs="仿宋_GB2312" w:eastAsia="仿宋_GB2312"/>
                <w:sz w:val="21"/>
              </w:rPr>
              <w:t>。具体为：</w:t>
            </w:r>
          </w:p>
          <w:p>
            <w:pPr>
              <w:pStyle w:val="null5"/>
              <w:ind w:firstLine="420"/>
              <w:jc w:val="both"/>
            </w:pPr>
            <w:r>
              <w:rPr>
                <w:rFonts w:ascii="仿宋_GB2312" w:hAnsi="仿宋_GB2312" w:cs="仿宋_GB2312" w:eastAsia="仿宋_GB2312"/>
                <w:sz w:val="21"/>
              </w:rPr>
              <w:t>1、光缆</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⑴开挖</w:t>
            </w:r>
            <w:r>
              <w:rPr>
                <w:rFonts w:ascii="仿宋_GB2312" w:hAnsi="仿宋_GB2312" w:cs="仿宋_GB2312" w:eastAsia="仿宋_GB2312"/>
                <w:sz w:val="21"/>
              </w:rPr>
              <w:t>光</w:t>
            </w:r>
            <w:r>
              <w:rPr>
                <w:rFonts w:ascii="仿宋_GB2312" w:hAnsi="仿宋_GB2312" w:cs="仿宋_GB2312" w:eastAsia="仿宋_GB2312"/>
                <w:sz w:val="21"/>
              </w:rPr>
              <w:t>缆沟、</w:t>
            </w:r>
            <w:r>
              <w:rPr>
                <w:rFonts w:ascii="仿宋_GB2312" w:hAnsi="仿宋_GB2312" w:cs="仿宋_GB2312" w:eastAsia="仿宋_GB2312"/>
                <w:sz w:val="21"/>
              </w:rPr>
              <w:t>回填及恢复面包砖；</w:t>
            </w:r>
            <w:r>
              <w:rPr>
                <w:rFonts w:ascii="仿宋_GB2312" w:hAnsi="仿宋_GB2312" w:cs="仿宋_GB2312" w:eastAsia="仿宋_GB2312"/>
                <w:sz w:val="21"/>
              </w:rPr>
              <w:t>⑵地埋PVC管；⑶敷设光缆；⑷光纤熔接；⑸新设接头盒。</w:t>
            </w:r>
          </w:p>
          <w:p>
            <w:pPr>
              <w:pStyle w:val="null5"/>
              <w:ind w:firstLine="420"/>
              <w:jc w:val="both"/>
            </w:pPr>
            <w:r>
              <w:rPr>
                <w:rFonts w:ascii="仿宋_GB2312" w:hAnsi="仿宋_GB2312" w:cs="仿宋_GB2312" w:eastAsia="仿宋_GB2312"/>
                <w:sz w:val="21"/>
              </w:rPr>
              <w:t>2、整理拆除：⑴拆除废弃光缆；⑵拆除电杆。</w:t>
            </w:r>
          </w:p>
          <w:p>
            <w:pPr>
              <w:pStyle w:val="null5"/>
              <w:ind w:left="420"/>
              <w:jc w:val="left"/>
            </w:pPr>
            <w:r>
              <w:rPr>
                <w:rFonts w:ascii="仿宋_GB2312" w:hAnsi="仿宋_GB2312" w:cs="仿宋_GB2312" w:eastAsia="仿宋_GB2312"/>
                <w:sz w:val="21"/>
                <w:b/>
              </w:rPr>
              <w:t>（二）平房住宅</w:t>
            </w:r>
          </w:p>
          <w:p>
            <w:pPr>
              <w:pStyle w:val="null5"/>
              <w:ind w:firstLine="420"/>
              <w:jc w:val="both"/>
            </w:pPr>
            <w:r>
              <w:rPr>
                <w:rFonts w:ascii="仿宋_GB2312" w:hAnsi="仿宋_GB2312" w:cs="仿宋_GB2312" w:eastAsia="仿宋_GB2312"/>
                <w:sz w:val="21"/>
              </w:rPr>
              <w:t>主要以整治和规范为主，由于客观原因，楼栋之间确有主线架通，识别并清除所有废线，其余线缆下地，如特因无法下地的楼栋与楼栋之间只集中一束线，其余所有管线顺墙顺线顺沟，布放要横平坚直、捆扎整齐、标识清晰，街区、巷内、小区内不得出现</w:t>
            </w:r>
            <w:r>
              <w:rPr>
                <w:rFonts w:ascii="仿宋_GB2312" w:hAnsi="仿宋_GB2312" w:cs="仿宋_GB2312" w:eastAsia="仿宋_GB2312"/>
                <w:sz w:val="21"/>
              </w:rPr>
              <w:t>“飞线”。全部采取下地、入内方式进行整治，消除所有在外线路。具体为：</w:t>
            </w:r>
          </w:p>
          <w:p>
            <w:pPr>
              <w:pStyle w:val="null5"/>
              <w:ind w:firstLine="420"/>
              <w:jc w:val="both"/>
            </w:pPr>
            <w:r>
              <w:rPr>
                <w:rFonts w:ascii="仿宋_GB2312" w:hAnsi="仿宋_GB2312" w:cs="仿宋_GB2312" w:eastAsia="仿宋_GB2312"/>
                <w:sz w:val="21"/>
              </w:rPr>
              <w:t>1、光缆</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⑴开挖电缆沟、回填及恢复面包砖；⑵砖砌检查井；⑶地埋梅花管、PE管，埋设光缆；⑷敷设光缆；⑸新设引上钢管；⑹光纤熔接；⑺新设接头盒；⑻熔纤成端；⑼新设光交箱、分纤箱、尾纤、跳纤、分光器、皮线；⑽汽车式高空作业车。</w:t>
            </w:r>
          </w:p>
          <w:p>
            <w:pPr>
              <w:pStyle w:val="null5"/>
              <w:ind w:firstLine="420"/>
              <w:jc w:val="both"/>
            </w:pPr>
            <w:r>
              <w:rPr>
                <w:rFonts w:ascii="仿宋_GB2312" w:hAnsi="仿宋_GB2312" w:cs="仿宋_GB2312" w:eastAsia="仿宋_GB2312"/>
                <w:sz w:val="21"/>
              </w:rPr>
              <w:t>2、整理拆除：⑴拆除光缆、⑵拆除光交箱、⑶拆除线杆。</w:t>
            </w:r>
          </w:p>
          <w:p>
            <w:pPr>
              <w:pStyle w:val="null5"/>
              <w:ind w:left="420"/>
              <w:jc w:val="left"/>
            </w:pPr>
            <w:r>
              <w:rPr>
                <w:rFonts w:ascii="仿宋_GB2312" w:hAnsi="仿宋_GB2312" w:cs="仿宋_GB2312" w:eastAsia="仿宋_GB2312"/>
                <w:sz w:val="21"/>
                <w:b/>
              </w:rPr>
              <w:t>（三）支路小巷</w:t>
            </w:r>
          </w:p>
          <w:p>
            <w:pPr>
              <w:pStyle w:val="null5"/>
              <w:ind w:firstLine="420"/>
              <w:jc w:val="both"/>
            </w:pPr>
            <w:r>
              <w:rPr>
                <w:rFonts w:ascii="仿宋_GB2312" w:hAnsi="仿宋_GB2312" w:cs="仿宋_GB2312" w:eastAsia="仿宋_GB2312"/>
                <w:sz w:val="21"/>
              </w:rPr>
              <w:t>综合考虑下地条件、现实状况，优先采取集中下地方式，如不具备下地条件，则采取集中走线和规范捆扎方式进行</w:t>
            </w:r>
            <w:r>
              <w:rPr>
                <w:rFonts w:ascii="仿宋_GB2312" w:hAnsi="仿宋_GB2312" w:cs="仿宋_GB2312" w:eastAsia="仿宋_GB2312"/>
                <w:sz w:val="21"/>
              </w:rPr>
              <w:t>升级改造</w:t>
            </w:r>
            <w:r>
              <w:rPr>
                <w:rFonts w:ascii="仿宋_GB2312" w:hAnsi="仿宋_GB2312" w:cs="仿宋_GB2312" w:eastAsia="仿宋_GB2312"/>
                <w:sz w:val="21"/>
              </w:rPr>
              <w:t>。具体为：</w:t>
            </w:r>
          </w:p>
          <w:p>
            <w:pPr>
              <w:pStyle w:val="null5"/>
              <w:ind w:firstLine="420"/>
              <w:jc w:val="both"/>
            </w:pPr>
            <w:r>
              <w:rPr>
                <w:rFonts w:ascii="仿宋_GB2312" w:hAnsi="仿宋_GB2312" w:cs="仿宋_GB2312" w:eastAsia="仿宋_GB2312"/>
                <w:sz w:val="21"/>
              </w:rPr>
              <w:t>1、光缆</w:t>
            </w:r>
            <w:r>
              <w:rPr>
                <w:rFonts w:ascii="仿宋_GB2312" w:hAnsi="仿宋_GB2312" w:cs="仿宋_GB2312" w:eastAsia="仿宋_GB2312"/>
                <w:sz w:val="21"/>
              </w:rPr>
              <w:t>部分</w:t>
            </w:r>
            <w:r>
              <w:rPr>
                <w:rFonts w:ascii="仿宋_GB2312" w:hAnsi="仿宋_GB2312" w:cs="仿宋_GB2312" w:eastAsia="仿宋_GB2312"/>
                <w:sz w:val="21"/>
              </w:rPr>
              <w:t>：</w:t>
            </w:r>
            <w:r>
              <w:rPr>
                <w:rFonts w:ascii="仿宋_GB2312" w:hAnsi="仿宋_GB2312" w:cs="仿宋_GB2312" w:eastAsia="仿宋_GB2312"/>
                <w:sz w:val="21"/>
              </w:rPr>
              <w:t>⑴开挖电缆沟、回填及恢复面包砖；⑵地埋PE管；⑶敷设光缆；⑷熔纤、新设接头盒、新设皮线、新设线杆；⑸新设同轴电缆。</w:t>
            </w:r>
          </w:p>
          <w:p>
            <w:pPr>
              <w:pStyle w:val="null5"/>
              <w:ind w:firstLine="420"/>
              <w:jc w:val="both"/>
            </w:pPr>
            <w:r>
              <w:rPr>
                <w:rFonts w:ascii="仿宋_GB2312" w:hAnsi="仿宋_GB2312" w:cs="仿宋_GB2312" w:eastAsia="仿宋_GB2312"/>
                <w:sz w:val="21"/>
              </w:rPr>
              <w:t>2、整理拆除：⑴拆除光缆；⑵拆除电杆。</w:t>
            </w:r>
          </w:p>
          <w:p>
            <w:pPr>
              <w:pStyle w:val="null5"/>
              <w:ind w:left="420"/>
              <w:jc w:val="left"/>
            </w:pPr>
            <w:r>
              <w:rPr>
                <w:rFonts w:ascii="仿宋_GB2312" w:hAnsi="仿宋_GB2312" w:cs="仿宋_GB2312" w:eastAsia="仿宋_GB2312"/>
                <w:sz w:val="21"/>
                <w:b/>
              </w:rPr>
              <w:t>三、整治要求</w:t>
            </w:r>
          </w:p>
          <w:p>
            <w:pPr>
              <w:pStyle w:val="null5"/>
              <w:ind w:left="420"/>
              <w:jc w:val="left"/>
            </w:pPr>
            <w:r>
              <w:rPr>
                <w:rFonts w:ascii="仿宋_GB2312" w:hAnsi="仿宋_GB2312" w:cs="仿宋_GB2312" w:eastAsia="仿宋_GB2312"/>
                <w:sz w:val="21"/>
                <w:b/>
              </w:rPr>
              <w:t>（一）业务可用性要求</w:t>
            </w:r>
          </w:p>
          <w:p>
            <w:pPr>
              <w:pStyle w:val="null5"/>
              <w:ind w:firstLine="420"/>
              <w:jc w:val="both"/>
            </w:pPr>
            <w:r>
              <w:rPr>
                <w:rFonts w:ascii="仿宋_GB2312" w:hAnsi="仿宋_GB2312" w:cs="仿宋_GB2312" w:eastAsia="仿宋_GB2312"/>
                <w:sz w:val="21"/>
              </w:rPr>
              <w:t>整治前需要与移动、联通、电信及广电公司（运营商）确认业务内容，并提出整治申请，待运营商确认并加盖公章后以书面方式反馈。</w:t>
            </w:r>
            <w:r>
              <w:rPr>
                <w:rFonts w:ascii="仿宋_GB2312" w:hAnsi="仿宋_GB2312" w:cs="仿宋_GB2312" w:eastAsia="仿宋_GB2312"/>
                <w:sz w:val="21"/>
              </w:rPr>
              <w:t>升级改造</w:t>
            </w:r>
            <w:r>
              <w:rPr>
                <w:rFonts w:ascii="仿宋_GB2312" w:hAnsi="仿宋_GB2312" w:cs="仿宋_GB2312" w:eastAsia="仿宋_GB2312"/>
                <w:sz w:val="21"/>
              </w:rPr>
              <w:t>过程中需要由运营商现场随工，随工费用由双方协商确定。</w:t>
            </w:r>
          </w:p>
          <w:p>
            <w:pPr>
              <w:pStyle w:val="null5"/>
              <w:ind w:firstLine="420"/>
              <w:jc w:val="both"/>
            </w:pPr>
            <w:r>
              <w:rPr>
                <w:rFonts w:ascii="仿宋_GB2312" w:hAnsi="仿宋_GB2312" w:cs="仿宋_GB2312" w:eastAsia="仿宋_GB2312"/>
                <w:sz w:val="21"/>
              </w:rPr>
              <w:t>升级改造</w:t>
            </w:r>
            <w:r>
              <w:rPr>
                <w:rFonts w:ascii="仿宋_GB2312" w:hAnsi="仿宋_GB2312" w:cs="仿宋_GB2312" w:eastAsia="仿宋_GB2312"/>
                <w:sz w:val="21"/>
              </w:rPr>
              <w:t>过程中，业务中断时长不得超过</w:t>
            </w:r>
            <w:r>
              <w:rPr>
                <w:rFonts w:ascii="仿宋_GB2312" w:hAnsi="仿宋_GB2312" w:cs="仿宋_GB2312" w:eastAsia="仿宋_GB2312"/>
                <w:sz w:val="21"/>
              </w:rPr>
              <w:t>2小时。重要业务需要在夜间闲时（凌晨1点-5点）整治，整治前需要制定整治方案，经运营商确认后方可执行。特殊业务（专线、基站业务）在整治前需要做业务容灾，</w:t>
            </w:r>
            <w:r>
              <w:rPr>
                <w:rFonts w:ascii="仿宋_GB2312" w:hAnsi="仿宋_GB2312" w:cs="仿宋_GB2312" w:eastAsia="仿宋_GB2312"/>
                <w:sz w:val="21"/>
              </w:rPr>
              <w:t>升级改造</w:t>
            </w:r>
            <w:r>
              <w:rPr>
                <w:rFonts w:ascii="仿宋_GB2312" w:hAnsi="仿宋_GB2312" w:cs="仿宋_GB2312" w:eastAsia="仿宋_GB2312"/>
                <w:sz w:val="21"/>
              </w:rPr>
              <w:t>过程中不允许中断。</w:t>
            </w:r>
            <w:r>
              <w:rPr>
                <w:rFonts w:ascii="仿宋_GB2312" w:hAnsi="仿宋_GB2312" w:cs="仿宋_GB2312" w:eastAsia="仿宋_GB2312"/>
                <w:sz w:val="21"/>
              </w:rPr>
              <w:t>由于不合规</w:t>
            </w:r>
            <w:r>
              <w:rPr>
                <w:rFonts w:ascii="仿宋_GB2312" w:hAnsi="仿宋_GB2312" w:cs="仿宋_GB2312" w:eastAsia="仿宋_GB2312"/>
                <w:sz w:val="21"/>
              </w:rPr>
              <w:t>升级改造</w:t>
            </w:r>
            <w:r>
              <w:rPr>
                <w:rFonts w:ascii="仿宋_GB2312" w:hAnsi="仿宋_GB2312" w:cs="仿宋_GB2312" w:eastAsia="仿宋_GB2312"/>
                <w:sz w:val="21"/>
              </w:rPr>
              <w:t>导致运营商业务异常中断，造成损失的，由</w:t>
            </w:r>
            <w:r>
              <w:rPr>
                <w:rFonts w:ascii="仿宋_GB2312" w:hAnsi="仿宋_GB2312" w:cs="仿宋_GB2312" w:eastAsia="仿宋_GB2312"/>
                <w:sz w:val="21"/>
              </w:rPr>
              <w:t>中标人</w:t>
            </w:r>
            <w:r>
              <w:rPr>
                <w:rFonts w:ascii="仿宋_GB2312" w:hAnsi="仿宋_GB2312" w:cs="仿宋_GB2312" w:eastAsia="仿宋_GB2312"/>
                <w:sz w:val="21"/>
              </w:rPr>
              <w:t>进行赔偿。</w:t>
            </w:r>
          </w:p>
          <w:p>
            <w:pPr>
              <w:pStyle w:val="null5"/>
              <w:ind w:firstLine="420"/>
              <w:jc w:val="both"/>
            </w:pPr>
            <w:r>
              <w:rPr>
                <w:rFonts w:ascii="仿宋_GB2312" w:hAnsi="仿宋_GB2312" w:cs="仿宋_GB2312" w:eastAsia="仿宋_GB2312"/>
                <w:sz w:val="21"/>
              </w:rPr>
              <w:t>升级改造</w:t>
            </w:r>
            <w:r>
              <w:rPr>
                <w:rFonts w:ascii="仿宋_GB2312" w:hAnsi="仿宋_GB2312" w:cs="仿宋_GB2312" w:eastAsia="仿宋_GB2312"/>
                <w:sz w:val="21"/>
              </w:rPr>
              <w:t>完成后，对应线缆所承载的业务</w:t>
            </w:r>
            <w:r>
              <w:rPr>
                <w:rFonts w:ascii="仿宋_GB2312" w:hAnsi="仿宋_GB2312" w:cs="仿宋_GB2312" w:eastAsia="仿宋_GB2312"/>
                <w:sz w:val="21"/>
              </w:rPr>
              <w:t>须</w:t>
            </w:r>
            <w:r>
              <w:rPr>
                <w:rFonts w:ascii="仿宋_GB2312" w:hAnsi="仿宋_GB2312" w:cs="仿宋_GB2312" w:eastAsia="仿宋_GB2312"/>
                <w:sz w:val="21"/>
              </w:rPr>
              <w:t>与运营商无缝对接。</w:t>
            </w:r>
            <w:r>
              <w:rPr>
                <w:rFonts w:ascii="仿宋_GB2312" w:hAnsi="仿宋_GB2312" w:cs="仿宋_GB2312" w:eastAsia="仿宋_GB2312"/>
                <w:sz w:val="21"/>
              </w:rPr>
              <w:t>投标人</w:t>
            </w:r>
            <w:r>
              <w:rPr>
                <w:rFonts w:ascii="仿宋_GB2312" w:hAnsi="仿宋_GB2312" w:cs="仿宋_GB2312" w:eastAsia="仿宋_GB2312"/>
                <w:sz w:val="21"/>
              </w:rPr>
              <w:t>需提供不少于</w:t>
            </w:r>
            <w:r>
              <w:rPr>
                <w:rFonts w:ascii="仿宋_GB2312" w:hAnsi="仿宋_GB2312" w:cs="仿宋_GB2312" w:eastAsia="仿宋_GB2312"/>
                <w:sz w:val="21"/>
              </w:rPr>
              <w:t>1</w:t>
            </w:r>
            <w:r>
              <w:rPr>
                <w:rFonts w:ascii="仿宋_GB2312" w:hAnsi="仿宋_GB2312" w:cs="仿宋_GB2312" w:eastAsia="仿宋_GB2312"/>
                <w:sz w:val="21"/>
              </w:rPr>
              <w:t>年的业务维护服务，出现故障后</w:t>
            </w:r>
            <w:r>
              <w:rPr>
                <w:rFonts w:ascii="仿宋_GB2312" w:hAnsi="仿宋_GB2312" w:cs="仿宋_GB2312" w:eastAsia="仿宋_GB2312"/>
                <w:sz w:val="21"/>
              </w:rPr>
              <w:t>15分钟到现场，恢复时间不超过2小时。</w:t>
            </w:r>
          </w:p>
          <w:p>
            <w:pPr>
              <w:pStyle w:val="null5"/>
              <w:ind w:firstLine="422"/>
              <w:jc w:val="left"/>
            </w:pPr>
            <w:r>
              <w:rPr>
                <w:rFonts w:ascii="仿宋_GB2312" w:hAnsi="仿宋_GB2312" w:cs="仿宋_GB2312" w:eastAsia="仿宋_GB2312"/>
                <w:sz w:val="21"/>
                <w:b/>
              </w:rPr>
              <w:t>（二）</w:t>
            </w:r>
            <w:r>
              <w:rPr>
                <w:rFonts w:ascii="仿宋_GB2312" w:hAnsi="仿宋_GB2312" w:cs="仿宋_GB2312" w:eastAsia="仿宋_GB2312"/>
                <w:sz w:val="21"/>
                <w:b/>
              </w:rPr>
              <w:t>升级改造</w:t>
            </w:r>
            <w:r>
              <w:rPr>
                <w:rFonts w:ascii="仿宋_GB2312" w:hAnsi="仿宋_GB2312" w:cs="仿宋_GB2312" w:eastAsia="仿宋_GB2312"/>
                <w:sz w:val="21"/>
                <w:b/>
              </w:rPr>
              <w:t>工艺要求</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升级改造</w:t>
            </w:r>
            <w:r>
              <w:rPr>
                <w:rFonts w:ascii="仿宋_GB2312" w:hAnsi="仿宋_GB2312" w:cs="仿宋_GB2312" w:eastAsia="仿宋_GB2312"/>
                <w:sz w:val="21"/>
              </w:rPr>
              <w:t>过程中，所有光交箱，分纤箱必须换新。</w:t>
            </w:r>
          </w:p>
          <w:p>
            <w:pPr>
              <w:pStyle w:val="null5"/>
              <w:jc w:val="left"/>
            </w:pPr>
            <w:r>
              <w:rPr>
                <w:rFonts w:ascii="仿宋_GB2312" w:hAnsi="仿宋_GB2312" w:cs="仿宋_GB2312" w:eastAsia="仿宋_GB2312"/>
                <w:sz w:val="21"/>
              </w:rPr>
              <w:t>2、开挖沟槽要平整线型美观，弃土堆放整齐。摆放好安全标识牌拉好警戒线,所有的沟槽都必须铺设梅花管或PE管。</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结构层、回填管顶、砖砌井全部按照设计要求实施</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、光缆铺放要遵循</w:t>
            </w:r>
            <w:r>
              <w:rPr>
                <w:rFonts w:ascii="仿宋_GB2312" w:hAnsi="仿宋_GB2312" w:cs="仿宋_GB2312" w:eastAsia="仿宋_GB2312"/>
                <w:sz w:val="21"/>
              </w:rPr>
              <w:t>A-B段原则，全程纤序按色谱排序，光缆纤芯全部熔接完成，用户皮线整理及熔接，光</w:t>
            </w:r>
            <w:r>
              <w:rPr>
                <w:rFonts w:ascii="仿宋_GB2312" w:hAnsi="仿宋_GB2312" w:cs="仿宋_GB2312" w:eastAsia="仿宋_GB2312"/>
                <w:sz w:val="21"/>
              </w:rPr>
              <w:t>缆损耗要求</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dB/每公里以下，接头盒单纤损耗必须满足0.</w:t>
            </w:r>
            <w:r>
              <w:rPr>
                <w:rFonts w:ascii="仿宋_GB2312" w:hAnsi="仿宋_GB2312" w:cs="仿宋_GB2312" w:eastAsia="仿宋_GB2312"/>
                <w:sz w:val="21"/>
              </w:rPr>
              <w:t>2</w:t>
            </w:r>
            <w:r>
              <w:rPr>
                <w:rFonts w:ascii="仿宋_GB2312" w:hAnsi="仿宋_GB2312" w:cs="仿宋_GB2312" w:eastAsia="仿宋_GB2312"/>
                <w:sz w:val="21"/>
              </w:rPr>
              <w:t>dB以下，引上光缆采用套管保护，光缆内加强芯必须固定在光交箱内，接头处盘留不得超过25M，地埋光缆不得超过25M、每5个检查井必须盘留一处，盘留长度</w:t>
            </w:r>
            <w:r>
              <w:rPr>
                <w:rFonts w:ascii="仿宋_GB2312" w:hAnsi="仿宋_GB2312" w:cs="仿宋_GB2312" w:eastAsia="仿宋_GB2312"/>
                <w:sz w:val="21"/>
              </w:rPr>
              <w:t>不</w:t>
            </w:r>
            <w:r>
              <w:rPr>
                <w:rFonts w:ascii="仿宋_GB2312" w:hAnsi="仿宋_GB2312" w:cs="仿宋_GB2312" w:eastAsia="仿宋_GB2312"/>
                <w:sz w:val="21"/>
              </w:rPr>
              <w:t>超过</w:t>
            </w:r>
            <w:r>
              <w:rPr>
                <w:rFonts w:ascii="仿宋_GB2312" w:hAnsi="仿宋_GB2312" w:cs="仿宋_GB2312" w:eastAsia="仿宋_GB2312"/>
                <w:sz w:val="21"/>
              </w:rPr>
              <w:t>15M</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5</w:t>
            </w:r>
            <w:r>
              <w:rPr>
                <w:rFonts w:ascii="仿宋_GB2312" w:hAnsi="仿宋_GB2312" w:cs="仿宋_GB2312" w:eastAsia="仿宋_GB2312"/>
                <w:sz w:val="21"/>
              </w:rPr>
              <w:t>、主次干道，综合考虑下地条件、现实状况，优先采取集中下地方式，如不具备下地条件，则采取集中走线和规范捆扎方式进行整治。具体为：</w:t>
            </w:r>
            <w:r>
              <w:rPr>
                <w:rFonts w:ascii="仿宋_GB2312" w:hAnsi="仿宋_GB2312" w:cs="仿宋_GB2312" w:eastAsia="仿宋_GB2312"/>
                <w:sz w:val="21"/>
              </w:rPr>
              <w:t>⑴跨街线路。设立线路公共走廊（如具备顶管施工条件，则优先采取顶管方式），对所有跨街线路进行归拢，实现集中走线，做到横平竖直、捆扎整齐、标识清晰。⑵迎街两侧线路。对迎街面两侧飞线采取集中绑扎的方式进行整治，做到横平竖直、捆扎整齐、标识清晰。⑶迎街面用户线路。采取总分的措施进行整治，即从线杆总引出去后，沿墙体立面再分接至各个用户。</w:t>
            </w:r>
          </w:p>
          <w:p>
            <w:pPr>
              <w:pStyle w:val="null5"/>
              <w:jc w:val="left"/>
            </w:pPr>
            <w:r>
              <w:rPr>
                <w:rFonts w:ascii="仿宋_GB2312" w:hAnsi="仿宋_GB2312" w:cs="仿宋_GB2312" w:eastAsia="仿宋_GB2312"/>
                <w:sz w:val="21"/>
              </w:rPr>
              <w:t>6</w:t>
            </w:r>
            <w:r>
              <w:rPr>
                <w:rFonts w:ascii="仿宋_GB2312" w:hAnsi="仿宋_GB2312" w:cs="仿宋_GB2312" w:eastAsia="仿宋_GB2312"/>
                <w:sz w:val="21"/>
              </w:rPr>
              <w:t>、住宅小区，主要以整治和规范为主，由于客观原因，楼栋之间确有主线架通，识别并清除所有废线，其余线缆下地，如特因无法下地的楼栋与楼栋之间只集中一束线，其余所有管线顺墙顺线顺沟，布放要横平坚直、捆扎整齐、标识清晰，街区、巷内、小区内不得出现</w:t>
            </w:r>
            <w:r>
              <w:rPr>
                <w:rFonts w:ascii="仿宋_GB2312" w:hAnsi="仿宋_GB2312" w:cs="仿宋_GB2312" w:eastAsia="仿宋_GB2312"/>
                <w:sz w:val="21"/>
              </w:rPr>
              <w:t>“飞线”。全部采取下地、入内方式进行整治，消除所有在外线路。具体为：⑴外设光缆线路。通过埋设梅花管或PE管套管全部进行穿管下地。⑵楼道内光缆线路。在楼道内安置分纤箱，将线路接引至用户。</w:t>
            </w:r>
          </w:p>
          <w:p>
            <w:pPr>
              <w:pStyle w:val="null5"/>
              <w:jc w:val="left"/>
            </w:pPr>
            <w:r>
              <w:rPr>
                <w:rFonts w:ascii="仿宋_GB2312" w:hAnsi="仿宋_GB2312" w:cs="仿宋_GB2312" w:eastAsia="仿宋_GB2312"/>
                <w:sz w:val="21"/>
              </w:rPr>
              <w:t>7</w:t>
            </w:r>
            <w:r>
              <w:rPr>
                <w:rFonts w:ascii="仿宋_GB2312" w:hAnsi="仿宋_GB2312" w:cs="仿宋_GB2312" w:eastAsia="仿宋_GB2312"/>
                <w:sz w:val="21"/>
              </w:rPr>
              <w:t>、平房区，严格按照规划设计方案，在实施过程中确有无法解决的客观问题和困难，按照实事求是、因地制宜原则，由</w:t>
            </w:r>
            <w:r>
              <w:rPr>
                <w:rFonts w:ascii="仿宋_GB2312" w:hAnsi="仿宋_GB2312" w:cs="仿宋_GB2312" w:eastAsia="仿宋_GB2312"/>
                <w:sz w:val="21"/>
              </w:rPr>
              <w:t>投标人</w:t>
            </w:r>
            <w:r>
              <w:rPr>
                <w:rFonts w:ascii="仿宋_GB2312" w:hAnsi="仿宋_GB2312" w:cs="仿宋_GB2312" w:eastAsia="仿宋_GB2312"/>
                <w:sz w:val="21"/>
              </w:rPr>
              <w:t>报相关部门批准后再实施。清除废线后所有管线入地，涉及楼栋内外管线横平竖直，区、巷内、小区内不得出现</w:t>
            </w:r>
            <w:r>
              <w:rPr>
                <w:rFonts w:ascii="仿宋_GB2312" w:hAnsi="仿宋_GB2312" w:cs="仿宋_GB2312" w:eastAsia="仿宋_GB2312"/>
                <w:sz w:val="21"/>
              </w:rPr>
              <w:t>“飞线”。采取下地方式进行整治，消除在外线路。具体为：⑴入地标准参照住宅小区标准进行整治。⑵以排为单位将通信运营商光纤入户箱进行集中安置，然后沿墙体立面分至到用户，做到横平竖直、美观整齐。⑶如确实不能下地，则参照主次干道实施。支路小巷、公共场所：参照主干道标准进行改造整治。</w:t>
            </w:r>
          </w:p>
          <w:p>
            <w:pPr>
              <w:pStyle w:val="null5"/>
              <w:jc w:val="left"/>
            </w:pPr>
            <w:r>
              <w:rPr>
                <w:rFonts w:ascii="仿宋_GB2312" w:hAnsi="仿宋_GB2312" w:cs="仿宋_GB2312" w:eastAsia="仿宋_GB2312"/>
                <w:sz w:val="21"/>
              </w:rPr>
              <w:t>8</w:t>
            </w:r>
            <w:r>
              <w:rPr>
                <w:rFonts w:ascii="仿宋_GB2312" w:hAnsi="仿宋_GB2312" w:cs="仿宋_GB2312" w:eastAsia="仿宋_GB2312"/>
                <w:sz w:val="21"/>
              </w:rPr>
              <w:t>、对无法下地线缆进行归拢，实现集中走线，做到横平竖直、捆扎整齐、</w:t>
            </w:r>
            <w:r>
              <w:rPr>
                <w:rFonts w:ascii="仿宋_GB2312" w:hAnsi="仿宋_GB2312" w:cs="仿宋_GB2312" w:eastAsia="仿宋_GB2312"/>
                <w:sz w:val="21"/>
              </w:rPr>
              <w:t>标识清晰、牢固安全、美观协调。</w:t>
            </w:r>
          </w:p>
          <w:p>
            <w:pPr>
              <w:pStyle w:val="null5"/>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升级改造</w:t>
            </w:r>
            <w:r>
              <w:rPr>
                <w:rFonts w:ascii="仿宋_GB2312" w:hAnsi="仿宋_GB2312" w:cs="仿宋_GB2312" w:eastAsia="仿宋_GB2312"/>
                <w:sz w:val="21"/>
              </w:rPr>
              <w:t>验收</w:t>
            </w:r>
            <w:r>
              <w:rPr>
                <w:rFonts w:ascii="仿宋_GB2312" w:hAnsi="仿宋_GB2312" w:cs="仿宋_GB2312" w:eastAsia="仿宋_GB2312"/>
                <w:sz w:val="21"/>
              </w:rPr>
              <w:t>合格</w:t>
            </w:r>
            <w:r>
              <w:rPr>
                <w:rFonts w:ascii="仿宋_GB2312" w:hAnsi="仿宋_GB2312" w:cs="仿宋_GB2312" w:eastAsia="仿宋_GB2312"/>
                <w:sz w:val="21"/>
              </w:rPr>
              <w:t>后一年内质保，如有砖面塌陷，管孔、光缆不通谁施工谁负责，负责督促施工单位限期整改工程遗留问题，对初验不合格的工程，验收小组下达整改通知书，限期整改，未按时整改完毕。如有发现以上问题限期更改，而且不计量，材料、施工费全部由</w:t>
            </w:r>
            <w:r>
              <w:rPr>
                <w:rFonts w:ascii="仿宋_GB2312" w:hAnsi="仿宋_GB2312" w:cs="仿宋_GB2312" w:eastAsia="仿宋_GB2312"/>
                <w:sz w:val="21"/>
              </w:rPr>
              <w:t>投标人</w:t>
            </w:r>
            <w:r>
              <w:rPr>
                <w:rFonts w:ascii="仿宋_GB2312" w:hAnsi="仿宋_GB2312" w:cs="仿宋_GB2312" w:eastAsia="仿宋_GB2312"/>
                <w:sz w:val="21"/>
              </w:rPr>
              <w:t>自己承担。</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、室外分纤箱安装高度为</w:t>
            </w:r>
            <w:r>
              <w:rPr>
                <w:rFonts w:ascii="仿宋_GB2312" w:hAnsi="仿宋_GB2312" w:cs="仿宋_GB2312" w:eastAsia="仿宋_GB2312"/>
                <w:sz w:val="21"/>
              </w:rPr>
              <w:t>1米以上、箱体</w:t>
            </w:r>
            <w:r>
              <w:rPr>
                <w:rFonts w:ascii="仿宋_GB2312" w:hAnsi="仿宋_GB2312" w:cs="仿宋_GB2312" w:eastAsia="仿宋_GB2312"/>
                <w:sz w:val="21"/>
              </w:rPr>
              <w:t>间隔</w:t>
            </w:r>
            <w:r>
              <w:rPr>
                <w:rFonts w:ascii="仿宋_GB2312" w:hAnsi="仿宋_GB2312" w:cs="仿宋_GB2312" w:eastAsia="仿宋_GB2312"/>
                <w:sz w:val="21"/>
              </w:rPr>
              <w:t>2厘米、所有分纤箱必须在同一水平线，这是为了满足技术要求和方便维护的要求。</w:t>
            </w:r>
          </w:p>
          <w:p>
            <w:pPr>
              <w:pStyle w:val="null5"/>
              <w:ind w:firstLine="422"/>
              <w:jc w:val="left"/>
            </w:pPr>
            <w:r>
              <w:rPr>
                <w:rFonts w:ascii="仿宋_GB2312" w:hAnsi="仿宋_GB2312" w:cs="仿宋_GB2312" w:eastAsia="仿宋_GB2312"/>
                <w:sz w:val="21"/>
                <w:b/>
              </w:rPr>
              <w:t>四、整治验收标准</w:t>
            </w:r>
          </w:p>
          <w:p>
            <w:pPr>
              <w:pStyle w:val="null5"/>
              <w:ind w:firstLine="422"/>
              <w:jc w:val="left"/>
            </w:pPr>
            <w:r>
              <w:rPr>
                <w:rFonts w:ascii="仿宋_GB2312" w:hAnsi="仿宋_GB2312" w:cs="仿宋_GB2312" w:eastAsia="仿宋_GB2312"/>
                <w:sz w:val="21"/>
                <w:b/>
              </w:rPr>
              <w:t>（一）光功率要求：</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、单模光纤光功率不得低于</w:t>
            </w:r>
            <w:r>
              <w:rPr>
                <w:rFonts w:ascii="仿宋_GB2312" w:hAnsi="仿宋_GB2312" w:cs="仿宋_GB2312" w:eastAsia="仿宋_GB2312"/>
                <w:sz w:val="21"/>
              </w:rPr>
              <w:t>-14dBm。测试方法：对应整治资源末端使用光功率计测试或者通过末端设备查看光功率。</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PON光功率不得低于-2</w:t>
            </w:r>
            <w:r>
              <w:rPr>
                <w:rFonts w:ascii="仿宋_GB2312" w:hAnsi="仿宋_GB2312" w:cs="仿宋_GB2312" w:eastAsia="仿宋_GB2312"/>
                <w:sz w:val="21"/>
              </w:rPr>
              <w:t>5</w:t>
            </w:r>
            <w:r>
              <w:rPr>
                <w:rFonts w:ascii="仿宋_GB2312" w:hAnsi="仿宋_GB2312" w:cs="仿宋_GB2312" w:eastAsia="仿宋_GB2312"/>
                <w:sz w:val="21"/>
              </w:rPr>
              <w:t>dBm。测试方法，对应整治资源末端使用PON光功率计测试查看光功率。</w:t>
            </w:r>
          </w:p>
          <w:p>
            <w:pPr>
              <w:pStyle w:val="null5"/>
              <w:ind w:firstLine="422"/>
              <w:jc w:val="left"/>
            </w:pPr>
            <w:r>
              <w:rPr>
                <w:rFonts w:ascii="仿宋_GB2312" w:hAnsi="仿宋_GB2312" w:cs="仿宋_GB2312" w:eastAsia="仿宋_GB2312"/>
                <w:sz w:val="21"/>
                <w:b/>
              </w:rPr>
              <w:t>（二）光缆损耗要求：</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、每公里损耗</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db。</w:t>
            </w:r>
          </w:p>
          <w:p>
            <w:pPr>
              <w:pStyle w:val="null5"/>
              <w:jc w:val="left"/>
            </w:pPr>
            <w:r>
              <w:rPr>
                <w:rFonts w:ascii="仿宋_GB2312" w:hAnsi="仿宋_GB2312" w:cs="仿宋_GB2312" w:eastAsia="仿宋_GB2312"/>
                <w:sz w:val="21"/>
              </w:rPr>
              <w:t>2、每接头损耗≤0.</w:t>
            </w:r>
            <w:r>
              <w:rPr>
                <w:rFonts w:ascii="仿宋_GB2312" w:hAnsi="仿宋_GB2312" w:cs="仿宋_GB2312" w:eastAsia="仿宋_GB2312"/>
                <w:sz w:val="21"/>
              </w:rPr>
              <w:t>2</w:t>
            </w:r>
            <w:r>
              <w:rPr>
                <w:rFonts w:ascii="仿宋_GB2312" w:hAnsi="仿宋_GB2312" w:cs="仿宋_GB2312" w:eastAsia="仿宋_GB2312"/>
                <w:sz w:val="21"/>
              </w:rPr>
              <w:t>db。</w:t>
            </w:r>
          </w:p>
          <w:p>
            <w:pPr>
              <w:pStyle w:val="null5"/>
              <w:ind w:firstLine="420"/>
              <w:jc w:val="both"/>
            </w:pPr>
            <w:r>
              <w:rPr>
                <w:rFonts w:ascii="仿宋_GB2312" w:hAnsi="仿宋_GB2312" w:cs="仿宋_GB2312" w:eastAsia="仿宋_GB2312"/>
                <w:sz w:val="21"/>
              </w:rPr>
              <w:t>测试方法，对应整治资源末端使用</w:t>
            </w:r>
            <w:r>
              <w:rPr>
                <w:rFonts w:ascii="仿宋_GB2312" w:hAnsi="仿宋_GB2312" w:cs="仿宋_GB2312" w:eastAsia="仿宋_GB2312"/>
                <w:sz w:val="21"/>
              </w:rPr>
              <w:t>OTDR设备进行测试。</w:t>
            </w:r>
          </w:p>
          <w:p>
            <w:pPr>
              <w:pStyle w:val="null5"/>
              <w:ind w:firstLine="422"/>
              <w:jc w:val="left"/>
            </w:pPr>
            <w:r>
              <w:rPr>
                <w:rFonts w:ascii="仿宋_GB2312" w:hAnsi="仿宋_GB2312" w:cs="仿宋_GB2312" w:eastAsia="仿宋_GB2312"/>
                <w:sz w:val="21"/>
                <w:b/>
              </w:rPr>
              <w:t>（三）工艺要求：</w:t>
            </w:r>
          </w:p>
          <w:p>
            <w:pPr>
              <w:pStyle w:val="null5"/>
              <w:ind w:firstLine="420"/>
              <w:jc w:val="both"/>
            </w:pPr>
            <w:r>
              <w:rPr>
                <w:rFonts w:ascii="仿宋_GB2312" w:hAnsi="仿宋_GB2312" w:cs="仿宋_GB2312" w:eastAsia="仿宋_GB2312"/>
                <w:sz w:val="21"/>
              </w:rPr>
              <w:t>整改工艺符合招标文件要求。</w:t>
            </w:r>
          </w:p>
          <w:p>
            <w:pPr>
              <w:pStyle w:val="null5"/>
              <w:ind w:firstLine="422"/>
              <w:jc w:val="left"/>
            </w:pPr>
            <w:r>
              <w:rPr>
                <w:rFonts w:ascii="仿宋_GB2312" w:hAnsi="仿宋_GB2312" w:cs="仿宋_GB2312" w:eastAsia="仿宋_GB2312"/>
                <w:sz w:val="21"/>
                <w:b/>
              </w:rPr>
              <w:t>五、其他要求</w:t>
            </w:r>
          </w:p>
          <w:p>
            <w:pPr>
              <w:pStyle w:val="null5"/>
              <w:jc w:val="both"/>
            </w:pPr>
            <w:r>
              <w:rPr>
                <w:rFonts w:ascii="仿宋_GB2312" w:hAnsi="仿宋_GB2312" w:cs="仿宋_GB2312" w:eastAsia="仿宋_GB2312"/>
                <w:sz w:val="21"/>
              </w:rPr>
              <w:t>投标人须</w:t>
            </w:r>
            <w:r>
              <w:rPr>
                <w:rFonts w:ascii="仿宋_GB2312" w:hAnsi="仿宋_GB2312" w:cs="仿宋_GB2312" w:eastAsia="仿宋_GB2312"/>
                <w:sz w:val="21"/>
              </w:rPr>
              <w:t>自行</w:t>
            </w:r>
            <w:r>
              <w:rPr>
                <w:rFonts w:ascii="仿宋_GB2312" w:hAnsi="仿宋_GB2312" w:cs="仿宋_GB2312" w:eastAsia="仿宋_GB2312"/>
                <w:sz w:val="21"/>
              </w:rPr>
              <w:t>熟悉嘎鲁图镇城区通信网络、广播电视网络等弱电部分线路走径、设备分布等情况。</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4.00%</w:t>
            </w:r>
          </w:p>
        </w:tc>
        <w:tc>
          <w:tcPr>
            <w:tcW w:type="dxa" w:w="1661"/>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服务方案及技术措施</w:t>
            </w:r>
          </w:p>
        </w:tc>
        <w:tc>
          <w:tcPr>
            <w:tcW w:type="dxa" w:w="3115"/>
          </w:tcPr>
          <w:p>
            <w:pPr>
              <w:pStyle w:val="null5"/>
              <w:jc w:val="left"/>
            </w:pPr>
            <w:r>
              <w:rPr>
                <w:rFonts w:ascii="仿宋_GB2312" w:hAnsi="仿宋_GB2312" w:cs="仿宋_GB2312" w:eastAsia="仿宋_GB2312"/>
              </w:rPr>
              <w:t>根据投标人提供的服务方案及技术措施等进行综合评分。方案全面、合理、可操作性、针对性强，得10（含）-15分；方案不够全面、合理、可行、针对性一般，得5（含）-10分（不含）；方案全面性、合理性、针对性差，得1-5分（不含）；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维护服务方案</w:t>
            </w:r>
          </w:p>
        </w:tc>
        <w:tc>
          <w:tcPr>
            <w:tcW w:type="dxa" w:w="3115"/>
          </w:tcPr>
          <w:p>
            <w:pPr>
              <w:pStyle w:val="null5"/>
              <w:jc w:val="left"/>
            </w:pPr>
            <w:r>
              <w:rPr>
                <w:rFonts w:ascii="仿宋_GB2312" w:hAnsi="仿宋_GB2312" w:cs="仿宋_GB2312" w:eastAsia="仿宋_GB2312"/>
              </w:rPr>
              <w:t>1、根据投标人提供的维护服务方案、服务体系等进行综合评分。方案完整性、可行性、适用性强，服务体系非常健全，得7（含）-10分；方案完整性、可行性、适用性一般，服务体系健，得全3（含）-7分（不含）；完整性、可行性、适用性差，服务体系不健全，得1-3（不含）分；不提供不得分。 2、据投标人本地化服务机构和团队等内容进行评定：本地化服务机构和团队完善，能提供高效的服务得4（含）-5分，本地化服务机构和团队较完善，能提供较好的服务得2（含）-4（不含）分，本地化服务机构和团队较少，能提供一般的服务得1-2（不含）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根据投标人提供的主要机械设备、人员配备情况、工程进度安排、保证措施等进行综合评分。方案完整、可行、适用性强，得10（含）-15分；方案完整性、可行性、适用性一般，得5（含）-10分（不含）；方案完整性、可行性、适用性差，得1-5（不含）分；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服务质量体系及保证措施</w:t>
            </w:r>
          </w:p>
        </w:tc>
        <w:tc>
          <w:tcPr>
            <w:tcW w:type="dxa" w:w="3115"/>
          </w:tcPr>
          <w:p>
            <w:pPr>
              <w:pStyle w:val="null5"/>
              <w:jc w:val="left"/>
            </w:pPr>
            <w:r>
              <w:rPr>
                <w:rFonts w:ascii="仿宋_GB2312" w:hAnsi="仿宋_GB2312" w:cs="仿宋_GB2312" w:eastAsia="仿宋_GB2312"/>
              </w:rPr>
              <w:t>根据投标人提供的质量保证体系和质量保证措施等进行综合评分。方案完全满足招标文件对项目的质量需求，结构严谨，内容完整详实，能够针对采购项目内容要求而细化制定，有明确的质量保证方法和措施，得7（含）-10分；有项目质量保证方案，但方案内容笼统，没有针对本项目细化制定，得3（含）-7分（不含）；方案不满足招标文件对项目的质量需求，得1-3（不含）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w:t>
            </w:r>
          </w:p>
        </w:tc>
        <w:tc>
          <w:tcPr>
            <w:tcW w:type="dxa" w:w="3115"/>
          </w:tcPr>
          <w:p>
            <w:pPr>
              <w:pStyle w:val="null5"/>
              <w:jc w:val="left"/>
            </w:pPr>
            <w:r>
              <w:rPr>
                <w:rFonts w:ascii="仿宋_GB2312" w:hAnsi="仿宋_GB2312" w:cs="仿宋_GB2312" w:eastAsia="仿宋_GB2312"/>
              </w:rPr>
              <w:t>根据投标人提供的应急响应体系、应急措施等进行综合评分。 应急响应体系完善，应急措施合理可行得7（含）-10分，应急响应体系与措施完整性、可行性一般，得3（含）-7分（不含）；应急响应体系与措施完整性、可行性差，得1-3分（不含）；不提供不得分。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投标人2021年1月1日至投标截止时间（以合同签订时间为准），每提供1项通信网络线路服务或通信网络升级改造项目相关业绩得2.5分，最高得10分。不提供不得分。 注：1）投标文件中需附合同扫描件，所提供的合同须包括合同标的页、合同金额所在页、签字盖章页，提供不全或未提供不得分。 2）若投标人为联合体则各联合体成员单位的业绩均予以认可。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1、拟派项目经理具备通信工程相关专业高级（含）以上工程师资格的得2分，不提供不得分。 2、拟派服务人员中每有1名具备通信工程相关专业中级工程师资格的得1分；每有1名具备通信工程相关专业高级（含）以上工程师资格的得2分，最高8分，不提供不得分。 注：1）以上人员须需提供相关职称证书以及近一年内任意连续6个月的缴纳社保证明并加盖投标人公章（若为联合体投标加盖牵头方公章），提供不全或未提供不得分。 2）若投标人为联合体则各联合体成员单位的团队人员职称证书和社保证明均予以认可。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保障能力</w:t>
            </w:r>
          </w:p>
        </w:tc>
        <w:tc>
          <w:tcPr>
            <w:tcW w:type="dxa" w:w="3115"/>
          </w:tcPr>
          <w:p>
            <w:pPr>
              <w:pStyle w:val="null5"/>
              <w:jc w:val="left"/>
            </w:pPr>
            <w:r>
              <w:rPr>
                <w:rFonts w:ascii="仿宋_GB2312" w:hAnsi="仿宋_GB2312" w:cs="仿宋_GB2312" w:eastAsia="仿宋_GB2312"/>
              </w:rPr>
              <w:t>1.投标人具备质量管理体系认证、环境管理体系认证、职业健康安全管理体系认证、信息安全管理体系认证、信息技术服务管理体系认证的，每提供一个证书且在有效期内得1分，满分得5分。 注：若投标人为联合体则各联合体成员提供的证书均予以认可。</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r>
        <w:tc>
          <w:tcPr>
            <w:tcW w:type="dxa" w:w="831"/>
          </w:tcPr>
          <w:p>
            <w:pPr>
              <w:pStyle w:val="null5"/>
              <w:jc w:val="left"/>
            </w:pPr>
            <w:r>
              <w:rPr>
                <w:rFonts w:ascii="仿宋_GB2312" w:hAnsi="仿宋_GB2312" w:cs="仿宋_GB2312" w:eastAsia="仿宋_GB2312"/>
              </w:rPr>
              <w:t>2</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联合协议或者分包</w:t>
            </w:r>
          </w:p>
        </w:tc>
        <w:tc>
          <w:tcPr>
            <w:tcW w:type="dxa" w:w="831"/>
          </w:tcPr>
          <w:p>
            <w:pPr>
              <w:pStyle w:val="null5"/>
              <w:jc w:val="right"/>
            </w:pPr>
            <w:r>
              <w:rPr>
                <w:rFonts w:ascii="仿宋_GB2312" w:hAnsi="仿宋_GB2312" w:cs="仿宋_GB2312" w:eastAsia="仿宋_GB2312"/>
              </w:rPr>
              <w:t>4.00%</w:t>
            </w:r>
          </w:p>
        </w:tc>
        <w:tc>
          <w:tcPr>
            <w:tcW w:type="dxa" w:w="2492"/>
          </w:tcPr>
          <w:p>
            <w:pPr>
              <w:pStyle w:val="null5"/>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