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采购矿山领域安全生产隐患排查专家会诊服务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内蒙古中创项目管理有限公司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内蒙古中创项目管理有限公司</w:t>
      </w:r>
      <w:r>
        <w:rPr>
          <w:rFonts w:ascii="仿宋_GB2312" w:hAnsi="仿宋_GB2312" w:cs="仿宋_GB2312" w:eastAsia="仿宋_GB2312"/>
        </w:rPr>
        <w:t xml:space="preserve"> 受 </w:t>
      </w:r>
      <w:r>
        <w:rPr>
          <w:rFonts w:ascii="仿宋_GB2312" w:hAnsi="仿宋_GB2312" w:cs="仿宋_GB2312" w:eastAsia="仿宋_GB2312"/>
        </w:rPr>
        <w:t>乌审旗应急管理局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采购矿山领域安全生产隐患排查专家会诊服务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采购矿山领域安全生产隐患排查专家会诊服务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乌审旗应急管理局采购矿山领域安全生产隐患排查专家会诊服务项目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内蒙古中创项目管理有限公司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阿勒腾席热镇兴泰公务员（澜园）8-101号商铺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闫凯勋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15147723401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郝耀勋</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15804844464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代理服务费收费标准：参照《内蒙古自治区建设工程招标代理服务收费指导意见》内工建协[2022]34号文件规定的标准收费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内蒙古中创项目管理有限公司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一. 项目概况 （一 ）项目名称 项目名称：乌审旗应急管理局采购矿山领域安全生产隐患排查专家会诊服务 （二）项目范围及说明 乌审旗境内4家煤矿企业和2家非煤矿山企业 （三）工作内容及期限 1.日常专家检查 (1)合同签订后至2025年12月31日，对煤矿企业开展6轮专家检查，每次安排7名副高级及以上煤矿领域专家（包括采矿、机电、矿建、一通三防、地质、防冲、洗选，每个专业1名）协助我单位开展检查，每次检查不少于8天。 (2)合同签订后至2025年12月31日，对非煤矿山企业开展4轮专家检查，每次安排2名非煤领域专家协助我单位开展检查，每次检查不少于2天。 (3)驻局专家1名，从签订合同之日起，派遣1名长期在我单位驻守的驻局专家。 (4)授课专家4名，全年开展2次专家授课，每次为期1天，每次需2名专家讲授。 2.专项检查 合同签订后至2025年12月31日，不定期开展4次专项检查，包括：防冲击地压专项检查、防治水专项检查、隐蔽致灾因素专项检查、提升运输专项检查等，每次专项检查不少于8天。 3.核查验收 合同签订后至2025年12月31日，不定期开展2次核查验收工作，分别为：“三同时”手续核查验收和煤矿标准化核查验收等。 4.全旗冲击地压防治工作座谈会。上半年，邀请冲击地压领域国内知名院校、科研院所等专家教授不少于8名，到我旗辖区范围内矿山企业调研后，组织召开全旗冲击地压防治工作座谈会，指出我旗冲击地压防治工作短板，并提出下一步防治工作措施、建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乌审旗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1、完成上半年日常检查、专项检查和核查验收工作，达到付款条件起15日，支付合同总金额的50.00%</w:t>
            </w:r>
          </w:p>
          <w:p>
            <w:pPr>
              <w:pStyle w:val="null5"/>
              <w:jc w:val="left"/>
            </w:pPr>
            <w:r>
              <w:rPr>
                <w:rFonts w:ascii="仿宋_GB2312" w:hAnsi="仿宋_GB2312" w:cs="仿宋_GB2312" w:eastAsia="仿宋_GB2312"/>
              </w:rPr>
              <w:t>2、完成下半年日常检查、专项检查和核查验收工作，达到付款条件起15日，支付合同总金额的50.00%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标的名称：乌审旗应急管理局采购矿山领域安全生产隐患排查专家会诊服务项目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35"/>
              <w:ind w:left="495" w:right="3930" w:firstLine="1"/>
              <w:jc w:val="left"/>
            </w:pPr>
            <w:r>
              <w:rPr>
                <w:rFonts w:ascii="仿宋_GB2312" w:hAnsi="仿宋_GB2312" w:cs="仿宋_GB2312" w:eastAsia="仿宋_GB2312"/>
                <w:sz w:val="19"/>
                <w:color w:val="000000"/>
              </w:rPr>
              <w:t>（一）专家配备及要求</w:t>
            </w:r>
          </w:p>
          <w:p>
            <w:pPr>
              <w:pStyle w:val="null5"/>
              <w:spacing w:before="135"/>
              <w:ind w:left="495" w:right="3930" w:firstLine="1"/>
              <w:jc w:val="left"/>
            </w:pPr>
            <w:r>
              <w:rPr>
                <w:rFonts w:ascii="仿宋_GB2312" w:hAnsi="仿宋_GB2312" w:cs="仿宋_GB2312" w:eastAsia="仿宋_GB2312"/>
                <w:sz w:val="19"/>
                <w:color w:val="000000"/>
              </w:rPr>
              <w:t>1.日常专家检查</w:t>
            </w:r>
          </w:p>
          <w:p>
            <w:pPr>
              <w:pStyle w:val="null5"/>
              <w:spacing w:before="135"/>
              <w:ind w:left="495" w:right="3930" w:firstLine="1"/>
              <w:jc w:val="left"/>
            </w:pPr>
            <w:r>
              <w:rPr>
                <w:rFonts w:ascii="仿宋_GB2312" w:hAnsi="仿宋_GB2312" w:cs="仿宋_GB2312" w:eastAsia="仿宋_GB2312"/>
                <w:sz w:val="19"/>
                <w:color w:val="000000"/>
              </w:rPr>
              <w:t>煤矿专家要求：具有</w:t>
            </w:r>
            <w:r>
              <w:rPr>
                <w:rFonts w:ascii="仿宋_GB2312" w:hAnsi="仿宋_GB2312" w:cs="仿宋_GB2312" w:eastAsia="仿宋_GB2312"/>
                <w:sz w:val="19"/>
                <w:color w:val="000000"/>
              </w:rPr>
              <w:t>5年及以上从事煤矿行业相关工作经验，具有副高级及以上专业技术职称和资格证书，具有较高的技术指导水平和实践经验。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非煤矿山专家要求：具有</w:t>
            </w:r>
            <w:r>
              <w:rPr>
                <w:rFonts w:ascii="仿宋_GB2312" w:hAnsi="仿宋_GB2312" w:cs="仿宋_GB2312" w:eastAsia="仿宋_GB2312"/>
                <w:sz w:val="19"/>
                <w:color w:val="000000"/>
              </w:rPr>
              <w:t>5年及以上从事非煤矿山行业相关工作经验，具有副高级及以上专业技术职称和资格证书，具有较高的技术指导水平和实践经验。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驻局专家要求：对基建矿井和生产矿井有</w:t>
            </w:r>
            <w:r>
              <w:rPr>
                <w:rFonts w:ascii="仿宋_GB2312" w:hAnsi="仿宋_GB2312" w:cs="仿宋_GB2312" w:eastAsia="仿宋_GB2312"/>
                <w:sz w:val="19"/>
                <w:color w:val="000000"/>
              </w:rPr>
              <w:t>5年以上从业经历及副高级及以上职称。</w:t>
            </w:r>
          </w:p>
          <w:p>
            <w:pPr>
              <w:pStyle w:val="null5"/>
              <w:spacing w:before="135"/>
              <w:ind w:left="495" w:right="3930" w:firstLine="1"/>
              <w:jc w:val="left"/>
            </w:pPr>
            <w:r>
              <w:rPr>
                <w:rFonts w:ascii="仿宋_GB2312" w:hAnsi="仿宋_GB2312" w:cs="仿宋_GB2312" w:eastAsia="仿宋_GB2312"/>
                <w:sz w:val="19"/>
                <w:color w:val="000000"/>
              </w:rPr>
              <w:t>授课专家要求：国内知名院校专家教授。</w:t>
            </w:r>
          </w:p>
          <w:p>
            <w:pPr>
              <w:pStyle w:val="null5"/>
              <w:spacing w:before="135"/>
              <w:ind w:left="495" w:right="3930" w:firstLine="1"/>
              <w:jc w:val="left"/>
            </w:pPr>
            <w:r>
              <w:rPr>
                <w:rFonts w:ascii="仿宋_GB2312" w:hAnsi="仿宋_GB2312" w:cs="仿宋_GB2312" w:eastAsia="仿宋_GB2312"/>
                <w:sz w:val="19"/>
                <w:color w:val="000000"/>
              </w:rPr>
              <w:t>2.专项检查专家要求</w:t>
            </w:r>
          </w:p>
          <w:p>
            <w:pPr>
              <w:pStyle w:val="null5"/>
              <w:spacing w:before="135"/>
              <w:ind w:left="495" w:right="3930" w:firstLine="1"/>
              <w:jc w:val="left"/>
            </w:pPr>
            <w:r>
              <w:rPr>
                <w:rFonts w:ascii="仿宋_GB2312" w:hAnsi="仿宋_GB2312" w:cs="仿宋_GB2312" w:eastAsia="仿宋_GB2312"/>
                <w:sz w:val="19"/>
                <w:color w:val="000000"/>
              </w:rPr>
              <w:t>国内对应领域知名专家团队，具体由甲乙双方共同协商确定。</w:t>
            </w:r>
          </w:p>
          <w:p>
            <w:pPr>
              <w:pStyle w:val="null5"/>
              <w:spacing w:before="135"/>
              <w:ind w:left="495" w:right="3930" w:firstLine="1"/>
              <w:jc w:val="left"/>
            </w:pPr>
            <w:r>
              <w:rPr>
                <w:rFonts w:ascii="仿宋_GB2312" w:hAnsi="仿宋_GB2312" w:cs="仿宋_GB2312" w:eastAsia="仿宋_GB2312"/>
                <w:sz w:val="19"/>
                <w:color w:val="000000"/>
              </w:rPr>
              <w:t>3.核查验收专家要求</w:t>
            </w:r>
          </w:p>
          <w:p>
            <w:pPr>
              <w:pStyle w:val="null5"/>
              <w:spacing w:before="135"/>
              <w:ind w:left="495" w:right="3930" w:firstLine="1"/>
              <w:jc w:val="left"/>
            </w:pPr>
            <w:r>
              <w:rPr>
                <w:rFonts w:ascii="仿宋_GB2312" w:hAnsi="仿宋_GB2312" w:cs="仿宋_GB2312" w:eastAsia="仿宋_GB2312"/>
                <w:sz w:val="19"/>
                <w:color w:val="000000"/>
              </w:rPr>
              <w:t>具有</w:t>
            </w:r>
            <w:r>
              <w:rPr>
                <w:rFonts w:ascii="仿宋_GB2312" w:hAnsi="仿宋_GB2312" w:cs="仿宋_GB2312" w:eastAsia="仿宋_GB2312"/>
                <w:sz w:val="19"/>
                <w:color w:val="000000"/>
              </w:rPr>
              <w:t>5年及以上从事煤矿行业相关工作经验，具有副高级及以上专业技术职称和资格证书，具有较高的技术指导水平和实践经验。</w:t>
            </w:r>
          </w:p>
          <w:p>
            <w:pPr>
              <w:pStyle w:val="null5"/>
              <w:spacing w:before="135"/>
              <w:ind w:left="495" w:right="3930" w:firstLine="1"/>
              <w:jc w:val="left"/>
            </w:pPr>
            <w:r>
              <w:rPr>
                <w:rFonts w:ascii="仿宋_GB2312" w:hAnsi="仿宋_GB2312" w:cs="仿宋_GB2312" w:eastAsia="仿宋_GB2312"/>
                <w:sz w:val="19"/>
                <w:color w:val="000000"/>
              </w:rPr>
              <w:t>4.其他事项</w:t>
            </w:r>
          </w:p>
          <w:p>
            <w:pPr>
              <w:pStyle w:val="null5"/>
              <w:spacing w:before="135"/>
              <w:ind w:left="495" w:right="3930" w:firstLine="1"/>
              <w:jc w:val="left"/>
            </w:pPr>
            <w:r>
              <w:rPr>
                <w:rFonts w:ascii="仿宋_GB2312" w:hAnsi="仿宋_GB2312" w:cs="仿宋_GB2312" w:eastAsia="仿宋_GB2312"/>
                <w:sz w:val="19"/>
                <w:color w:val="000000"/>
              </w:rPr>
              <w:t>所有专家</w:t>
            </w:r>
            <w:r>
              <w:rPr>
                <w:rFonts w:ascii="仿宋_GB2312" w:hAnsi="仿宋_GB2312" w:cs="仿宋_GB2312" w:eastAsia="仿宋_GB2312"/>
                <w:sz w:val="19"/>
                <w:color w:val="000000"/>
              </w:rPr>
              <w:t>组成员人身安全事项</w:t>
            </w:r>
            <w:r>
              <w:rPr>
                <w:rFonts w:ascii="仿宋_GB2312" w:hAnsi="仿宋_GB2312" w:cs="仿宋_GB2312" w:eastAsia="仿宋_GB2312"/>
                <w:sz w:val="19"/>
                <w:color w:val="000000"/>
              </w:rPr>
              <w:t>。</w:t>
            </w:r>
            <w:r>
              <w:rPr>
                <w:rFonts w:ascii="仿宋_GB2312" w:hAnsi="仿宋_GB2312" w:cs="仿宋_GB2312" w:eastAsia="仿宋_GB2312"/>
                <w:sz w:val="19"/>
                <w:color w:val="000000"/>
              </w:rPr>
              <w:t>专家</w:t>
            </w:r>
            <w:r>
              <w:rPr>
                <w:rFonts w:ascii="仿宋_GB2312" w:hAnsi="仿宋_GB2312" w:cs="仿宋_GB2312" w:eastAsia="仿宋_GB2312"/>
                <w:sz w:val="19"/>
                <w:color w:val="000000"/>
              </w:rPr>
              <w:t>组成员在开展安全检查工作中的人身安全由乙方负责，与甲方无关。乙方应按相关规定为项目组成员购买人身意外伤害险，防止在指导服务或往返途中受到人身</w:t>
            </w:r>
            <w:r>
              <w:rPr>
                <w:rFonts w:ascii="仿宋_GB2312" w:hAnsi="仿宋_GB2312" w:cs="仿宋_GB2312" w:eastAsia="仿宋_GB2312"/>
                <w:sz w:val="19"/>
                <w:color w:val="000000"/>
              </w:rPr>
              <w:t>意外</w:t>
            </w:r>
            <w:r>
              <w:rPr>
                <w:rFonts w:ascii="仿宋_GB2312" w:hAnsi="仿宋_GB2312" w:cs="仿宋_GB2312" w:eastAsia="仿宋_GB2312"/>
                <w:sz w:val="19"/>
                <w:color w:val="000000"/>
              </w:rPr>
              <w:t>伤害而导致纠纷。</w:t>
            </w:r>
          </w:p>
          <w:p>
            <w:pPr>
              <w:pStyle w:val="null5"/>
              <w:spacing w:before="135"/>
              <w:ind w:left="495" w:right="3930" w:firstLine="1"/>
              <w:jc w:val="left"/>
            </w:pPr>
            <w:r>
              <w:rPr>
                <w:rFonts w:ascii="仿宋_GB2312" w:hAnsi="仿宋_GB2312" w:cs="仿宋_GB2312" w:eastAsia="仿宋_GB2312"/>
                <w:sz w:val="19"/>
                <w:color w:val="000000"/>
              </w:rPr>
              <w:t>专家</w:t>
            </w:r>
            <w:r>
              <w:rPr>
                <w:rFonts w:ascii="仿宋_GB2312" w:hAnsi="仿宋_GB2312" w:cs="仿宋_GB2312" w:eastAsia="仿宋_GB2312"/>
                <w:sz w:val="19"/>
                <w:color w:val="000000"/>
              </w:rPr>
              <w:t>组成员</w:t>
            </w:r>
            <w:r>
              <w:rPr>
                <w:rFonts w:ascii="仿宋_GB2312" w:hAnsi="仿宋_GB2312" w:cs="仿宋_GB2312" w:eastAsia="仿宋_GB2312"/>
                <w:sz w:val="19"/>
                <w:color w:val="000000"/>
              </w:rPr>
              <w:t>开展工作前，需提供每位专家简历及</w:t>
            </w:r>
            <w:r>
              <w:rPr>
                <w:rFonts w:ascii="仿宋_GB2312" w:hAnsi="仿宋_GB2312" w:cs="仿宋_GB2312" w:eastAsia="仿宋_GB2312"/>
                <w:sz w:val="19"/>
                <w:color w:val="000000"/>
              </w:rPr>
              <w:t>人身意外伤害险</w:t>
            </w:r>
            <w:r>
              <w:rPr>
                <w:rFonts w:ascii="仿宋_GB2312" w:hAnsi="仿宋_GB2312" w:cs="仿宋_GB2312" w:eastAsia="仿宋_GB2312"/>
                <w:sz w:val="19"/>
                <w:color w:val="000000"/>
              </w:rPr>
              <w:t>购买情况。</w:t>
            </w:r>
          </w:p>
          <w:p>
            <w:pPr>
              <w:pStyle w:val="null5"/>
              <w:spacing w:before="135"/>
              <w:ind w:left="495" w:right="3930" w:firstLine="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二</w:t>
            </w:r>
            <w:r>
              <w:rPr>
                <w:rFonts w:ascii="仿宋_GB2312" w:hAnsi="仿宋_GB2312" w:cs="仿宋_GB2312" w:eastAsia="仿宋_GB2312"/>
                <w:sz w:val="19"/>
                <w:color w:val="000000"/>
              </w:rPr>
              <w:t>）工作</w:t>
            </w:r>
            <w:r>
              <w:rPr>
                <w:rFonts w:ascii="仿宋_GB2312" w:hAnsi="仿宋_GB2312" w:cs="仿宋_GB2312" w:eastAsia="仿宋_GB2312"/>
                <w:sz w:val="19"/>
                <w:color w:val="000000"/>
              </w:rPr>
              <w:t>程序及要求</w:t>
            </w:r>
          </w:p>
          <w:p>
            <w:pPr>
              <w:pStyle w:val="null5"/>
              <w:spacing w:before="135"/>
              <w:ind w:left="495" w:right="3930" w:firstLine="1"/>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在安全隐患排查会诊之前，乙方应成立项目组，指派项目负责人，按照国家及内蒙古自治区安全生产法律、法规、政策和技术标准、规范</w:t>
            </w:r>
            <w:r>
              <w:rPr>
                <w:rFonts w:ascii="仿宋_GB2312" w:hAnsi="仿宋_GB2312" w:cs="仿宋_GB2312" w:eastAsia="仿宋_GB2312"/>
                <w:sz w:val="19"/>
                <w:color w:val="000000"/>
              </w:rPr>
              <w:t>要求</w:t>
            </w:r>
            <w:r>
              <w:rPr>
                <w:rFonts w:ascii="仿宋_GB2312" w:hAnsi="仿宋_GB2312" w:cs="仿宋_GB2312" w:eastAsia="仿宋_GB2312"/>
                <w:sz w:val="19"/>
                <w:color w:val="000000"/>
              </w:rPr>
              <w:t>，结合每家企业实际情况合理确定检查内容，制定详细的隐患排查专家会诊方案，并报甲方审核。</w:t>
            </w:r>
          </w:p>
          <w:p>
            <w:pPr>
              <w:pStyle w:val="null5"/>
              <w:spacing w:before="135"/>
              <w:ind w:left="495" w:right="3930" w:firstLine="1"/>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专家组进驻企业后</w:t>
            </w:r>
            <w:r>
              <w:rPr>
                <w:rFonts w:ascii="仿宋_GB2312" w:hAnsi="仿宋_GB2312" w:cs="仿宋_GB2312" w:eastAsia="仿宋_GB2312"/>
                <w:sz w:val="19"/>
                <w:color w:val="000000"/>
              </w:rPr>
              <w:t>,</w:t>
            </w:r>
            <w:r>
              <w:rPr>
                <w:rFonts w:ascii="仿宋_GB2312" w:hAnsi="仿宋_GB2312" w:cs="仿宋_GB2312" w:eastAsia="仿宋_GB2312"/>
                <w:sz w:val="19"/>
                <w:color w:val="000000"/>
              </w:rPr>
              <w:t>通过采调阅资料、查看现场、询问</w:t>
            </w:r>
            <w:r>
              <w:rPr>
                <w:rFonts w:ascii="仿宋_GB2312" w:hAnsi="仿宋_GB2312" w:cs="仿宋_GB2312" w:eastAsia="仿宋_GB2312"/>
                <w:sz w:val="19"/>
                <w:color w:val="000000"/>
              </w:rPr>
              <w:t>等方式</w:t>
            </w:r>
            <w:r>
              <w:rPr>
                <w:rFonts w:ascii="仿宋_GB2312" w:hAnsi="仿宋_GB2312" w:cs="仿宋_GB2312" w:eastAsia="仿宋_GB2312"/>
                <w:sz w:val="19"/>
                <w:color w:val="000000"/>
              </w:rPr>
              <w:t>对企业开展</w:t>
            </w:r>
            <w:r>
              <w:rPr>
                <w:rFonts w:ascii="仿宋_GB2312" w:hAnsi="仿宋_GB2312" w:cs="仿宋_GB2312" w:eastAsia="仿宋_GB2312"/>
                <w:sz w:val="19"/>
                <w:color w:val="000000"/>
              </w:rPr>
              <w:t>安全服务检查</w:t>
            </w:r>
            <w:r>
              <w:rPr>
                <w:rFonts w:ascii="仿宋_GB2312" w:hAnsi="仿宋_GB2312" w:cs="仿宋_GB2312" w:eastAsia="仿宋_GB2312"/>
                <w:sz w:val="19"/>
                <w:color w:val="000000"/>
              </w:rPr>
              <w:t>工作，并根据检查出的问题提出相应整改建议。同时对于查出的重大隐患或者一时难以整改的隐患要提出切实可行、规范合理的整改方案和防范措施。</w:t>
            </w:r>
          </w:p>
          <w:p>
            <w:pPr>
              <w:pStyle w:val="null5"/>
              <w:spacing w:before="135"/>
              <w:ind w:left="495" w:right="3930" w:firstLine="1"/>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专家组进驻每个企业进行隐患排查会诊时间应当依据</w:t>
            </w:r>
            <w:r>
              <w:rPr>
                <w:rFonts w:ascii="仿宋_GB2312" w:hAnsi="仿宋_GB2312" w:cs="仿宋_GB2312" w:eastAsia="仿宋_GB2312"/>
                <w:sz w:val="19"/>
                <w:color w:val="000000"/>
              </w:rPr>
              <w:t>生产和在建情况</w:t>
            </w:r>
            <w:r>
              <w:rPr>
                <w:rFonts w:ascii="仿宋_GB2312" w:hAnsi="仿宋_GB2312" w:cs="仿宋_GB2312" w:eastAsia="仿宋_GB2312"/>
                <w:sz w:val="19"/>
                <w:color w:val="000000"/>
              </w:rPr>
              <w:t>合理确定，服务</w:t>
            </w:r>
            <w:r>
              <w:rPr>
                <w:rFonts w:ascii="仿宋_GB2312" w:hAnsi="仿宋_GB2312" w:cs="仿宋_GB2312" w:eastAsia="仿宋_GB2312"/>
                <w:sz w:val="19"/>
                <w:color w:val="000000"/>
              </w:rPr>
              <w:t>期间</w:t>
            </w:r>
            <w:r>
              <w:rPr>
                <w:rFonts w:ascii="仿宋_GB2312" w:hAnsi="仿宋_GB2312" w:cs="仿宋_GB2312" w:eastAsia="仿宋_GB2312"/>
                <w:sz w:val="19"/>
                <w:color w:val="000000"/>
              </w:rPr>
              <w:t>不得影响企业正常生产。</w:t>
            </w:r>
          </w:p>
          <w:p>
            <w:pPr>
              <w:pStyle w:val="null5"/>
              <w:spacing w:before="135"/>
              <w:ind w:left="495" w:right="3930" w:firstLine="1"/>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专家组在每家企业检查结束后，对企业最终隐患排查会诊结果出具隐患排查专家</w:t>
            </w:r>
            <w:r>
              <w:rPr>
                <w:rFonts w:ascii="仿宋_GB2312" w:hAnsi="仿宋_GB2312" w:cs="仿宋_GB2312" w:eastAsia="仿宋_GB2312"/>
                <w:sz w:val="19"/>
                <w:color w:val="000000"/>
              </w:rPr>
              <w:t>安全检查报告书（要注重原始材料收集、相关数据采用等工作，过程控制记录、现场勘查记录、影像资料及整改前、整改后相关证明材料要及时归档，妥善保管）</w:t>
            </w:r>
            <w:r>
              <w:rPr>
                <w:rFonts w:ascii="仿宋_GB2312" w:hAnsi="仿宋_GB2312" w:cs="仿宋_GB2312" w:eastAsia="仿宋_GB2312"/>
                <w:sz w:val="19"/>
                <w:color w:val="000000"/>
              </w:rPr>
              <w:t>，明确隐患等级程度，是否符合安全生产条件，并签字确认，对检查结果负责，同时报甲方进行审核。</w:t>
            </w:r>
          </w:p>
          <w:p>
            <w:pPr>
              <w:pStyle w:val="null5"/>
              <w:spacing w:before="135"/>
              <w:ind w:left="495" w:right="3930" w:firstLine="1"/>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安全检查和隐患排查专家会诊后，应向企业出具隐患排查专家</w:t>
            </w:r>
            <w:r>
              <w:rPr>
                <w:rFonts w:ascii="仿宋_GB2312" w:hAnsi="仿宋_GB2312" w:cs="仿宋_GB2312" w:eastAsia="仿宋_GB2312"/>
                <w:sz w:val="19"/>
                <w:color w:val="000000"/>
              </w:rPr>
              <w:t>意见书</w:t>
            </w:r>
            <w:r>
              <w:rPr>
                <w:rFonts w:ascii="仿宋_GB2312" w:hAnsi="仿宋_GB2312" w:cs="仿宋_GB2312" w:eastAsia="仿宋_GB2312"/>
                <w:sz w:val="19"/>
                <w:color w:val="000000"/>
              </w:rPr>
              <w:t>，</w:t>
            </w:r>
            <w:r>
              <w:rPr>
                <w:rFonts w:ascii="仿宋_GB2312" w:hAnsi="仿宋_GB2312" w:cs="仿宋_GB2312" w:eastAsia="仿宋_GB2312"/>
                <w:sz w:val="19"/>
                <w:color w:val="000000"/>
              </w:rPr>
              <w:t>检查</w:t>
            </w:r>
            <w:r>
              <w:rPr>
                <w:rFonts w:ascii="仿宋_GB2312" w:hAnsi="仿宋_GB2312" w:cs="仿宋_GB2312" w:eastAsia="仿宋_GB2312"/>
                <w:sz w:val="19"/>
                <w:color w:val="000000"/>
              </w:rPr>
              <w:t>结束后</w:t>
            </w:r>
            <w:r>
              <w:rPr>
                <w:rFonts w:ascii="仿宋_GB2312" w:hAnsi="仿宋_GB2312" w:cs="仿宋_GB2312" w:eastAsia="仿宋_GB2312"/>
                <w:sz w:val="19"/>
                <w:color w:val="000000"/>
              </w:rPr>
              <w:t>5日内向甲方提供企业的隐患排查</w:t>
            </w:r>
            <w:r>
              <w:rPr>
                <w:rFonts w:ascii="仿宋_GB2312" w:hAnsi="仿宋_GB2312" w:cs="仿宋_GB2312" w:eastAsia="仿宋_GB2312"/>
                <w:sz w:val="19"/>
                <w:color w:val="000000"/>
              </w:rPr>
              <w:t>安全检查报告书</w:t>
            </w:r>
            <w:r>
              <w:rPr>
                <w:rFonts w:ascii="仿宋_GB2312" w:hAnsi="仿宋_GB2312" w:cs="仿宋_GB2312" w:eastAsia="仿宋_GB2312"/>
                <w:sz w:val="19"/>
                <w:color w:val="000000"/>
              </w:rPr>
              <w:t>；报告结论及所提的意见和建议要符合国家法律法规及标准规范，乙方对报告结论及所提的意见和建议全面负责。并于服务期限结束前结合每家企业隐患排查会诊检查情况出具</w:t>
            </w:r>
            <w:r>
              <w:rPr>
                <w:rFonts w:ascii="仿宋_GB2312" w:hAnsi="仿宋_GB2312" w:cs="仿宋_GB2312" w:eastAsia="仿宋_GB2312"/>
                <w:sz w:val="19"/>
                <w:color w:val="000000"/>
              </w:rPr>
              <w:t>每季度</w:t>
            </w:r>
            <w:r>
              <w:rPr>
                <w:rFonts w:ascii="仿宋_GB2312" w:hAnsi="仿宋_GB2312" w:cs="仿宋_GB2312" w:eastAsia="仿宋_GB2312"/>
                <w:sz w:val="19"/>
                <w:color w:val="000000"/>
              </w:rPr>
              <w:t>企业安全管理分析报告</w:t>
            </w:r>
            <w:r>
              <w:rPr>
                <w:rFonts w:ascii="仿宋_GB2312" w:hAnsi="仿宋_GB2312" w:cs="仿宋_GB2312" w:eastAsia="仿宋_GB2312"/>
                <w:sz w:val="19"/>
                <w:color w:val="000000"/>
              </w:rPr>
              <w:t>，</w:t>
            </w:r>
            <w:r>
              <w:rPr>
                <w:rFonts w:ascii="仿宋_GB2312" w:hAnsi="仿宋_GB2312" w:cs="仿宋_GB2312" w:eastAsia="仿宋_GB2312"/>
                <w:sz w:val="19"/>
                <w:color w:val="000000"/>
              </w:rPr>
              <w:t>年底对全年安全生产工作进行研判，出具全年安全生产形势分析报告</w:t>
            </w:r>
            <w:r>
              <w:rPr>
                <w:rFonts w:ascii="仿宋_GB2312" w:hAnsi="仿宋_GB2312" w:cs="仿宋_GB2312" w:eastAsia="仿宋_GB2312"/>
                <w:sz w:val="19"/>
                <w:color w:val="000000"/>
              </w:rPr>
              <w:t>。</w:t>
            </w:r>
          </w:p>
          <w:p>
            <w:pPr>
              <w:pStyle w:val="null5"/>
              <w:spacing w:before="135"/>
              <w:ind w:left="495" w:right="3930" w:firstLine="1"/>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乙方</w:t>
            </w:r>
            <w:r>
              <w:rPr>
                <w:rFonts w:ascii="仿宋_GB2312" w:hAnsi="仿宋_GB2312" w:cs="仿宋_GB2312" w:eastAsia="仿宋_GB2312"/>
                <w:sz w:val="19"/>
                <w:color w:val="000000"/>
              </w:rPr>
              <w:t>要</w:t>
            </w:r>
            <w:r>
              <w:rPr>
                <w:rFonts w:ascii="仿宋_GB2312" w:hAnsi="仿宋_GB2312" w:cs="仿宋_GB2312" w:eastAsia="仿宋_GB2312"/>
                <w:sz w:val="19"/>
                <w:color w:val="000000"/>
              </w:rPr>
              <w:t>按时对出具报告中所发现的安全隐患整改落实情况进行逐一复查。</w:t>
            </w:r>
          </w:p>
          <w:p>
            <w:pPr>
              <w:pStyle w:val="null5"/>
              <w:spacing w:before="135"/>
              <w:ind w:left="495" w:right="3930" w:firstLine="1"/>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乙方本着为企业服务，对甲方负责的宗旨，完善工作要求未尽事宜，不得以协议未列明事项为由降低服务质量。</w:t>
            </w:r>
          </w:p>
          <w:p>
            <w:pPr>
              <w:pStyle w:val="null5"/>
              <w:spacing w:before="135"/>
              <w:ind w:left="495" w:right="3930" w:firstLine="1"/>
              <w:jc w:val="left"/>
            </w:pPr>
            <w:r>
              <w:rPr>
                <w:rFonts w:ascii="仿宋_GB2312" w:hAnsi="仿宋_GB2312" w:cs="仿宋_GB2312" w:eastAsia="仿宋_GB2312"/>
                <w:sz w:val="19"/>
                <w:color w:val="000000"/>
              </w:rPr>
              <w:t>8.承接临时安排任务。</w:t>
            </w:r>
          </w:p>
          <w:p>
            <w:pPr>
              <w:pStyle w:val="null5"/>
              <w:spacing w:before="135"/>
              <w:ind w:left="495" w:right="3930" w:firstLine="1"/>
              <w:jc w:val="left"/>
            </w:pPr>
            <w:r>
              <w:rPr>
                <w:rFonts w:ascii="仿宋_GB2312" w:hAnsi="仿宋_GB2312" w:cs="仿宋_GB2312" w:eastAsia="仿宋_GB2312"/>
                <w:sz w:val="19"/>
                <w:color w:val="000000"/>
              </w:rPr>
              <w:t>（三）</w:t>
            </w:r>
            <w:r>
              <w:rPr>
                <w:rFonts w:ascii="仿宋_GB2312" w:hAnsi="仿宋_GB2312" w:cs="仿宋_GB2312" w:eastAsia="仿宋_GB2312"/>
                <w:sz w:val="19"/>
                <w:color w:val="000000"/>
              </w:rPr>
              <w:t>技术服务质量要求</w:t>
            </w:r>
          </w:p>
          <w:p>
            <w:pPr>
              <w:pStyle w:val="null5"/>
              <w:spacing w:before="135"/>
              <w:ind w:left="495" w:right="3930" w:firstLine="1"/>
              <w:jc w:val="left"/>
            </w:pPr>
            <w:r>
              <w:rPr>
                <w:rFonts w:ascii="仿宋_GB2312" w:hAnsi="仿宋_GB2312" w:cs="仿宋_GB2312" w:eastAsia="仿宋_GB2312"/>
                <w:sz w:val="19"/>
                <w:color w:val="000000"/>
              </w:rPr>
              <w:t>严格按照《中华人民共和国安全生产法》</w:t>
            </w:r>
            <w:r>
              <w:rPr>
                <w:rFonts w:ascii="仿宋_GB2312" w:hAnsi="仿宋_GB2312" w:cs="仿宋_GB2312" w:eastAsia="仿宋_GB2312"/>
                <w:sz w:val="19"/>
                <w:color w:val="000000"/>
              </w:rPr>
              <w:t>《</w:t>
            </w:r>
            <w:r>
              <w:rPr>
                <w:rFonts w:ascii="仿宋_GB2312" w:hAnsi="仿宋_GB2312" w:cs="仿宋_GB2312" w:eastAsia="仿宋_GB2312"/>
                <w:sz w:val="19"/>
                <w:color w:val="000000"/>
              </w:rPr>
              <w:t>煤矿安全规程</w:t>
            </w:r>
            <w:r>
              <w:rPr>
                <w:rFonts w:ascii="仿宋_GB2312" w:hAnsi="仿宋_GB2312" w:cs="仿宋_GB2312" w:eastAsia="仿宋_GB2312"/>
                <w:sz w:val="19"/>
                <w:color w:val="000000"/>
              </w:rPr>
              <w:t>》《</w:t>
            </w:r>
            <w:r>
              <w:rPr>
                <w:rFonts w:ascii="仿宋_GB2312" w:hAnsi="仿宋_GB2312" w:cs="仿宋_GB2312" w:eastAsia="仿宋_GB2312"/>
                <w:sz w:val="19"/>
                <w:color w:val="000000"/>
              </w:rPr>
              <w:t>煤矿安全生产条例</w:t>
            </w:r>
            <w:r>
              <w:rPr>
                <w:rFonts w:ascii="仿宋_GB2312" w:hAnsi="仿宋_GB2312" w:cs="仿宋_GB2312" w:eastAsia="仿宋_GB2312"/>
                <w:sz w:val="19"/>
                <w:color w:val="000000"/>
              </w:rPr>
              <w:t>》</w:t>
            </w:r>
            <w:r>
              <w:rPr>
                <w:rFonts w:ascii="仿宋_GB2312" w:hAnsi="仿宋_GB2312" w:cs="仿宋_GB2312" w:eastAsia="仿宋_GB2312"/>
                <w:sz w:val="19"/>
                <w:color w:val="000000"/>
              </w:rPr>
              <w:t>《中共中央办公厅国务院办公厅关于进一步加强矿山安全生产工作的意见》《关于防范遏制矿山领域重特大生产安全事故的硬措施》</w:t>
            </w:r>
            <w:r>
              <w:rPr>
                <w:rFonts w:ascii="仿宋_GB2312" w:hAnsi="仿宋_GB2312" w:cs="仿宋_GB2312" w:eastAsia="仿宋_GB2312"/>
                <w:sz w:val="19"/>
                <w:color w:val="000000"/>
              </w:rPr>
              <w:t>等相关法律、法规要求开展技术服务工作。</w:t>
            </w:r>
          </w:p>
          <w:p>
            <w:pPr>
              <w:pStyle w:val="null5"/>
              <w:spacing w:before="135"/>
              <w:ind w:left="495" w:right="3930" w:firstLine="1"/>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六个月内（任意一个月）的良好缴纳税收的相关凭据。（以税务机关提供的纳税凭据或银行入账单为准）2.提供递交响应文件截止之日前六个月（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投标人结合项目特点和要求，依据国家、行业、地方的政策法规及管理要求编制检查服务方案。服务方案内容完善，层次分明、条理清楚、工作内容响应磋商文件要求，有针对性，切实符合项目特点和实际需求的得10-15分；服务方案满足磋商文件要求，内容较完善，针对性一般得5-9分；服务方案基本满足要求，内容不完善，针对性差的得1-4分；服务方案层次不分明，条理不清楚，无针对性，无实质性内容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工作目标及进度计划</w:t>
            </w:r>
          </w:p>
        </w:tc>
        <w:tc>
          <w:tcPr>
            <w:tcW w:type="dxa" w:w="3115"/>
          </w:tcPr>
          <w:p>
            <w:pPr>
              <w:pStyle w:val="null5"/>
              <w:jc w:val="left"/>
            </w:pPr>
            <w:r>
              <w:rPr>
                <w:rFonts w:ascii="仿宋_GB2312" w:hAnsi="仿宋_GB2312" w:cs="仿宋_GB2312" w:eastAsia="仿宋_GB2312"/>
              </w:rPr>
              <w:t>对检查隐患工作前期准备、审查计划、成果交付等任务进度计划合理可行，工作目标明确的得7-10分；工作前期准备、审查计划、成果交付等任务进度计划较完善，满足磋商文件要求的得4-6分；任务进度计划一般，基本符合文件要求的得1-3分；工作前期准备、 审查计划、成果交付等任务进度计划不合理、难以实施、工作目标不明确的得0分。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合理化建议评价及质量保证措施</w:t>
            </w:r>
          </w:p>
        </w:tc>
        <w:tc>
          <w:tcPr>
            <w:tcW w:type="dxa" w:w="3115"/>
          </w:tcPr>
          <w:p>
            <w:pPr>
              <w:pStyle w:val="null5"/>
              <w:jc w:val="left"/>
            </w:pPr>
            <w:r>
              <w:rPr>
                <w:rFonts w:ascii="仿宋_GB2312" w:hAnsi="仿宋_GB2312" w:cs="仿宋_GB2312" w:eastAsia="仿宋_GB2312"/>
              </w:rPr>
              <w:t>投标人要对企业安全生产情况如何进行现场检查，检查企业的生产流程、工艺，如实记录发现存在的安全隐患，提出具有可实施性的合理化建议及质量保证措施。合理化建议针对性、可操作性强，质量保证措施完善、全面、程序规范、措施有力的得7-10分；合理化建议及质量保证措施针对性、可操作性较完善，较全面的得4-6分；合理化建议及质量保证措施一般的得1-3分；合理化建议及质量保证措施无针对性、不具备可操作性或未提供合理化建议及质量保证措施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专家管理</w:t>
            </w:r>
          </w:p>
        </w:tc>
        <w:tc>
          <w:tcPr>
            <w:tcW w:type="dxa" w:w="3115"/>
          </w:tcPr>
          <w:p>
            <w:pPr>
              <w:pStyle w:val="null5"/>
              <w:jc w:val="left"/>
            </w:pPr>
            <w:r>
              <w:rPr>
                <w:rFonts w:ascii="仿宋_GB2312" w:hAnsi="仿宋_GB2312" w:cs="仿宋_GB2312" w:eastAsia="仿宋_GB2312"/>
              </w:rPr>
              <w:t>投标人要建立安全专家管理制度，加强业务培训和日常管理，做好聘用临时行业专家工作进展。管理制度健全、业务培训到位、专家聘用及时的得10-15分，建立管理制度、业务培训较为到位，能够按要求聘用专家的得5-9分；管理制度建立不规范、业务培训不到位的得1-4分；无管理制度、无业务培训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后期服务承诺</w:t>
            </w:r>
          </w:p>
        </w:tc>
        <w:tc>
          <w:tcPr>
            <w:tcW w:type="dxa" w:w="3115"/>
          </w:tcPr>
          <w:p>
            <w:pPr>
              <w:pStyle w:val="null5"/>
              <w:jc w:val="left"/>
            </w:pPr>
            <w:r>
              <w:rPr>
                <w:rFonts w:ascii="仿宋_GB2312" w:hAnsi="仿宋_GB2312" w:cs="仿宋_GB2312" w:eastAsia="仿宋_GB2312"/>
              </w:rPr>
              <w:t>1.投标人承诺提供服务时必须完全服从乌审旗应急管理局的各项管理；2.投标人承诺完全按服务要求、服务时限，高效、及时、准确完成服务业务，遵守工作纪律；3.投标人要根据安全生产隐患排查问题情况接受企业咨询，做好企业隐患整改措施指导工作，必要时到现场指导；4.投标人承诺不将服务业务分包或转包给其他代理机构或个人。以上4项全部承诺的得10分，缺任何1项或没有承诺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投标人提供2021年1月1日至投标截止日承担过同类项目业绩，每提供一项得5分,本项最多得20分。（须提供服务合同）</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