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乌审旗2025年高标准农田建设项目初步设计服务</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乌审旗农牧局</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内蒙古利凡工程项目管理有限公司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ESZCWSS-G-F-250013</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内蒙古利凡工程项目管理有限公司</w:t>
      </w:r>
      <w:r>
        <w:rPr>
          <w:rFonts w:ascii="仿宋_GB2312" w:hAnsi="仿宋_GB2312" w:cs="仿宋_GB2312" w:eastAsia="仿宋_GB2312"/>
        </w:rPr>
        <w:t xml:space="preserve"> 受 </w:t>
      </w:r>
      <w:r>
        <w:rPr>
          <w:rFonts w:ascii="仿宋_GB2312" w:hAnsi="仿宋_GB2312" w:cs="仿宋_GB2312" w:eastAsia="仿宋_GB2312"/>
        </w:rPr>
        <w:t>乌审旗农牧局</w:t>
      </w:r>
      <w:r>
        <w:rPr>
          <w:rFonts w:ascii="仿宋_GB2312" w:hAnsi="仿宋_GB2312" w:cs="仿宋_GB2312" w:eastAsia="仿宋_GB2312"/>
        </w:rPr>
        <w:t xml:space="preserve"> 委托，采用公开招标方式组织采购 </w:t>
      </w:r>
      <w:r>
        <w:rPr>
          <w:rFonts w:ascii="仿宋_GB2312" w:hAnsi="仿宋_GB2312" w:cs="仿宋_GB2312" w:eastAsia="仿宋_GB2312"/>
        </w:rPr>
        <w:t>乌审旗2025年高标准农田建设项目初步设计服务</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乌审旗2025年高标准农田建设项目初步设计服务</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ESZCWSS-G-F-250013</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BUYPLANNUM[2025]00301</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1,080,000.00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1.乌审旗2025年高标准农田建设项目初步设计服务</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1,080,000.00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采购包预算金额（元）: 1,440,000.00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2.乌审旗2025年高标准农田建设项目初步设计服务</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1,440,000.00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2.开标后资格审查时，投标人未被列入失信被执行人、税收违法黑名单、政府采购严重违法失信行为记录名单，相关信用情况通过“信用中国”网站、中国政府采购网等渠道查询。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资质要求：资质要求：投标人须同时具备①+②资质：①【工程勘察综合甲级】资质或【工程勘察专业类（工程测量）乙级（含）以上】资质或【工程测绘乙级(含)以上】资质；（投标文件中须附资质证书扫描件）；②【工程设计综合类甲级】资质或【工程设计水利行业乙级（含）以上】资质或【工程设计水利行业（灌溉排涝）专业乙级（含）以上】资质或【农业综合开发生态工程乙级(含)以上】资质，并在人员、设备、资金等方面具有相应的能力（投标文件中须附资质证书扫描件）。</w:t>
      </w:r>
    </w:p>
    <w:p>
      <w:pPr>
        <w:pStyle w:val="null5"/>
        <w:jc w:val="left"/>
      </w:pPr>
      <w:r>
        <w:rPr>
          <w:rFonts w:ascii="仿宋_GB2312" w:hAnsi="仿宋_GB2312" w:cs="仿宋_GB2312" w:eastAsia="仿宋_GB2312"/>
        </w:rPr>
        <w:t>2、项目负责人要求：项目负责人要求：拟派项目负责人须具备水利相关专业高级（含）以上职称（以技术职称证为准，投标文件中须附证书扫描件）。</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1、资质要求：资质要求：投标人须同时具备①+②资质：①【工程勘察综合甲级】资质或【工程勘察专业类（工程测量）乙级（含）以上】资质或【工程测绘乙级(含)以上】资质；（投标文件中须附资质证书扫描件）；②【工程设计综合类甲级】资质或【工程设计水利行业乙级（含）以上】资质或【工程设计水利行业（灌溉排涝）专业乙级（含）以上】资质或【农业综合开发生态工程乙级(含)以上】资质，并在人员、设备、资金等方面具有相应的能力（投标文件中须附资质证书扫描件）。</w:t>
      </w:r>
    </w:p>
    <w:p>
      <w:pPr>
        <w:pStyle w:val="null5"/>
        <w:jc w:val="left"/>
      </w:pPr>
      <w:r>
        <w:rPr>
          <w:rFonts w:ascii="仿宋_GB2312" w:hAnsi="仿宋_GB2312" w:cs="仿宋_GB2312" w:eastAsia="仿宋_GB2312"/>
        </w:rPr>
        <w:t>2、项目负责人要求：项目负责人要求：拟派项目负责人须具备水利相关专业高级（含）以上职称（以技术职称证为准，投标文件中须附证书扫描件）。</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内蒙古利凡工程项目管理有限公司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鄂尔多斯市东胜区铁西迎宾路东，科技街北双骏金融大厦1号楼</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017000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0477-3109767、18347310664</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乌审旗农牧局</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鄂尔多斯市乌审旗</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017300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苏先生</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15704944666</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2</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p>
            <w:pPr>
              <w:pStyle w:val="null5"/>
              <w:jc w:val="left"/>
            </w:pPr>
            <w:r>
              <w:rPr>
                <w:rFonts w:ascii="仿宋_GB2312" w:hAnsi="仿宋_GB2312" w:cs="仿宋_GB2312" w:eastAsia="仿宋_GB2312"/>
              </w:rPr>
              <w:t>采购包2：综合评分法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采购包1：接受</w:t>
            </w:r>
          </w:p>
          <w:p>
            <w:pPr>
              <w:pStyle w:val="null5"/>
              <w:jc w:val="left"/>
            </w:pPr>
            <w:r>
              <w:rPr>
                <w:rFonts w:ascii="仿宋_GB2312" w:hAnsi="仿宋_GB2312" w:cs="仿宋_GB2312" w:eastAsia="仿宋_GB2312"/>
              </w:rPr>
              <w:t>采购包2：接受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代理服务费收费标准：参照《内蒙古自治区建设工程招标代理服务收费指导意见》（内工建协【2022】34号）文件下浮6%收取</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采购包1：不属于专门面向中小企业采购。</w:t>
            </w:r>
          </w:p>
          <w:p>
            <w:pPr>
              <w:pStyle w:val="null5"/>
              <w:jc w:val="left"/>
            </w:pPr>
            <w:r>
              <w:rPr>
                <w:rFonts w:ascii="仿宋_GB2312" w:hAnsi="仿宋_GB2312" w:cs="仿宋_GB2312" w:eastAsia="仿宋_GB2312"/>
              </w:rPr>
              <w:t>采购包2：不属于专门面向中小企业采购。</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p>
            <w:pPr>
              <w:pStyle w:val="null5"/>
              <w:jc w:val="left"/>
            </w:pPr>
            <w:r>
              <w:rPr>
                <w:rFonts w:ascii="仿宋_GB2312" w:hAnsi="仿宋_GB2312" w:cs="仿宋_GB2312" w:eastAsia="仿宋_GB2312"/>
              </w:rPr>
              <w:t>采购包2：3家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p>
            <w:pPr>
              <w:pStyle w:val="null5"/>
              <w:jc w:val="left"/>
            </w:pPr>
            <w:r>
              <w:rPr>
                <w:rFonts w:ascii="仿宋_GB2312" w:hAnsi="仿宋_GB2312" w:cs="仿宋_GB2312" w:eastAsia="仿宋_GB2312"/>
              </w:rPr>
              <w:t>采购包2：1名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p>
            <w:pPr>
              <w:pStyle w:val="null5"/>
              <w:jc w:val="left"/>
            </w:pPr>
            <w:r>
              <w:rPr>
                <w:rFonts w:ascii="仿宋_GB2312" w:hAnsi="仿宋_GB2312" w:cs="仿宋_GB2312" w:eastAsia="仿宋_GB2312"/>
              </w:rPr>
              <w:t>采购包2：3名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p>
            <w:pPr>
              <w:pStyle w:val="null5"/>
              <w:jc w:val="left"/>
            </w:pPr>
            <w:r>
              <w:rPr>
                <w:rFonts w:ascii="仿宋_GB2312" w:hAnsi="仿宋_GB2312" w:cs="仿宋_GB2312" w:eastAsia="仿宋_GB2312"/>
              </w:rPr>
              <w:t>采购包2：总价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p>
            <w:pPr>
              <w:pStyle w:val="null5"/>
              <w:jc w:val="left"/>
            </w:pPr>
            <w:r>
              <w:rPr>
                <w:rFonts w:ascii="仿宋_GB2312" w:hAnsi="仿宋_GB2312" w:cs="仿宋_GB2312" w:eastAsia="仿宋_GB2312"/>
              </w:rPr>
              <w:t>采购包2：组织现场踏勘：否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乌审旗农牧局</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内蒙古利凡工程项目管理有限公司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查询记录：对列入失信被执行人、税收违法黑名单、政府采购严重违法失信行为记录名单、信用报告进行查询；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税收违法黑名单、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审查投标人有效的营业执照或事业单位法人证书或执业许可证或自然人的身份证明。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审查投标人2022或2023年度经会计师事务所出具的财务审计报告或其基本开户银行出具的近一年内的银行资信证明。</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1.提供递交投标文件截止之日前一年内 (至少一个月) 的良好缴纳税收的相关凭据。 (以税务机关提供的纳税凭据或银行入账单为准) 2.提供递交投标文件截止之日前一年内 (至少一个月) 缴纳社会保险的凭证。 (以专用收据或社会保险缴纳清单为准) 注：其他组织和自然人也需要提供缴纳税收的凭据金额缴纳社保的凭据。依法免税或不需要缴纳社会保障资金的投标人，应提供相应文件证明其依法免税或不需要缴纳社会保障资金。</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审查投标人提供的具有履行合同所必需的设备和专业技术能力的书面声明。</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审查投标人有效的营业执照或事业单位法人证书或执业许可证或自然人的身份证明。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审查投标人2022或2023年度经会计师事务所出具的财务审计报告或其基本开户银行出具的近一年内的银行资信证明。</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1.提供递交投标文件截止之日前一年内 (至少一个月) 的良好缴纳税收的相关凭据。 (以税务机关提供的纳税凭据或银行入账单为准) 2.提供递交投标文件截止之日前一年内 (至少一个月) 缴纳社会保险的凭证。 (以专用收据或社会保险缴纳清单为准) 注：其他组织和自然人也需要提供缴纳税收的凭据金额缴纳社保的凭据。依法免税或不需要缴纳社会保障资金的投标人，应提供相应文件证明其依法免税或不需要缴纳社会保障资金。</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审查投标人提供的具有履行合同所必需的设备和专业技术能力的书面声明。</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资质要求</w:t>
            </w:r>
          </w:p>
        </w:tc>
        <w:tc>
          <w:tcPr>
            <w:tcW w:type="dxa" w:w="4984"/>
          </w:tcPr>
          <w:p>
            <w:pPr>
              <w:pStyle w:val="null5"/>
              <w:jc w:val="left"/>
            </w:pPr>
            <w:r>
              <w:rPr>
                <w:rFonts w:ascii="仿宋_GB2312" w:hAnsi="仿宋_GB2312" w:cs="仿宋_GB2312" w:eastAsia="仿宋_GB2312"/>
              </w:rPr>
              <w:t>资质要求：投标人须同时具备①+②资质：①【工程勘察综合甲级】资质或【工程勘察专业类（工程测量）乙级（含）以上】资质或【工程测绘乙级(含)以上】资质；（投标文件中须附资质证书扫描件）；②【工程设计综合类甲级】资质或【工程设计水利行业乙级（含）以上】资质或【工程设计水利行业（灌溉排涝）专业乙级（含）以上】资质或【农业综合开发生态工程乙级(含)以上】资质，并在人员、设备、资金等方面具有相应的能力（投标文件中须附资质证书扫描件）。</w:t>
            </w:r>
          </w:p>
        </w:tc>
      </w:tr>
      <w:tr>
        <w:tc>
          <w:tcPr>
            <w:tcW w:type="dxa" w:w="3322"/>
          </w:tcPr>
          <w:p>
            <w:pPr>
              <w:pStyle w:val="null5"/>
              <w:jc w:val="left"/>
            </w:pPr>
            <w:r>
              <w:rPr>
                <w:rFonts w:ascii="仿宋_GB2312" w:hAnsi="仿宋_GB2312" w:cs="仿宋_GB2312" w:eastAsia="仿宋_GB2312"/>
              </w:rPr>
              <w:t>项目负责人要求</w:t>
            </w:r>
          </w:p>
        </w:tc>
        <w:tc>
          <w:tcPr>
            <w:tcW w:type="dxa" w:w="4984"/>
          </w:tcPr>
          <w:p>
            <w:pPr>
              <w:pStyle w:val="null5"/>
              <w:jc w:val="left"/>
            </w:pPr>
            <w:r>
              <w:rPr>
                <w:rFonts w:ascii="仿宋_GB2312" w:hAnsi="仿宋_GB2312" w:cs="仿宋_GB2312" w:eastAsia="仿宋_GB2312"/>
              </w:rPr>
              <w:t>项目负责人要求：拟派项目负责人须具备水利相关专业高级（含）以上职称（以技术职称证为准，投标文件中须附证书扫描件）。</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资质要求</w:t>
            </w:r>
          </w:p>
        </w:tc>
        <w:tc>
          <w:tcPr>
            <w:tcW w:type="dxa" w:w="4984"/>
          </w:tcPr>
          <w:p>
            <w:pPr>
              <w:pStyle w:val="null5"/>
              <w:jc w:val="left"/>
            </w:pPr>
            <w:r>
              <w:rPr>
                <w:rFonts w:ascii="仿宋_GB2312" w:hAnsi="仿宋_GB2312" w:cs="仿宋_GB2312" w:eastAsia="仿宋_GB2312"/>
              </w:rPr>
              <w:t>资质要求：投标人须同时具备①+②资质：①【工程勘察综合甲级】资质或【工程勘察专业类（工程测量）乙级（含）以上】资质或【工程测绘乙级(含)以上】资质；（投标文件中须附资质证书扫描件）；②【工程设计综合类甲级】资质或【工程设计水利行业乙级（含）以上】资质或【工程设计水利行业（灌溉排涝）专业乙级（含）以上】资质或【农业综合开发生态工程乙级(含)以上】资质，并在人员、设备、资金等方面具有相应的能力（投标文件中须附资质证书扫描件）。</w:t>
            </w:r>
          </w:p>
        </w:tc>
      </w:tr>
      <w:tr>
        <w:tc>
          <w:tcPr>
            <w:tcW w:type="dxa" w:w="3322"/>
          </w:tcPr>
          <w:p>
            <w:pPr>
              <w:pStyle w:val="null5"/>
              <w:jc w:val="left"/>
            </w:pPr>
            <w:r>
              <w:rPr>
                <w:rFonts w:ascii="仿宋_GB2312" w:hAnsi="仿宋_GB2312" w:cs="仿宋_GB2312" w:eastAsia="仿宋_GB2312"/>
              </w:rPr>
              <w:t>项目负责人要求</w:t>
            </w:r>
          </w:p>
        </w:tc>
        <w:tc>
          <w:tcPr>
            <w:tcW w:type="dxa" w:w="4984"/>
          </w:tcPr>
          <w:p>
            <w:pPr>
              <w:pStyle w:val="null5"/>
              <w:jc w:val="left"/>
            </w:pPr>
            <w:r>
              <w:rPr>
                <w:rFonts w:ascii="仿宋_GB2312" w:hAnsi="仿宋_GB2312" w:cs="仿宋_GB2312" w:eastAsia="仿宋_GB2312"/>
              </w:rPr>
              <w:t>项目负责人要求：拟派项目负责人须具备水利相关专业高级（含）以上职称（以技术职称证为准，投标文件中须附证书扫描件）。</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乌审旗2025年高标准农田建设项目安排在苏力德苏木，规划任务5.1万亩，地点为：朝岱嘎查、昌煌嘎查、沙尔利格嘎查。主要建设内容包括灌溉排水，农田输配电，田间道路，农田防护林，土壤改良等。</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合同签订后两年</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鄂尔多斯市乌审旗</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1、合同签订且建设项目实施完成后，支付完成。，达到付款条件起30日，支付合同总金额的100.00%</w:t>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合同签订后两年</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鄂尔多斯市乌审旗</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1、合同签订且建设项目实施完成后，支付完成。，达到付款条件起30日，支付合同总金额的100.00%</w:t>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标的名称：1.乌审旗2025年高标准农田建设项目初步设计服务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19"/>
                <w:color w:val="000000"/>
              </w:rPr>
              <w:t>第</w:t>
            </w:r>
            <w:r>
              <w:rPr>
                <w:rFonts w:ascii="仿宋_GB2312" w:hAnsi="仿宋_GB2312" w:cs="仿宋_GB2312" w:eastAsia="仿宋_GB2312"/>
                <w:sz w:val="19"/>
                <w:color w:val="000000"/>
              </w:rPr>
              <w:t>1包高标准农田建设面积为2.1万亩，地点为苏力德苏木昌煌嘎查、沙尔利格嘎查。主要建设内容包括灌溉排水，农田输配电，田间道路，农田防护林，土壤改良等。服务内容为乌审旗2025年高标准农田建设项目初步设计服务的勘察、初步设计报告编制工作，提交测量地形图、航拍图、设计图纸、概算、达到施工深度的施工图、初步设计报告的电子版、纸版成果及批复文件。</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标的名称：2.乌审旗2025年高标准农田建设项目初步设计服务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19"/>
                <w:color w:val="000000"/>
              </w:rPr>
              <w:t>第</w:t>
            </w:r>
            <w:r>
              <w:rPr>
                <w:rFonts w:ascii="仿宋_GB2312" w:hAnsi="仿宋_GB2312" w:cs="仿宋_GB2312" w:eastAsia="仿宋_GB2312"/>
                <w:sz w:val="19"/>
                <w:color w:val="000000"/>
              </w:rPr>
              <w:t>2包高标准农田建设面积为3万亩，地点为苏力德苏木朝岱嘎查。主要建设内容包括灌溉排水，农田输配电，田间道路，农田防护林，土壤改良等。服务内容为乌审旗2025年高标准农田建设项目初步设计服务的勘察、初步设计报告编制工作，提交测量地形图、航拍图、设计图纸、概算、达到施工深度的施工图、初步设计报告的电子版、纸版成果及批复文件。</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开标一览表 分项报价表</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联合协议或者分包</w:t>
            </w:r>
          </w:p>
        </w:tc>
        <w:tc>
          <w:tcPr>
            <w:tcW w:type="dxa" w:w="831"/>
          </w:tcPr>
          <w:p>
            <w:pPr>
              <w:pStyle w:val="null5"/>
              <w:jc w:val="right"/>
            </w:pPr>
            <w:r>
              <w:rPr>
                <w:rFonts w:ascii="仿宋_GB2312" w:hAnsi="仿宋_GB2312" w:cs="仿宋_GB2312" w:eastAsia="仿宋_GB2312"/>
              </w:rPr>
              <w:t>6.00%</w:t>
            </w:r>
          </w:p>
        </w:tc>
        <w:tc>
          <w:tcPr>
            <w:tcW w:type="dxa" w:w="1661"/>
          </w:tcPr>
          <w:p>
            <w:pPr>
              <w:pStyle w:val="null5"/>
              <w:jc w:val="left"/>
            </w:pPr>
            <w:r>
              <w:rPr>
                <w:rFonts w:ascii="仿宋_GB2312" w:hAnsi="仿宋_GB2312" w:cs="仿宋_GB2312" w:eastAsia="仿宋_GB2312"/>
              </w:rPr>
              <w:t>1、联合协议或分包意向协议约定小微企业的合同份额占到合同总金额 30%以上的，对联合体或者大中型企业的报价给予相应比例的扣除。2、监狱企业视同小型、微型企业，享受预留份额、评审中价格扣除等政府采购促进中小企业发展的政府采购政策。3、残疾人福利性单位提供本单位制造的货物、承担的工程或服务，或提供其他残疾人福利性单位制造的货物（不包括使用非残疾人福利性单位注册商标的货物），视同小微企业，按小微企业的扣除比例执行。</w:t>
            </w:r>
          </w:p>
        </w:tc>
        <w:tc>
          <w:tcPr>
            <w:tcW w:type="dxa" w:w="1661"/>
          </w:tcPr>
          <w:p>
            <w:pPr>
              <w:pStyle w:val="null5"/>
              <w:jc w:val="left"/>
            </w:pPr>
            <w:r>
              <w:rPr>
                <w:rFonts w:ascii="仿宋_GB2312" w:hAnsi="仿宋_GB2312" w:cs="仿宋_GB2312" w:eastAsia="仿宋_GB2312"/>
              </w:rPr>
              <w:t>开标一览表 分项报价表</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开标一览表 分项报价表</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联合协议或者分包</w:t>
            </w:r>
          </w:p>
        </w:tc>
        <w:tc>
          <w:tcPr>
            <w:tcW w:type="dxa" w:w="831"/>
          </w:tcPr>
          <w:p>
            <w:pPr>
              <w:pStyle w:val="null5"/>
              <w:jc w:val="right"/>
            </w:pPr>
            <w:r>
              <w:rPr>
                <w:rFonts w:ascii="仿宋_GB2312" w:hAnsi="仿宋_GB2312" w:cs="仿宋_GB2312" w:eastAsia="仿宋_GB2312"/>
              </w:rPr>
              <w:t>6.00%</w:t>
            </w:r>
          </w:p>
        </w:tc>
        <w:tc>
          <w:tcPr>
            <w:tcW w:type="dxa" w:w="1661"/>
          </w:tcPr>
          <w:p>
            <w:pPr>
              <w:pStyle w:val="null5"/>
              <w:jc w:val="left"/>
            </w:pPr>
            <w:r>
              <w:rPr>
                <w:rFonts w:ascii="仿宋_GB2312" w:hAnsi="仿宋_GB2312" w:cs="仿宋_GB2312" w:eastAsia="仿宋_GB2312"/>
              </w:rPr>
              <w:t>1、联合协议或分包意向协议约定小微企业的合同份额占到合同总金额 30%以上的，对联合体或者大中型企业的报价给予相应比例的扣除。2、监狱企业视同小型、微型企业，享受预留份额、评审中价格扣除等政府采购促进中小企业发展的政府采购政策。3、残疾人福利性单位提供本单位制造的货物、承担的工程或服务，或提供其他残疾人福利性单位制造的货物（不包括使用非残疾人福利性单位注册商标的货物），视同小微企业，按小微企业的扣除比例执行。</w:t>
            </w:r>
          </w:p>
        </w:tc>
        <w:tc>
          <w:tcPr>
            <w:tcW w:type="dxa" w:w="1661"/>
          </w:tcPr>
          <w:p>
            <w:pPr>
              <w:pStyle w:val="null5"/>
              <w:jc w:val="left"/>
            </w:pPr>
            <w:r>
              <w:rPr>
                <w:rFonts w:ascii="仿宋_GB2312" w:hAnsi="仿宋_GB2312" w:cs="仿宋_GB2312" w:eastAsia="仿宋_GB2312"/>
              </w:rPr>
              <w:t>开标一览表 分项报价表</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技术部分65.00分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报价得分15.00分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服务需求响应情况</w:t>
            </w:r>
          </w:p>
        </w:tc>
        <w:tc>
          <w:tcPr>
            <w:tcW w:type="dxa" w:w="3115"/>
          </w:tcPr>
          <w:p>
            <w:pPr>
              <w:pStyle w:val="null5"/>
              <w:jc w:val="left"/>
            </w:pPr>
            <w:r>
              <w:rPr>
                <w:rFonts w:ascii="仿宋_GB2312" w:hAnsi="仿宋_GB2312" w:cs="仿宋_GB2312" w:eastAsia="仿宋_GB2312"/>
              </w:rPr>
              <w:t>投标文件中有实质性响应采购文件的设计大纲，整体方案完整、合理、可行、针对性强，得10.1-15分；投标文件中有实质性响应采购文件的设计大纲，整体方案较完整、合理、可行、针对性较强，得5.1-10分；投标文件中有实质性响应采购文件的设计大纲，整体方案一般、缺乏针对性，内容不齐全，得1-5分；未提供不得分。</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编制内容</w:t>
            </w:r>
          </w:p>
        </w:tc>
        <w:tc>
          <w:tcPr>
            <w:tcW w:type="dxa" w:w="3115"/>
          </w:tcPr>
          <w:p>
            <w:pPr>
              <w:pStyle w:val="null5"/>
              <w:jc w:val="left"/>
            </w:pPr>
            <w:r>
              <w:rPr>
                <w:rFonts w:ascii="仿宋_GB2312" w:hAnsi="仿宋_GB2312" w:cs="仿宋_GB2312" w:eastAsia="仿宋_GB2312"/>
              </w:rPr>
              <w:t>编制内容丰富、合理，思路清晰、结构合理、内容完整、详略得当，逻辑严谨，整体统一、协调，得10.1-15分；编制内容较丰富、合理，思路较清晰、结构较合理、内容较完整、详略得当，逻辑较严谨，整体较统一、协调，得5.1-10分；编制内容、思路、结构、完整性及合理性一般，得1-5分；未提供不得分。</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实施重点、难点问题及对策措施</w:t>
            </w:r>
          </w:p>
        </w:tc>
        <w:tc>
          <w:tcPr>
            <w:tcW w:type="dxa" w:w="3115"/>
          </w:tcPr>
          <w:p>
            <w:pPr>
              <w:pStyle w:val="null5"/>
              <w:jc w:val="left"/>
            </w:pPr>
            <w:r>
              <w:rPr>
                <w:rFonts w:ascii="仿宋_GB2312" w:hAnsi="仿宋_GB2312" w:cs="仿宋_GB2312" w:eastAsia="仿宋_GB2312"/>
              </w:rPr>
              <w:t>投标人在全面掌握项目需求的基础上，有针对性的提炼出本次项目准备及实施过程中的重点、难点及关键点，并相应的制定解决、对策措施等内容进行评价：1、内容全面详细，针对性、可操作性强，完全满足项目要求得8.1-12分；2、内容较为详细，针对性、可操作性较强，满足项目要求得4.1-8分；3、内容偏简单，针对性、可操作性一般，基本满足项目要求，存在少量缺漏得1-4分；4、未提供不得分。</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质量控制措施</w:t>
            </w:r>
          </w:p>
        </w:tc>
        <w:tc>
          <w:tcPr>
            <w:tcW w:type="dxa" w:w="3115"/>
          </w:tcPr>
          <w:p>
            <w:pPr>
              <w:pStyle w:val="null5"/>
              <w:jc w:val="left"/>
            </w:pPr>
            <w:r>
              <w:rPr>
                <w:rFonts w:ascii="仿宋_GB2312" w:hAnsi="仿宋_GB2312" w:cs="仿宋_GB2312" w:eastAsia="仿宋_GB2312"/>
              </w:rPr>
              <w:t>1、根据投标人所提供的项目总体质量控制措施进行评审：措施非常完整、详细有效，对本项目质量控制的范围非常明确、内容非常清楚；采用的技术思路和方法非常清晰的得6.1-9分；2、方案完整、详细，对本项目质量控制的范围明确、内容清楚；采用的技术思路和方法较清晰的得3.1-6分；3、方案基本完整，对本项目质量控制的范围基本明确，采用的技术思路和方法基本清晰的得1-3分；4、未提供的不得分。</w:t>
            </w:r>
          </w:p>
        </w:tc>
        <w:tc>
          <w:tcPr>
            <w:tcW w:type="dxa" w:w="1038"/>
          </w:tcPr>
          <w:p>
            <w:pPr>
              <w:pStyle w:val="null5"/>
              <w:jc w:val="right"/>
            </w:pPr>
            <w:r>
              <w:rPr>
                <w:rFonts w:ascii="仿宋_GB2312" w:hAnsi="仿宋_GB2312" w:cs="仿宋_GB2312" w:eastAsia="仿宋_GB2312"/>
              </w:rPr>
              <w:t>9.00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进度计划</w:t>
            </w:r>
          </w:p>
        </w:tc>
        <w:tc>
          <w:tcPr>
            <w:tcW w:type="dxa" w:w="3115"/>
          </w:tcPr>
          <w:p>
            <w:pPr>
              <w:pStyle w:val="null5"/>
              <w:jc w:val="left"/>
            </w:pPr>
            <w:r>
              <w:rPr>
                <w:rFonts w:ascii="仿宋_GB2312" w:hAnsi="仿宋_GB2312" w:cs="仿宋_GB2312" w:eastAsia="仿宋_GB2312"/>
              </w:rPr>
              <w:t>1、能够按时完成项目各项任务，且项目进度计划符合实际、科学完整，得6.1-8分；2、能够按时完成各项任务，但进度计划安排存在局部不足，得3.1-6分；3、能够按时完成各项任务，但进度计划安排不符合实际要求存在严重不足，得1-3分；4、未提供不得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后续服务及承诺</w:t>
            </w:r>
          </w:p>
        </w:tc>
        <w:tc>
          <w:tcPr>
            <w:tcW w:type="dxa" w:w="3115"/>
          </w:tcPr>
          <w:p>
            <w:pPr>
              <w:pStyle w:val="null5"/>
              <w:jc w:val="left"/>
            </w:pPr>
            <w:r>
              <w:rPr>
                <w:rFonts w:ascii="仿宋_GB2312" w:hAnsi="仿宋_GB2312" w:cs="仿宋_GB2312" w:eastAsia="仿宋_GB2312"/>
              </w:rPr>
              <w:t>1、根据工程实施、服务内容、响应时间等，提出有效合理的服务方案及承诺得4.1-6分；2、根据工程实施、服务内容、响应时间等，提出较合理的服务方案及承诺得2.1-4分；3、根据工程实施、服务内容、响应时间等，承诺一般得1-2分；4、未提供服务承诺不得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2021年至今每有一项类似业绩得5分，本项最高得15分（投标文件需附合同原件扫描件）；类似业绩指：灌区类设计或高效节水灌溉（滴灌）或高标准农田建设项目设计类。注：公司业绩与技术负责人业绩不可重复。</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项目负责人业绩及其他人员职称</w:t>
            </w:r>
          </w:p>
        </w:tc>
        <w:tc>
          <w:tcPr>
            <w:tcW w:type="dxa" w:w="3115"/>
          </w:tcPr>
          <w:p>
            <w:pPr>
              <w:pStyle w:val="null5"/>
              <w:jc w:val="left"/>
            </w:pPr>
            <w:r>
              <w:rPr>
                <w:rFonts w:ascii="仿宋_GB2312" w:hAnsi="仿宋_GB2312" w:cs="仿宋_GB2312" w:eastAsia="仿宋_GB2312"/>
              </w:rPr>
              <w:t>1、2021年至今项目负责人担任过类似工程的业绩，每有一项得2分，最多得2分（以合同或中标通知书或盖有发包人公章的业主证明资料为准，投标文件需附相关材料原件扫描件）；类似业绩指：灌区类设计或高效节水灌溉 （滴灌）或高标准农田建设项目设计类；2、项目其他设计人员，每有一名具有水利相关专业高级（含副高）以上工程师职称得1分，最多得3分（投标文件中需附相关证书原件扫描件）。注：上述人员必须在本单位工作，年龄不得超过65周岁，以投标人所属社保机构出具的自2024年2月至今连续3个月（新入职人员要求提供入职至投标截止日前）的社保缴费证明（并加盖缴费证明专用章）或其他能够证明参加社保的有效证明材料为准，退休人员无需提供社保缴费证明，需提供有效地与聘用单位签订的聘用劳动合同及退休证明（投标文件中需附扫描件）。</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联合协议或者分包</w:t>
            </w:r>
          </w:p>
        </w:tc>
        <w:tc>
          <w:tcPr>
            <w:tcW w:type="dxa" w:w="831"/>
          </w:tcPr>
          <w:p>
            <w:pPr>
              <w:pStyle w:val="null5"/>
              <w:jc w:val="right"/>
            </w:pPr>
            <w:r>
              <w:rPr>
                <w:rFonts w:ascii="仿宋_GB2312" w:hAnsi="仿宋_GB2312" w:cs="仿宋_GB2312" w:eastAsia="仿宋_GB2312"/>
              </w:rPr>
              <w:t>6.00%</w:t>
            </w:r>
          </w:p>
        </w:tc>
        <w:tc>
          <w:tcPr>
            <w:tcW w:type="dxa" w:w="2492"/>
          </w:tcPr>
          <w:p>
            <w:pPr>
              <w:pStyle w:val="null5"/>
              <w:jc w:val="left"/>
            </w:pPr>
            <w:r>
              <w:rPr>
                <w:rFonts w:ascii="仿宋_GB2312" w:hAnsi="仿宋_GB2312" w:cs="仿宋_GB2312" w:eastAsia="仿宋_GB2312"/>
              </w:rPr>
              <w:t>1、联合协议或分包意向协议约定小微企业的合同份额占到合同总金额 30%以上的，对联合体或者大中型企业的报价给予相应比例的扣除。2、监狱企业视同小型、微型企业，享受预留份额、评审中价格扣除等政府采购促进中小企业发展的政府采购政策。3、残疾人福利性单位提供本单位制造的货物、承担的工程或服务，或提供其他残疾人福利性单位制造的货物（不包括使用非残疾人福利性单位注册商标的货物），视同小微企业，按小微企业的扣除比例执行。</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技术部分65.00分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报价得分15.00分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服务需求响应情况</w:t>
            </w:r>
          </w:p>
        </w:tc>
        <w:tc>
          <w:tcPr>
            <w:tcW w:type="dxa" w:w="3115"/>
          </w:tcPr>
          <w:p>
            <w:pPr>
              <w:pStyle w:val="null5"/>
              <w:jc w:val="left"/>
            </w:pPr>
            <w:r>
              <w:rPr>
                <w:rFonts w:ascii="仿宋_GB2312" w:hAnsi="仿宋_GB2312" w:cs="仿宋_GB2312" w:eastAsia="仿宋_GB2312"/>
              </w:rPr>
              <w:t>投标文件中有实质性响应采购文件的设计大纲，整体方案完整、合理、可行、针对性强，得10.1-15分；投标文件中有实质性响应采购文件的设计大纲，整体方案较完整、合理、可行、针对性较强，得5.1-10分；投标文件中有实质性响应采购文件的设计大纲，整体方案一般、缺乏针对性，内容不齐全，得1-5分；未提供不得分。</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编制内容</w:t>
            </w:r>
          </w:p>
        </w:tc>
        <w:tc>
          <w:tcPr>
            <w:tcW w:type="dxa" w:w="3115"/>
          </w:tcPr>
          <w:p>
            <w:pPr>
              <w:pStyle w:val="null5"/>
              <w:jc w:val="left"/>
            </w:pPr>
            <w:r>
              <w:rPr>
                <w:rFonts w:ascii="仿宋_GB2312" w:hAnsi="仿宋_GB2312" w:cs="仿宋_GB2312" w:eastAsia="仿宋_GB2312"/>
              </w:rPr>
              <w:t>编制内容丰富、合理，思路清晰、结构合理、内容完整、详略得当，逻辑严谨，整体统一、协调，得10.1-15分；编制内容较丰富、合理，思路较清晰、结构较合理、内容较完整、详略得当，逻辑较严谨，整体较统一、协调，得5.1-10分；编制内容、思路、结构、完整性及合理性一般，得1-5分；未提供不得分。</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实施重点、难点问题及对策措施</w:t>
            </w:r>
          </w:p>
        </w:tc>
        <w:tc>
          <w:tcPr>
            <w:tcW w:type="dxa" w:w="3115"/>
          </w:tcPr>
          <w:p>
            <w:pPr>
              <w:pStyle w:val="null5"/>
              <w:jc w:val="left"/>
            </w:pPr>
            <w:r>
              <w:rPr>
                <w:rFonts w:ascii="仿宋_GB2312" w:hAnsi="仿宋_GB2312" w:cs="仿宋_GB2312" w:eastAsia="仿宋_GB2312"/>
              </w:rPr>
              <w:t>投标人在全面掌握项目需求的基础上，有针对性的提炼出本次项目准备及实施过程中的重点、难点及关键点，并相应的制定解决、对策措施等内容进行评价：1、内容全面详细，针对性、可操作性强，完全满足项目要求得8.1-12分；2、内容较为详细，针对性、可操作性较强，满足项目要求得4.1-8分；3、内容偏简单，针对性、可操作性一般，基本满足项目要求，存在少量缺漏得1-4分；4、未提供不得分。</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质量控制措施</w:t>
            </w:r>
          </w:p>
        </w:tc>
        <w:tc>
          <w:tcPr>
            <w:tcW w:type="dxa" w:w="3115"/>
          </w:tcPr>
          <w:p>
            <w:pPr>
              <w:pStyle w:val="null5"/>
              <w:jc w:val="left"/>
            </w:pPr>
            <w:r>
              <w:rPr>
                <w:rFonts w:ascii="仿宋_GB2312" w:hAnsi="仿宋_GB2312" w:cs="仿宋_GB2312" w:eastAsia="仿宋_GB2312"/>
              </w:rPr>
              <w:t>1、根据投标人所提供的项目总体质量控制措施进行评审：措施非常完整、详细有效，对本项目质量控制的范围非常明确、内容非常清楚；采用的技术思路和方法非常清晰的得6.1-9分；2、方案完整、详细，对本项目质量控制的范围明确、内容清楚；采用的技术思路和方法较清晰的得3.1-6分；3、方案基本完整，对本项目质量控制的范围基本明确，采用的技术思路和方法基本清晰的得1-3分；4、未提供的不得分。</w:t>
            </w:r>
          </w:p>
        </w:tc>
        <w:tc>
          <w:tcPr>
            <w:tcW w:type="dxa" w:w="1038"/>
          </w:tcPr>
          <w:p>
            <w:pPr>
              <w:pStyle w:val="null5"/>
              <w:jc w:val="right"/>
            </w:pPr>
            <w:r>
              <w:rPr>
                <w:rFonts w:ascii="仿宋_GB2312" w:hAnsi="仿宋_GB2312" w:cs="仿宋_GB2312" w:eastAsia="仿宋_GB2312"/>
              </w:rPr>
              <w:t>9.00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进度计划</w:t>
            </w:r>
          </w:p>
        </w:tc>
        <w:tc>
          <w:tcPr>
            <w:tcW w:type="dxa" w:w="3115"/>
          </w:tcPr>
          <w:p>
            <w:pPr>
              <w:pStyle w:val="null5"/>
              <w:jc w:val="left"/>
            </w:pPr>
            <w:r>
              <w:rPr>
                <w:rFonts w:ascii="仿宋_GB2312" w:hAnsi="仿宋_GB2312" w:cs="仿宋_GB2312" w:eastAsia="仿宋_GB2312"/>
              </w:rPr>
              <w:t>1、能够按时完成项目各项任务，且项目进度计划符合实际、科学完整，得6.1-8分；2、能够按时完成各项任务，但进度计划安排存在局部不足，得3.1-6分；3、能够按时完成各项任务，但进度计划安排不符合实际要求存在严重不足，得1-3分；4、未提供不得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后续服务及承诺</w:t>
            </w:r>
          </w:p>
        </w:tc>
        <w:tc>
          <w:tcPr>
            <w:tcW w:type="dxa" w:w="3115"/>
          </w:tcPr>
          <w:p>
            <w:pPr>
              <w:pStyle w:val="null5"/>
              <w:jc w:val="left"/>
            </w:pPr>
            <w:r>
              <w:rPr>
                <w:rFonts w:ascii="仿宋_GB2312" w:hAnsi="仿宋_GB2312" w:cs="仿宋_GB2312" w:eastAsia="仿宋_GB2312"/>
              </w:rPr>
              <w:t>1、根据工程实施、服务内容、响应时间等，提出有效合理的服务方案及承诺得4.1-6分；2、根据工程实施、服务内容、响应时间等，提出较合理的服务方案及承诺得2.1-4分；3、根据工程实施、服务内容、响应时间等，承诺一般得1-2分；4、未提供服务承诺不得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2021年至今每有一项类似业绩得5分，本项最高得15分（投标文件需附合同原件扫描件）；类似业绩指：灌区类设计或高效节水灌溉（滴灌）或高标准农田建设项目设计类。注：公司业绩与技术负责人业绩不可重复。</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项目负责人业绩及其他人员职称</w:t>
            </w:r>
          </w:p>
        </w:tc>
        <w:tc>
          <w:tcPr>
            <w:tcW w:type="dxa" w:w="3115"/>
          </w:tcPr>
          <w:p>
            <w:pPr>
              <w:pStyle w:val="null5"/>
              <w:jc w:val="left"/>
            </w:pPr>
            <w:r>
              <w:rPr>
                <w:rFonts w:ascii="仿宋_GB2312" w:hAnsi="仿宋_GB2312" w:cs="仿宋_GB2312" w:eastAsia="仿宋_GB2312"/>
              </w:rPr>
              <w:t>1、2021年至今项目负责人担任过类似工程的业绩，每有一项得2分，最多得2分（以合同或中标通知书或盖有发包人公章的业主证明资料为准，投标文件需附相关材料原件扫描件）；类似业绩指：灌区类设计或高效节水灌溉 （滴灌）或高标准农田建设项目设计类；2、项目其他设计人员，每有一名具有水利相关专业高级（含副高）以上工程师职称得1分，最多得3分（投标文件中需附相关证书原件扫描件）。注：上述人员必须在本单位工作，年龄不得超过65周岁，以投标人所属社保机构出具的自2024年2月至今连续3个月（新入职人员要求提供入职至投标截止日前）的社保缴费证明（并加盖缴费证明专用章）或其他能够证明参加社保的有效证明材料为准，退休人员无需提供社保缴费证明，需提供有效地与聘用单位签订的聘用劳动合同及退休证明（投标文件中需附扫描件）。</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联合协议或者分包</w:t>
            </w:r>
          </w:p>
        </w:tc>
        <w:tc>
          <w:tcPr>
            <w:tcW w:type="dxa" w:w="831"/>
          </w:tcPr>
          <w:p>
            <w:pPr>
              <w:pStyle w:val="null5"/>
              <w:jc w:val="right"/>
            </w:pPr>
            <w:r>
              <w:rPr>
                <w:rFonts w:ascii="仿宋_GB2312" w:hAnsi="仿宋_GB2312" w:cs="仿宋_GB2312" w:eastAsia="仿宋_GB2312"/>
              </w:rPr>
              <w:t>6.00%</w:t>
            </w:r>
          </w:p>
        </w:tc>
        <w:tc>
          <w:tcPr>
            <w:tcW w:type="dxa" w:w="2492"/>
          </w:tcPr>
          <w:p>
            <w:pPr>
              <w:pStyle w:val="null5"/>
              <w:jc w:val="left"/>
            </w:pPr>
            <w:r>
              <w:rPr>
                <w:rFonts w:ascii="仿宋_GB2312" w:hAnsi="仿宋_GB2312" w:cs="仿宋_GB2312" w:eastAsia="仿宋_GB2312"/>
              </w:rPr>
              <w:t>1、联合协议或分包意向协议约定小微企业的合同份额占到合同总金额 30%以上的，对联合体或者大中型企业的报价给予相应比例的扣除。2、监狱企业视同小型、微型企业，享受预留份额、评审中价格扣除等政府采购促进中小企业发展的政府采购政策。3、残疾人福利性单位提供本单位制造的货物、承担的工程或服务，或提供其他残疾人福利性单位制造的货物（不包括使用非残疾人福利性单位注册商标的货物），视同小微企业，按小微企业的扣除比例执行。</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jc w:val="left"/>
      </w:pPr>
      <w:r>
        <w:rPr>
          <w:rFonts w:ascii="仿宋_GB2312" w:hAnsi="仿宋_GB2312" w:cs="仿宋_GB2312" w:eastAsia="仿宋_GB2312"/>
        </w:rPr>
        <w:t>采购包2：</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